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99C" w:rsidRDefault="005B13A2" w:rsidP="005B13A2">
      <w:pPr>
        <w:spacing w:line="360" w:lineRule="auto"/>
        <w:jc w:val="center"/>
        <w:rPr>
          <w:b/>
          <w:bCs/>
          <w:lang w:val="sq-AL"/>
        </w:rPr>
      </w:pPr>
      <w:r>
        <w:rPr>
          <w:b/>
          <w:lang w:val="sq-AL"/>
        </w:rPr>
        <w:t>Vendim nr.15 datë</w:t>
      </w:r>
      <w:r w:rsidR="00842D80">
        <w:rPr>
          <w:b/>
          <w:lang w:val="sq-AL"/>
        </w:rPr>
        <w:t xml:space="preserve"> </w:t>
      </w:r>
      <w:r>
        <w:rPr>
          <w:b/>
          <w:bCs/>
          <w:lang w:val="sq-AL"/>
        </w:rPr>
        <w:t>07</w:t>
      </w:r>
      <w:r w:rsidRPr="003F7D97">
        <w:rPr>
          <w:b/>
          <w:bCs/>
          <w:lang w:val="sq-AL"/>
        </w:rPr>
        <w:t>.</w:t>
      </w:r>
      <w:r>
        <w:rPr>
          <w:b/>
          <w:bCs/>
          <w:lang w:val="sq-AL"/>
        </w:rPr>
        <w:t>05</w:t>
      </w:r>
      <w:r w:rsidRPr="003F7D97">
        <w:rPr>
          <w:b/>
          <w:bCs/>
          <w:lang w:val="sq-AL"/>
        </w:rPr>
        <w:t>.201</w:t>
      </w:r>
      <w:r>
        <w:rPr>
          <w:b/>
          <w:bCs/>
          <w:lang w:val="sq-AL"/>
        </w:rPr>
        <w:t>8</w:t>
      </w:r>
    </w:p>
    <w:p w:rsidR="005B13A2" w:rsidRPr="003F7D97" w:rsidRDefault="005B13A2" w:rsidP="005B13A2">
      <w:pPr>
        <w:spacing w:line="360" w:lineRule="auto"/>
        <w:jc w:val="center"/>
        <w:rPr>
          <w:b/>
          <w:lang w:val="sq-AL"/>
        </w:rPr>
      </w:pPr>
      <w:r>
        <w:rPr>
          <w:b/>
          <w:bCs/>
          <w:lang w:val="sq-AL"/>
        </w:rPr>
        <w:t>(V-15/18)</w:t>
      </w:r>
    </w:p>
    <w:p w:rsidR="0035599C" w:rsidRPr="003F7D97" w:rsidRDefault="0035599C" w:rsidP="00842D80">
      <w:pPr>
        <w:spacing w:line="360" w:lineRule="auto"/>
        <w:ind w:firstLine="720"/>
        <w:jc w:val="both"/>
        <w:rPr>
          <w:lang w:val="sq-AL"/>
        </w:rPr>
      </w:pPr>
    </w:p>
    <w:p w:rsidR="00E24D5F" w:rsidRDefault="0035599C" w:rsidP="00E24D5F">
      <w:pPr>
        <w:spacing w:line="360" w:lineRule="auto"/>
        <w:ind w:firstLine="720"/>
        <w:jc w:val="both"/>
        <w:rPr>
          <w:lang w:val="sq-AL"/>
        </w:rPr>
      </w:pPr>
      <w:r w:rsidRPr="003F7D97">
        <w:rPr>
          <w:lang w:val="sq-AL"/>
        </w:rPr>
        <w:t>Gjykata Kushtetuese e Republikës së Shqipërisë, e përbërë nga:</w:t>
      </w:r>
      <w:r w:rsidR="005B13A2">
        <w:rPr>
          <w:lang w:val="sq-AL"/>
        </w:rPr>
        <w:t xml:space="preserve"> Bashkim Dedja, </w:t>
      </w:r>
      <w:r w:rsidRPr="003F7D97">
        <w:rPr>
          <w:lang w:val="sq-AL"/>
        </w:rPr>
        <w:t>Kryetar</w:t>
      </w:r>
      <w:r w:rsidR="005B13A2">
        <w:rPr>
          <w:lang w:val="sq-AL"/>
        </w:rPr>
        <w:t xml:space="preserve">, </w:t>
      </w:r>
      <w:r w:rsidRPr="003F7D97">
        <w:rPr>
          <w:lang w:val="sq-AL"/>
        </w:rPr>
        <w:t>Vitore Tusha,</w:t>
      </w:r>
      <w:r w:rsidR="005B13A2">
        <w:rPr>
          <w:lang w:val="sq-AL"/>
        </w:rPr>
        <w:t xml:space="preserve"> </w:t>
      </w:r>
      <w:r w:rsidRPr="003F7D97">
        <w:rPr>
          <w:lang w:val="sq-AL"/>
        </w:rPr>
        <w:t>Fatmir Hoxha,</w:t>
      </w:r>
      <w:r w:rsidR="005B13A2">
        <w:rPr>
          <w:lang w:val="sq-AL"/>
        </w:rPr>
        <w:t xml:space="preserve"> </w:t>
      </w:r>
      <w:r w:rsidRPr="003F7D97">
        <w:rPr>
          <w:lang w:val="sq-AL"/>
        </w:rPr>
        <w:t>Gani Dizdari,</w:t>
      </w:r>
      <w:r w:rsidR="005B13A2">
        <w:rPr>
          <w:lang w:val="sq-AL"/>
        </w:rPr>
        <w:t xml:space="preserve"> </w:t>
      </w:r>
      <w:r w:rsidRPr="003F7D97">
        <w:rPr>
          <w:lang w:val="sq-AL"/>
        </w:rPr>
        <w:t>Fatos Lulo,</w:t>
      </w:r>
      <w:r w:rsidR="005B13A2">
        <w:rPr>
          <w:lang w:val="sq-AL"/>
        </w:rPr>
        <w:t xml:space="preserve"> </w:t>
      </w:r>
      <w:r w:rsidRPr="003F7D97">
        <w:rPr>
          <w:lang w:val="sq-AL"/>
        </w:rPr>
        <w:t>Besnik Imeraj,</w:t>
      </w:r>
      <w:r w:rsidR="005B13A2">
        <w:rPr>
          <w:lang w:val="sq-AL"/>
        </w:rPr>
        <w:t xml:space="preserve"> a</w:t>
      </w:r>
      <w:r w:rsidRPr="003F7D97">
        <w:rPr>
          <w:lang w:val="sq-AL"/>
        </w:rPr>
        <w:t>nëtar</w:t>
      </w:r>
      <w:r w:rsidR="005B13A2">
        <w:rPr>
          <w:lang w:val="sq-AL"/>
        </w:rPr>
        <w:t xml:space="preserve">ë, </w:t>
      </w:r>
      <w:r w:rsidRPr="003F7D97">
        <w:rPr>
          <w:lang w:val="sq-AL"/>
        </w:rPr>
        <w:t>me sekretare Belma Lleshi, në datën 07.12.2017 mori në shqyrtim në seancë plenare, mbi bazë dokumentesh, çështjen me nr. 64</w:t>
      </w:r>
      <w:r w:rsidR="00842D80">
        <w:rPr>
          <w:lang w:val="sq-AL"/>
        </w:rPr>
        <w:t>/7</w:t>
      </w:r>
      <w:r w:rsidRPr="003F7D97">
        <w:rPr>
          <w:lang w:val="sq-AL"/>
        </w:rPr>
        <w:t xml:space="preserve"> Akti, që u përket:</w:t>
      </w:r>
    </w:p>
    <w:p w:rsidR="00E24D5F" w:rsidRDefault="00E24D5F" w:rsidP="00E24D5F">
      <w:pPr>
        <w:spacing w:line="360" w:lineRule="auto"/>
        <w:jc w:val="both"/>
        <w:rPr>
          <w:lang w:val="sq-AL"/>
        </w:rPr>
      </w:pPr>
    </w:p>
    <w:p w:rsidR="00E24D5F" w:rsidRDefault="0035599C" w:rsidP="00E24D5F">
      <w:pPr>
        <w:spacing w:line="360" w:lineRule="auto"/>
        <w:ind w:left="2880" w:hanging="2160"/>
        <w:jc w:val="both"/>
        <w:rPr>
          <w:b/>
          <w:bCs/>
          <w:lang w:val="sq-AL"/>
        </w:rPr>
      </w:pPr>
      <w:r w:rsidRPr="003F7D97">
        <w:rPr>
          <w:b/>
          <w:bCs/>
          <w:lang w:val="sq-AL"/>
        </w:rPr>
        <w:t>KËRKUES:</w:t>
      </w:r>
      <w:r w:rsidR="00E24D5F">
        <w:rPr>
          <w:b/>
          <w:bCs/>
          <w:lang w:val="sq-AL"/>
        </w:rPr>
        <w:tab/>
      </w:r>
      <w:r w:rsidRPr="003F7D97">
        <w:rPr>
          <w:b/>
          <w:bCs/>
          <w:lang w:val="sq-AL"/>
        </w:rPr>
        <w:t>SPARTAK GJIKDHIMA, ELION SHKURTAJ, SHOQËRIA “FOOD CATERING” (HELIOS CATERING) SH</w:t>
      </w:r>
      <w:r>
        <w:rPr>
          <w:b/>
          <w:bCs/>
          <w:lang w:val="sq-AL"/>
        </w:rPr>
        <w:t>.</w:t>
      </w:r>
      <w:r w:rsidRPr="003F7D97">
        <w:rPr>
          <w:b/>
          <w:bCs/>
          <w:lang w:val="sq-AL"/>
        </w:rPr>
        <w:t>P</w:t>
      </w:r>
      <w:r>
        <w:rPr>
          <w:b/>
          <w:bCs/>
          <w:lang w:val="sq-AL"/>
        </w:rPr>
        <w:t>.</w:t>
      </w:r>
      <w:r w:rsidRPr="003F7D97">
        <w:rPr>
          <w:b/>
          <w:bCs/>
          <w:lang w:val="sq-AL"/>
        </w:rPr>
        <w:t>K</w:t>
      </w:r>
      <w:r w:rsidR="00E24D5F">
        <w:rPr>
          <w:b/>
          <w:bCs/>
          <w:lang w:val="sq-AL"/>
        </w:rPr>
        <w:t>.</w:t>
      </w:r>
    </w:p>
    <w:p w:rsidR="00E24D5F" w:rsidRDefault="00E24D5F" w:rsidP="00E24D5F">
      <w:pPr>
        <w:spacing w:line="360" w:lineRule="auto"/>
        <w:ind w:left="2880" w:hanging="2160"/>
        <w:jc w:val="both"/>
        <w:rPr>
          <w:b/>
          <w:bCs/>
          <w:lang w:val="sq-AL"/>
        </w:rPr>
      </w:pPr>
    </w:p>
    <w:p w:rsidR="00E24D5F" w:rsidRDefault="0035599C" w:rsidP="00E24D5F">
      <w:pPr>
        <w:spacing w:line="360" w:lineRule="auto"/>
        <w:ind w:left="2880" w:hanging="2160"/>
        <w:jc w:val="both"/>
        <w:rPr>
          <w:b/>
          <w:bCs/>
          <w:lang w:val="sq-AL"/>
        </w:rPr>
      </w:pPr>
      <w:r w:rsidRPr="003F7D97">
        <w:rPr>
          <w:b/>
          <w:bCs/>
          <w:lang w:val="sq-AL"/>
        </w:rPr>
        <w:t>SUBJEKT I INTERESUAR</w:t>
      </w:r>
      <w:r w:rsidR="00E24D5F">
        <w:rPr>
          <w:b/>
          <w:bCs/>
          <w:lang w:val="sq-AL"/>
        </w:rPr>
        <w:t>:</w:t>
      </w:r>
    </w:p>
    <w:p w:rsidR="00E24D5F" w:rsidRDefault="0035599C" w:rsidP="00E24D5F">
      <w:pPr>
        <w:spacing w:line="360" w:lineRule="auto"/>
        <w:ind w:left="2880"/>
        <w:jc w:val="both"/>
        <w:rPr>
          <w:lang w:val="sq-AL"/>
        </w:rPr>
      </w:pPr>
      <w:r w:rsidRPr="003F7D97">
        <w:rPr>
          <w:b/>
          <w:bCs/>
          <w:lang w:val="sq-AL"/>
        </w:rPr>
        <w:t>KOSTANDIN SHKURTI</w:t>
      </w:r>
    </w:p>
    <w:p w:rsidR="00E24D5F" w:rsidRDefault="00E24D5F" w:rsidP="00E24D5F">
      <w:pPr>
        <w:spacing w:line="360" w:lineRule="auto"/>
        <w:jc w:val="both"/>
        <w:rPr>
          <w:lang w:val="sq-AL"/>
        </w:rPr>
      </w:pPr>
    </w:p>
    <w:p w:rsidR="00E24D5F" w:rsidRDefault="0035599C" w:rsidP="00E24D5F">
      <w:pPr>
        <w:spacing w:line="360" w:lineRule="auto"/>
        <w:ind w:left="2880" w:hanging="2160"/>
        <w:jc w:val="both"/>
        <w:rPr>
          <w:lang w:val="sq-AL"/>
        </w:rPr>
      </w:pPr>
      <w:r w:rsidRPr="003F7D97">
        <w:rPr>
          <w:b/>
          <w:lang w:val="sq-AL"/>
        </w:rPr>
        <w:t>OBJEKTI:</w:t>
      </w:r>
      <w:r w:rsidR="00E24D5F">
        <w:rPr>
          <w:b/>
          <w:lang w:val="sq-AL"/>
        </w:rPr>
        <w:tab/>
      </w:r>
      <w:r w:rsidRPr="003F7D97">
        <w:rPr>
          <w:b/>
          <w:lang w:val="sq-AL"/>
        </w:rPr>
        <w:t>Shfuqizimi si të papajtuesh</w:t>
      </w:r>
      <w:r>
        <w:rPr>
          <w:b/>
          <w:lang w:val="sq-AL"/>
        </w:rPr>
        <w:t>me</w:t>
      </w:r>
      <w:r w:rsidRPr="003F7D97">
        <w:rPr>
          <w:b/>
          <w:lang w:val="sq-AL"/>
        </w:rPr>
        <w:t xml:space="preserve"> me Kushtetutën e Republikës së Shqipërisë </w:t>
      </w:r>
      <w:r>
        <w:rPr>
          <w:b/>
          <w:lang w:val="sq-AL"/>
        </w:rPr>
        <w:t>i</w:t>
      </w:r>
      <w:r w:rsidRPr="003F7D97">
        <w:rPr>
          <w:b/>
          <w:lang w:val="sq-AL"/>
        </w:rPr>
        <w:t xml:space="preserve"> vendimeve nr.2030, datë 16.03.2015 të Gjykatës së Rrethit Gjyqësor Tiranë; nr.679, datë 30.03.2016 të Gjykatës së Apelit Tiranë; nr.00-2017-534 datë 27.04.2017 të Kolegjit Civil të Gjykatës së Lartë.</w:t>
      </w:r>
    </w:p>
    <w:p w:rsidR="00E24D5F" w:rsidRDefault="00E24D5F" w:rsidP="00E24D5F">
      <w:pPr>
        <w:spacing w:line="360" w:lineRule="auto"/>
        <w:ind w:left="2880" w:hanging="2160"/>
        <w:jc w:val="both"/>
        <w:rPr>
          <w:lang w:val="sq-AL"/>
        </w:rPr>
      </w:pPr>
    </w:p>
    <w:p w:rsidR="00E24D5F" w:rsidRDefault="0035599C" w:rsidP="00E24D5F">
      <w:pPr>
        <w:spacing w:line="360" w:lineRule="auto"/>
        <w:ind w:left="2880" w:hanging="2160"/>
        <w:jc w:val="both"/>
        <w:rPr>
          <w:lang w:val="sq-AL"/>
        </w:rPr>
      </w:pPr>
      <w:r w:rsidRPr="003F7D97">
        <w:rPr>
          <w:b/>
          <w:bCs/>
          <w:lang w:val="sq-AL"/>
        </w:rPr>
        <w:t>BAZA LIGJORE:</w:t>
      </w:r>
      <w:r w:rsidR="00E24D5F">
        <w:rPr>
          <w:bCs/>
          <w:lang w:val="sq-AL"/>
        </w:rPr>
        <w:tab/>
      </w:r>
      <w:r w:rsidRPr="003F7D97">
        <w:rPr>
          <w:lang w:val="sq-AL"/>
        </w:rPr>
        <w:t>Nenet 42, 131/1/f, 134/1/i dhe 142/1 të Kushtetutës së Republikës të Shqipërisë; neni 6 i Konventës E</w:t>
      </w:r>
      <w:r>
        <w:rPr>
          <w:lang w:val="sq-AL"/>
        </w:rPr>
        <w:t>v</w:t>
      </w:r>
      <w:r w:rsidRPr="003F7D97">
        <w:rPr>
          <w:lang w:val="sq-AL"/>
        </w:rPr>
        <w:t>ropiane për të Drejtat e  Njeriut; nenet 27, 71, 71/a, 71/b, 72 e vijues të ligjit nr.8577, datë 10.02.2000 “Për organizimin dhe funksionimin e Gjykatës Kushtetuese të Republikës së Shqipërisë”, të ndryshuar.</w:t>
      </w:r>
    </w:p>
    <w:p w:rsidR="00E24D5F" w:rsidRDefault="00E24D5F" w:rsidP="00E24D5F">
      <w:pPr>
        <w:spacing w:line="360" w:lineRule="auto"/>
        <w:jc w:val="both"/>
        <w:rPr>
          <w:b/>
          <w:bCs/>
          <w:lang w:val="sq-AL"/>
        </w:rPr>
      </w:pPr>
    </w:p>
    <w:p w:rsidR="0035599C" w:rsidRPr="00E24D5F" w:rsidRDefault="0035599C" w:rsidP="00E24D5F">
      <w:pPr>
        <w:spacing w:line="360" w:lineRule="auto"/>
        <w:jc w:val="center"/>
        <w:rPr>
          <w:lang w:val="sq-AL"/>
        </w:rPr>
      </w:pPr>
      <w:r w:rsidRPr="003F7D97">
        <w:rPr>
          <w:b/>
          <w:bCs/>
          <w:lang w:val="sq-AL"/>
        </w:rPr>
        <w:t>GJYKATA KUSHTETUESE,</w:t>
      </w:r>
    </w:p>
    <w:p w:rsidR="00E24D5F" w:rsidRDefault="0035599C" w:rsidP="00E24D5F">
      <w:pPr>
        <w:spacing w:line="360" w:lineRule="auto"/>
        <w:ind w:firstLine="720"/>
        <w:jc w:val="both"/>
        <w:rPr>
          <w:lang w:val="sq-AL"/>
        </w:rPr>
      </w:pPr>
      <w:r w:rsidRPr="003F7D97">
        <w:rPr>
          <w:lang w:val="sq-AL"/>
        </w:rPr>
        <w:t>pasi dëgjoi relatorin e çështjes Besnik Imeraj, mori në shqyrtim pretendimet me shkrim të kërkuesve, të cilët kanë kërkuar pranimin e kërkesës, prapësimet me shkrim të subjektit të interesuar, i cili ka kërkuar rrëzimin e kërkesës, dhe diskutoi çështjen në tërësi,</w:t>
      </w:r>
    </w:p>
    <w:p w:rsidR="00E24D5F" w:rsidRDefault="00E24D5F" w:rsidP="00E24D5F">
      <w:pPr>
        <w:spacing w:line="360" w:lineRule="auto"/>
        <w:jc w:val="both"/>
        <w:rPr>
          <w:lang w:val="sq-AL"/>
        </w:rPr>
      </w:pPr>
    </w:p>
    <w:p w:rsidR="00E24D5F" w:rsidRDefault="0035599C" w:rsidP="00E24D5F">
      <w:pPr>
        <w:spacing w:line="360" w:lineRule="auto"/>
        <w:jc w:val="center"/>
        <w:rPr>
          <w:lang w:val="sq-AL"/>
        </w:rPr>
      </w:pPr>
      <w:r w:rsidRPr="003F7D97">
        <w:rPr>
          <w:b/>
          <w:bCs/>
          <w:lang w:val="sq-AL"/>
        </w:rPr>
        <w:t>V Ë R E N:</w:t>
      </w:r>
    </w:p>
    <w:p w:rsidR="007E4055" w:rsidRDefault="0035599C" w:rsidP="007E4055">
      <w:pPr>
        <w:spacing w:line="360" w:lineRule="auto"/>
        <w:jc w:val="center"/>
        <w:rPr>
          <w:lang w:val="sq-AL"/>
        </w:rPr>
      </w:pPr>
      <w:r w:rsidRPr="003F7D97">
        <w:rPr>
          <w:b/>
          <w:bCs/>
          <w:lang w:val="sq-AL"/>
        </w:rPr>
        <w:lastRenderedPageBreak/>
        <w:t>I</w:t>
      </w:r>
    </w:p>
    <w:p w:rsidR="007E4055" w:rsidRDefault="0035599C" w:rsidP="007E4055">
      <w:pPr>
        <w:spacing w:line="360" w:lineRule="auto"/>
        <w:ind w:firstLine="720"/>
        <w:jc w:val="both"/>
        <w:rPr>
          <w:lang w:val="sq-AL"/>
        </w:rPr>
      </w:pPr>
      <w:r w:rsidRPr="003F7D97">
        <w:rPr>
          <w:lang w:val="sq-AL"/>
        </w:rPr>
        <w:t>1. Kërkuesit Spartak Gjikdhima, Elion Shkurtaj dhe subjekti i interesuar Kostandin Shkurti janë ortakë të vetëm të shoqërisë “Helios Catering” sh.p.k. Sipas statutit të shoqërisë rezulton se të tre ortakët e shoqërisë janë edhe administratorë të saj. Me vendimin e datës 07.08.2013 asambleja e ortakëve të shoqërisë ka marrë vendim</w:t>
      </w:r>
      <w:r>
        <w:rPr>
          <w:lang w:val="sq-AL"/>
        </w:rPr>
        <w:t>in</w:t>
      </w:r>
      <w:r w:rsidRPr="003F7D97">
        <w:rPr>
          <w:lang w:val="sq-AL"/>
        </w:rPr>
        <w:t xml:space="preserve"> për shkarkimin nga detyra të administratorit Konstandin Shkurtit. Ky i fundit, duke mos qenë dakord me këtë vendim, i është  drejtuar gjykatës për zgjidhjen e konfliktit, duke kërkuar nga kërkuesit Spartak Gjikdhima dhe </w:t>
      </w:r>
      <w:bookmarkStart w:id="0" w:name="_GoBack"/>
      <w:r w:rsidR="00B71D5E">
        <w:rPr>
          <w:lang w:val="sq-AL"/>
        </w:rPr>
        <w:t>Elion</w:t>
      </w:r>
      <w:bookmarkEnd w:id="0"/>
      <w:r w:rsidRPr="003F7D97">
        <w:rPr>
          <w:lang w:val="sq-AL"/>
        </w:rPr>
        <w:t xml:space="preserve"> Shkurtaj (pala e paditur në procesin gjyqësor) që në mënyrë solidare t`i likuidojnë kuotën si pasojë e largimit nga shoqëria pa shkaqe të arsyeshme, t`i paguajnë fitimin e përfituar për vitet 2011-2013, si dhe t`i paguajnë sponsorizimin e bërë për llogari të shoqërisë. Po ashtu, ai ka kërkuar në gjykatë edhe deklarimin </w:t>
      </w:r>
      <w:r>
        <w:rPr>
          <w:lang w:val="sq-AL"/>
        </w:rPr>
        <w:t>të</w:t>
      </w:r>
      <w:r w:rsidRPr="003F7D97">
        <w:rPr>
          <w:lang w:val="sq-AL"/>
        </w:rPr>
        <w:t xml:space="preserve"> pavlefshëm të vendimit të asamblesë së ortakëve, si dhe detyrimin e të paditurve </w:t>
      </w:r>
      <w:r w:rsidR="007E4055">
        <w:rPr>
          <w:lang w:val="sq-AL"/>
        </w:rPr>
        <w:t>të paguajnë dëmin e pësuar etj.</w:t>
      </w:r>
    </w:p>
    <w:p w:rsidR="007E4055" w:rsidRDefault="0035599C" w:rsidP="007E4055">
      <w:pPr>
        <w:spacing w:line="360" w:lineRule="auto"/>
        <w:ind w:firstLine="720"/>
        <w:jc w:val="both"/>
        <w:rPr>
          <w:lang w:val="sq-AL"/>
        </w:rPr>
      </w:pPr>
      <w:r w:rsidRPr="003F7D97">
        <w:rPr>
          <w:lang w:val="sq-AL"/>
        </w:rPr>
        <w:t>2. Me vendimin nr.2030, datë 16.03.2015, Gjykata e Rrethit Gjyqësor Tiranë ka vendosur: “</w:t>
      </w:r>
      <w:r w:rsidRPr="003F7D97">
        <w:rPr>
          <w:i/>
          <w:lang w:val="sq-AL"/>
        </w:rPr>
        <w:t>Pranimin e pjesshëm të</w:t>
      </w:r>
      <w:r w:rsidRPr="003F7D97">
        <w:rPr>
          <w:i/>
          <w:color w:val="0D0D0D"/>
          <w:lang w:val="sq-AL"/>
        </w:rPr>
        <w:t xml:space="preserve"> kërkesëpadisë. D</w:t>
      </w:r>
      <w:r w:rsidRPr="003F7D97">
        <w:rPr>
          <w:i/>
          <w:lang w:val="sq-AL"/>
        </w:rPr>
        <w:t xml:space="preserve">etyrimi i të paditurve që në mënyrë solidare t`i paguajnë paditësit vlerën e kuotave të tija në shoqërinë me përgjegjësi të kufizuar “Helios Catering” sh.p.k. në vlerën 9.108.000 lekë. Detyrimi i të paditurve që në mënyrë solidare t`i paguajnë paditësit pjesën e fitimit të pashpërndarë të shoqërisë “Helios Catering” sh.p.k... Detyrimi i të paditurve që në mënyrë solidare t`i paguajnë paditësit për vlerat e marra hua nga shoqëria “Helios Catering” sh.p.k. në masën 9.174.725 lekë. Shpalljen e pavlefshmërisë së vendimit të ortakëve të shoqërisë “Helios Catering” sh.p.k. të marrë në mbledhjen e datës 07.10.2013 dhe detyrimi i të paditurve të paguajnë për dëmin e pësuar  si rezultat i këtij vendimi  në shumën prej 2.752.000 lekë. Detyrimi i të paditurve t`i paguajnë dëmin që konsiston në formën e fitimit të munguar nga ekzekutimi i kontratave të lidhura me të tretët... Shuarjen për paditësin Kostandin Shkurti të të gjitha të drejtave, që rrjedhin nga cilësia e ortakut në shoqërinë “Helios Catering” sh.p.k. </w:t>
      </w:r>
      <w:r w:rsidRPr="003F7D97">
        <w:rPr>
          <w:i/>
          <w:color w:val="0D0D0D"/>
          <w:lang w:val="sq-AL"/>
        </w:rPr>
        <w:t>Rrëzimin e kërkesëpadisë për pjesën tjetër të saj.</w:t>
      </w:r>
      <w:r w:rsidRPr="003F7D97">
        <w:rPr>
          <w:color w:val="0D0D0D"/>
          <w:lang w:val="sq-AL"/>
        </w:rPr>
        <w:t>”</w:t>
      </w:r>
      <w:r>
        <w:rPr>
          <w:color w:val="0D0D0D"/>
          <w:lang w:val="sq-AL"/>
        </w:rPr>
        <w:t>.</w:t>
      </w:r>
    </w:p>
    <w:p w:rsidR="007E4055" w:rsidRDefault="0035599C" w:rsidP="007E4055">
      <w:pPr>
        <w:spacing w:line="360" w:lineRule="auto"/>
        <w:ind w:firstLine="720"/>
        <w:jc w:val="both"/>
        <w:rPr>
          <w:lang w:val="sq-AL"/>
        </w:rPr>
      </w:pPr>
      <w:r w:rsidRPr="003F7D97">
        <w:rPr>
          <w:color w:val="0D0D0D"/>
          <w:lang w:val="sq-AL"/>
        </w:rPr>
        <w:t>3. M</w:t>
      </w:r>
      <w:r w:rsidRPr="003F7D97">
        <w:rPr>
          <w:lang w:val="sq-AL"/>
        </w:rPr>
        <w:t>e vendimin nr.679, datë 30.03.2016, Gjykata e Apelit Tiranë ka vendosur të lërë në fuqi vendimin nr.2030, datë 16.03.2015 të Gjykatës së Rrethit Gjyqësor Tiranë. Kundër këtij vendimi kanë paraqitur rekurs në Gjykatën e Lartë kërkuesit Spartak Gjikdhi</w:t>
      </w:r>
      <w:r w:rsidR="007E4055">
        <w:rPr>
          <w:lang w:val="sq-AL"/>
        </w:rPr>
        <w:t xml:space="preserve">ma dhe </w:t>
      </w:r>
      <w:r w:rsidR="00B71D5E">
        <w:rPr>
          <w:lang w:val="sq-AL"/>
        </w:rPr>
        <w:t>Elion</w:t>
      </w:r>
      <w:r w:rsidR="007E4055">
        <w:rPr>
          <w:lang w:val="sq-AL"/>
        </w:rPr>
        <w:t xml:space="preserve"> Shkurtaj.</w:t>
      </w:r>
    </w:p>
    <w:p w:rsidR="007E4055" w:rsidRDefault="0035599C" w:rsidP="007E4055">
      <w:pPr>
        <w:spacing w:line="360" w:lineRule="auto"/>
        <w:ind w:firstLine="720"/>
        <w:jc w:val="both"/>
        <w:rPr>
          <w:lang w:val="sq-AL"/>
        </w:rPr>
      </w:pPr>
      <w:r w:rsidRPr="003F7D97">
        <w:rPr>
          <w:lang w:val="sq-AL"/>
        </w:rPr>
        <w:t>4. Me vendimin nr.00-2017-534,</w:t>
      </w:r>
      <w:r w:rsidRPr="003F7D97">
        <w:rPr>
          <w:spacing w:val="-3"/>
          <w:lang w:val="sq-AL"/>
        </w:rPr>
        <w:t xml:space="preserve"> datë 27.04.2017, Kolegji Civil i </w:t>
      </w:r>
      <w:r w:rsidRPr="003F7D97">
        <w:rPr>
          <w:lang w:val="sq-AL"/>
        </w:rPr>
        <w:t xml:space="preserve">Gjykatës së Lartë </w:t>
      </w:r>
      <w:r w:rsidRPr="003F7D97">
        <w:rPr>
          <w:spacing w:val="-3"/>
          <w:lang w:val="sq-AL"/>
        </w:rPr>
        <w:t>ka vendosur mospranimin e rekursit</w:t>
      </w:r>
      <w:r w:rsidR="00D51115">
        <w:rPr>
          <w:spacing w:val="-3"/>
          <w:lang w:val="sq-AL"/>
        </w:rPr>
        <w:t>,</w:t>
      </w:r>
      <w:r w:rsidRPr="003F7D97">
        <w:rPr>
          <w:spacing w:val="-3"/>
          <w:lang w:val="sq-AL"/>
        </w:rPr>
        <w:t xml:space="preserve"> </w:t>
      </w:r>
      <w:r w:rsidRPr="003F7D97">
        <w:rPr>
          <w:lang w:val="sq-AL"/>
        </w:rPr>
        <w:t>me arsyetimin se nuk përmban shkaqe nga ato që parashikon neni 472 i Ko</w:t>
      </w:r>
      <w:r w:rsidR="007E4055">
        <w:rPr>
          <w:lang w:val="sq-AL"/>
        </w:rPr>
        <w:t>dit të Procedurës Civile (KPC).</w:t>
      </w:r>
    </w:p>
    <w:p w:rsidR="007E4055" w:rsidRDefault="007E4055" w:rsidP="007E4055">
      <w:pPr>
        <w:spacing w:line="360" w:lineRule="auto"/>
        <w:jc w:val="both"/>
        <w:rPr>
          <w:lang w:val="sq-AL"/>
        </w:rPr>
      </w:pPr>
    </w:p>
    <w:p w:rsidR="007E4055" w:rsidRDefault="0035599C" w:rsidP="007E4055">
      <w:pPr>
        <w:spacing w:line="360" w:lineRule="auto"/>
        <w:jc w:val="center"/>
        <w:rPr>
          <w:lang w:val="sq-AL"/>
        </w:rPr>
      </w:pPr>
      <w:r w:rsidRPr="003F7D97">
        <w:rPr>
          <w:b/>
          <w:lang w:val="sq-AL"/>
        </w:rPr>
        <w:t>II</w:t>
      </w:r>
    </w:p>
    <w:p w:rsidR="0035599C" w:rsidRPr="007E4055" w:rsidRDefault="0035599C" w:rsidP="007E4055">
      <w:pPr>
        <w:spacing w:line="360" w:lineRule="auto"/>
        <w:ind w:firstLine="720"/>
        <w:jc w:val="both"/>
        <w:rPr>
          <w:lang w:val="sq-AL"/>
        </w:rPr>
      </w:pPr>
      <w:r w:rsidRPr="003F7D97">
        <w:rPr>
          <w:rFonts w:eastAsia="Calibri"/>
          <w:lang w:val="sq-AL" w:eastAsia="fr-FR"/>
        </w:rPr>
        <w:t xml:space="preserve">5. </w:t>
      </w:r>
      <w:r w:rsidRPr="003F7D97">
        <w:rPr>
          <w:rFonts w:eastAsia="Calibri"/>
          <w:b/>
          <w:i/>
          <w:lang w:val="sq-AL" w:eastAsia="fr-FR"/>
        </w:rPr>
        <w:t xml:space="preserve">Kërkuesit Spartak Gjikdhima, </w:t>
      </w:r>
      <w:r w:rsidR="00B71D5E">
        <w:rPr>
          <w:rFonts w:eastAsia="Calibri"/>
          <w:b/>
          <w:i/>
          <w:lang w:val="sq-AL" w:eastAsia="fr-FR"/>
        </w:rPr>
        <w:t>Elion</w:t>
      </w:r>
      <w:r w:rsidRPr="003F7D97">
        <w:rPr>
          <w:rFonts w:eastAsia="Calibri"/>
          <w:b/>
          <w:i/>
          <w:lang w:val="sq-AL" w:eastAsia="fr-FR"/>
        </w:rPr>
        <w:t xml:space="preserve"> Shkurtaj dhe shoqëria “Food Catering” sh.p.k. </w:t>
      </w:r>
      <w:r w:rsidRPr="003F7D97">
        <w:rPr>
          <w:rFonts w:eastAsia="Calibri"/>
          <w:lang w:val="sq-AL" w:eastAsia="fr-FR"/>
        </w:rPr>
        <w:t>i janë drejtuar Gjykatës Kushtetuese (</w:t>
      </w:r>
      <w:r w:rsidRPr="003F7D97">
        <w:rPr>
          <w:rFonts w:eastAsia="Calibri"/>
          <w:i/>
          <w:lang w:val="sq-AL" w:eastAsia="fr-FR"/>
        </w:rPr>
        <w:t>Gjykata</w:t>
      </w:r>
      <w:r w:rsidRPr="003F7D97">
        <w:rPr>
          <w:rFonts w:eastAsia="Calibri"/>
          <w:lang w:val="sq-AL" w:eastAsia="fr-FR"/>
        </w:rPr>
        <w:t>)</w:t>
      </w:r>
      <w:r>
        <w:rPr>
          <w:rFonts w:eastAsia="Calibri"/>
          <w:lang w:val="sq-AL" w:eastAsia="fr-FR"/>
        </w:rPr>
        <w:t>,</w:t>
      </w:r>
      <w:r w:rsidRPr="003F7D97">
        <w:rPr>
          <w:rFonts w:eastAsia="Calibri"/>
          <w:lang w:val="sq-AL" w:eastAsia="fr-FR"/>
        </w:rPr>
        <w:t xml:space="preserve"> sipas objektit të kërkesës, duke parashtruar në mënyrë të përmbledhur këto shkaqe: </w:t>
      </w:r>
    </w:p>
    <w:p w:rsidR="007E4055" w:rsidRDefault="0035599C" w:rsidP="007E4055">
      <w:pPr>
        <w:spacing w:line="360" w:lineRule="auto"/>
        <w:ind w:left="1259" w:hanging="539"/>
        <w:jc w:val="both"/>
        <w:rPr>
          <w:rFonts w:eastAsia="Calibri"/>
          <w:lang w:val="sq-AL" w:eastAsia="fr-FR"/>
        </w:rPr>
      </w:pPr>
      <w:r w:rsidRPr="003F7D97">
        <w:rPr>
          <w:rFonts w:eastAsia="Calibri"/>
          <w:lang w:val="sq-AL" w:eastAsia="fr-FR"/>
        </w:rPr>
        <w:t>5.1.</w:t>
      </w:r>
      <w:r w:rsidR="007E4055">
        <w:rPr>
          <w:rFonts w:eastAsia="Calibri"/>
          <w:lang w:val="sq-AL" w:eastAsia="fr-FR"/>
        </w:rPr>
        <w:tab/>
      </w:r>
      <w:r w:rsidRPr="003F7D97">
        <w:rPr>
          <w:bCs/>
          <w:iCs/>
          <w:lang w:val="sq-AL"/>
        </w:rPr>
        <w:t>Është cenuar parimi i gjykatës së caktuar me ligj, pasi në shkallë të parë çështja është gjykuar nga një gjyqtar i vetëm, ndërkohë që sipas vlerës së padisë duhet të gjykohej nga një trup</w:t>
      </w:r>
      <w:r>
        <w:rPr>
          <w:bCs/>
          <w:iCs/>
          <w:lang w:val="sq-AL"/>
        </w:rPr>
        <w:t>ë</w:t>
      </w:r>
      <w:r w:rsidRPr="003F7D97">
        <w:rPr>
          <w:bCs/>
          <w:iCs/>
          <w:lang w:val="sq-AL"/>
        </w:rPr>
        <w:t xml:space="preserve"> prej tre gjyqtarësh.</w:t>
      </w:r>
    </w:p>
    <w:p w:rsidR="007E4055" w:rsidRDefault="0035599C" w:rsidP="007E4055">
      <w:pPr>
        <w:spacing w:line="360" w:lineRule="auto"/>
        <w:ind w:left="1259" w:hanging="539"/>
        <w:jc w:val="both"/>
        <w:rPr>
          <w:bCs/>
          <w:iCs/>
          <w:lang w:val="sq-AL"/>
        </w:rPr>
      </w:pPr>
      <w:r w:rsidRPr="003F7D97">
        <w:rPr>
          <w:rFonts w:eastAsia="Calibri"/>
          <w:lang w:val="sq-AL" w:eastAsia="fr-FR"/>
        </w:rPr>
        <w:t>5.2.</w:t>
      </w:r>
      <w:r w:rsidR="007E4055">
        <w:rPr>
          <w:rFonts w:eastAsia="Calibri"/>
          <w:lang w:val="sq-AL" w:eastAsia="fr-FR"/>
        </w:rPr>
        <w:tab/>
      </w:r>
      <w:r w:rsidRPr="003F7D97">
        <w:rPr>
          <w:bCs/>
          <w:iCs/>
          <w:lang w:val="sq-AL"/>
        </w:rPr>
        <w:t>Është cenuar e drejta për t</w:t>
      </w:r>
      <w:r>
        <w:rPr>
          <w:bCs/>
          <w:iCs/>
          <w:lang w:val="sq-AL"/>
        </w:rPr>
        <w:t>’</w:t>
      </w:r>
      <w:r w:rsidRPr="003F7D97">
        <w:rPr>
          <w:bCs/>
          <w:iCs/>
          <w:lang w:val="sq-AL"/>
        </w:rPr>
        <w:t xml:space="preserve">u dëgjuar në gjykatë. Mosnjoftimi </w:t>
      </w:r>
      <w:r>
        <w:rPr>
          <w:bCs/>
          <w:iCs/>
          <w:lang w:val="sq-AL"/>
        </w:rPr>
        <w:t>për</w:t>
      </w:r>
      <w:r w:rsidRPr="003F7D97">
        <w:rPr>
          <w:bCs/>
          <w:iCs/>
          <w:lang w:val="sq-AL"/>
        </w:rPr>
        <w:t xml:space="preserve"> procesin gjyqësor </w:t>
      </w:r>
      <w:r>
        <w:rPr>
          <w:bCs/>
          <w:iCs/>
          <w:lang w:val="sq-AL"/>
        </w:rPr>
        <w:t>u</w:t>
      </w:r>
      <w:r w:rsidRPr="003F7D97">
        <w:rPr>
          <w:bCs/>
          <w:iCs/>
          <w:lang w:val="sq-AL"/>
        </w:rPr>
        <w:t xml:space="preserve"> ka cenuar kërkuesve të drejtën e mbrojtjes në drejtim të parimit të barazisë së armëve dhe atij të kon</w:t>
      </w:r>
      <w:r>
        <w:rPr>
          <w:bCs/>
          <w:iCs/>
          <w:lang w:val="sq-AL"/>
        </w:rPr>
        <w:t>t</w:t>
      </w:r>
      <w:r w:rsidRPr="003F7D97">
        <w:rPr>
          <w:bCs/>
          <w:iCs/>
          <w:lang w:val="sq-AL"/>
        </w:rPr>
        <w:t>radiktoritetit. Padijenia për zhvillimin e proceseve gjyqësore ka qenë rrjedhojë e mosnjoftimit të kërkuesve, e vërtetuar kjo edhe nga vendimet gjyqësore</w:t>
      </w:r>
      <w:r>
        <w:rPr>
          <w:bCs/>
          <w:iCs/>
          <w:lang w:val="sq-AL"/>
        </w:rPr>
        <w:t>,</w:t>
      </w:r>
      <w:r w:rsidRPr="003F7D97">
        <w:rPr>
          <w:bCs/>
          <w:iCs/>
          <w:lang w:val="sq-AL"/>
        </w:rPr>
        <w:t xml:space="preserve"> si dhe nga procesverbali i gjykimit në Gjyk</w:t>
      </w:r>
      <w:r w:rsidR="007E4055">
        <w:rPr>
          <w:bCs/>
          <w:iCs/>
          <w:lang w:val="sq-AL"/>
        </w:rPr>
        <w:t>atën e Rrethit Gjyqësor Tiranë.</w:t>
      </w:r>
    </w:p>
    <w:p w:rsidR="007E4055" w:rsidRDefault="0035599C" w:rsidP="007E4055">
      <w:pPr>
        <w:spacing w:line="360" w:lineRule="auto"/>
        <w:ind w:left="1259" w:hanging="539"/>
        <w:jc w:val="both"/>
        <w:rPr>
          <w:rFonts w:eastAsia="Calibri"/>
          <w:lang w:val="sq-AL" w:eastAsia="fr-FR"/>
        </w:rPr>
      </w:pPr>
      <w:r w:rsidRPr="003F7D97">
        <w:rPr>
          <w:bCs/>
          <w:iCs/>
          <w:lang w:val="sq-AL"/>
        </w:rPr>
        <w:t>5.3</w:t>
      </w:r>
      <w:r>
        <w:rPr>
          <w:bCs/>
          <w:iCs/>
          <w:lang w:val="sq-AL"/>
        </w:rPr>
        <w:t>.</w:t>
      </w:r>
      <w:r w:rsidR="007E4055">
        <w:rPr>
          <w:bCs/>
          <w:iCs/>
          <w:lang w:val="sq-AL"/>
        </w:rPr>
        <w:tab/>
      </w:r>
      <w:r w:rsidRPr="003F7D97">
        <w:rPr>
          <w:bCs/>
          <w:iCs/>
          <w:lang w:val="sq-AL"/>
        </w:rPr>
        <w:t>Vendimi i Gjykatës së Apelit karakterizohet nga mungesa e arsyetimit</w:t>
      </w:r>
      <w:r>
        <w:rPr>
          <w:bCs/>
          <w:iCs/>
          <w:lang w:val="sq-AL"/>
        </w:rPr>
        <w:t xml:space="preserve"> dhe shkelja e parimit të barazisë së armëve dhe aksesit në gjykatë</w:t>
      </w:r>
      <w:r w:rsidRPr="003F7D97">
        <w:rPr>
          <w:bCs/>
          <w:iCs/>
          <w:lang w:val="sq-AL"/>
        </w:rPr>
        <w:t>. Gjykata e Apelit jo vetëm që nuk ka marrë në konsideratë provat dhe ligjin, por dhe vetë ankimin</w:t>
      </w:r>
      <w:r w:rsidR="00D51115">
        <w:rPr>
          <w:bCs/>
          <w:iCs/>
          <w:lang w:val="sq-AL"/>
        </w:rPr>
        <w:t>,</w:t>
      </w:r>
      <w:r w:rsidRPr="003F7D97">
        <w:rPr>
          <w:bCs/>
          <w:iCs/>
          <w:lang w:val="sq-AL"/>
        </w:rPr>
        <w:t xml:space="preserve"> duke mos u dhënë përgjigje çështjeve të ngritura në të.</w:t>
      </w:r>
    </w:p>
    <w:p w:rsidR="007E4055" w:rsidRDefault="0035599C" w:rsidP="007E4055">
      <w:pPr>
        <w:spacing w:line="360" w:lineRule="auto"/>
        <w:ind w:left="1259" w:hanging="539"/>
        <w:jc w:val="both"/>
        <w:rPr>
          <w:rFonts w:eastAsia="Calibri"/>
          <w:lang w:val="sq-AL" w:eastAsia="fr-FR"/>
        </w:rPr>
      </w:pPr>
      <w:r w:rsidRPr="003F7D97">
        <w:rPr>
          <w:bCs/>
          <w:iCs/>
          <w:lang w:val="sq-AL"/>
        </w:rPr>
        <w:t>5.4.</w:t>
      </w:r>
      <w:r w:rsidR="007E4055">
        <w:rPr>
          <w:bCs/>
          <w:iCs/>
          <w:lang w:val="sq-AL"/>
        </w:rPr>
        <w:tab/>
      </w:r>
      <w:r w:rsidRPr="003F7D97">
        <w:rPr>
          <w:bCs/>
          <w:iCs/>
          <w:lang w:val="sq-AL"/>
        </w:rPr>
        <w:t>Është cenuar standardi i arsyetimit të vendimit, si dhe e drejta për t</w:t>
      </w:r>
      <w:r>
        <w:rPr>
          <w:bCs/>
          <w:iCs/>
          <w:lang w:val="sq-AL"/>
        </w:rPr>
        <w:t>’</w:t>
      </w:r>
      <w:r w:rsidRPr="003F7D97">
        <w:rPr>
          <w:bCs/>
          <w:iCs/>
          <w:lang w:val="sq-AL"/>
        </w:rPr>
        <w:t>u mbrojtur dhe për t</w:t>
      </w:r>
      <w:r>
        <w:rPr>
          <w:bCs/>
          <w:iCs/>
          <w:lang w:val="sq-AL"/>
        </w:rPr>
        <w:t>’</w:t>
      </w:r>
      <w:r w:rsidRPr="003F7D97">
        <w:rPr>
          <w:bCs/>
          <w:iCs/>
          <w:lang w:val="sq-AL"/>
        </w:rPr>
        <w:t>u dëgjuar</w:t>
      </w:r>
      <w:r>
        <w:rPr>
          <w:bCs/>
          <w:iCs/>
          <w:lang w:val="sq-AL"/>
        </w:rPr>
        <w:t>,</w:t>
      </w:r>
      <w:r w:rsidRPr="003F7D97">
        <w:rPr>
          <w:bCs/>
          <w:iCs/>
          <w:lang w:val="sq-AL"/>
        </w:rPr>
        <w:t xml:space="preserve"> pasi Gjykata e Lartë dhe pse shkaqet ligjore të ngritura në rekurs lidheshin me shkelje të rënda procedural</w:t>
      </w:r>
      <w:r>
        <w:rPr>
          <w:bCs/>
          <w:iCs/>
          <w:lang w:val="sq-AL"/>
        </w:rPr>
        <w:t>e</w:t>
      </w:r>
      <w:r w:rsidRPr="003F7D97">
        <w:rPr>
          <w:bCs/>
          <w:iCs/>
          <w:lang w:val="sq-AL"/>
        </w:rPr>
        <w:t xml:space="preserve">, </w:t>
      </w:r>
      <w:r>
        <w:rPr>
          <w:bCs/>
          <w:iCs/>
          <w:lang w:val="sq-AL"/>
        </w:rPr>
        <w:t xml:space="preserve">ka </w:t>
      </w:r>
      <w:r w:rsidRPr="003F7D97">
        <w:rPr>
          <w:bCs/>
          <w:iCs/>
          <w:lang w:val="sq-AL"/>
        </w:rPr>
        <w:t>vendos</w:t>
      </w:r>
      <w:r>
        <w:rPr>
          <w:bCs/>
          <w:iCs/>
          <w:lang w:val="sq-AL"/>
        </w:rPr>
        <w:t>ur</w:t>
      </w:r>
      <w:r w:rsidRPr="003F7D97">
        <w:rPr>
          <w:bCs/>
          <w:iCs/>
          <w:lang w:val="sq-AL"/>
        </w:rPr>
        <w:t xml:space="preserve"> mospranimin e tij në dhomën e këshillimit pa praninë e palëve.</w:t>
      </w:r>
    </w:p>
    <w:p w:rsidR="0035599C" w:rsidRPr="003F7D97" w:rsidRDefault="0035599C" w:rsidP="007E4055">
      <w:pPr>
        <w:spacing w:line="360" w:lineRule="auto"/>
        <w:ind w:firstLine="720"/>
        <w:jc w:val="both"/>
        <w:rPr>
          <w:rFonts w:eastAsia="Calibri"/>
          <w:lang w:val="sq-AL" w:eastAsia="fr-FR"/>
        </w:rPr>
      </w:pPr>
      <w:r w:rsidRPr="003F7D97">
        <w:rPr>
          <w:rFonts w:eastAsia="Calibri"/>
          <w:lang w:val="sq-AL" w:eastAsia="fr-FR"/>
        </w:rPr>
        <w:t xml:space="preserve">6.  </w:t>
      </w:r>
      <w:r w:rsidRPr="003F7D97">
        <w:rPr>
          <w:rFonts w:eastAsia="Calibri"/>
          <w:b/>
          <w:i/>
          <w:lang w:val="sq-AL" w:eastAsia="fr-FR"/>
        </w:rPr>
        <w:t>Subjekti i interesuar Konstandin Shkurti</w:t>
      </w:r>
      <w:r w:rsidRPr="003F7D97">
        <w:rPr>
          <w:rFonts w:eastAsia="Calibri"/>
          <w:lang w:val="sq-AL" w:eastAsia="fr-FR"/>
        </w:rPr>
        <w:t xml:space="preserve"> në prapësimet me shkrim ka argumentuar sa vijon:</w:t>
      </w:r>
    </w:p>
    <w:p w:rsidR="007E4055" w:rsidRDefault="0035599C" w:rsidP="007E4055">
      <w:pPr>
        <w:pStyle w:val="ListParagraph"/>
        <w:spacing w:line="360" w:lineRule="auto"/>
        <w:ind w:left="1168" w:hanging="539"/>
        <w:jc w:val="both"/>
        <w:rPr>
          <w:lang w:val="sq-AL"/>
        </w:rPr>
      </w:pPr>
      <w:r w:rsidRPr="003F7D97">
        <w:rPr>
          <w:lang w:val="sq-AL"/>
        </w:rPr>
        <w:t>6.1.</w:t>
      </w:r>
      <w:r w:rsidR="007E4055">
        <w:rPr>
          <w:lang w:val="sq-AL"/>
        </w:rPr>
        <w:tab/>
      </w:r>
      <w:r w:rsidRPr="003F7D97">
        <w:rPr>
          <w:lang w:val="sq-AL"/>
        </w:rPr>
        <w:t>Pretendimi për cenimin e parimit të gjykatës së caktuar me ligj nuk qëndron. Në kohën e ngritjes së kërkesëpadisë është kërkuar nga ana e palës së paditur një vlerë e përafërt që korrespondon me vlerën e kuotave të paditësit në shoqëri. Gjatë gjykimit, me kërkesë të paditësit, është caktuar një ekspert kontabël dhe në bazë të konkluzioneve të aktit të ekspertimit është bërë ndryshimi i objektit të kërkesëpadisë me vlerë të përcaktuar saktë. Nga ana e palës së paditur nuk është kërkuar në seancë gjyqësore që gjykimi të zhvillohej me tre gjyqtarë. Për më tepër</w:t>
      </w:r>
      <w:r>
        <w:rPr>
          <w:lang w:val="sq-AL"/>
        </w:rPr>
        <w:t>,</w:t>
      </w:r>
      <w:r w:rsidRPr="003F7D97">
        <w:rPr>
          <w:lang w:val="sq-AL"/>
        </w:rPr>
        <w:t xml:space="preserve"> neni 35 i KPC-së nuk është dispozitë urdhëruese</w:t>
      </w:r>
      <w:r>
        <w:rPr>
          <w:lang w:val="sq-AL"/>
        </w:rPr>
        <w:t>,</w:t>
      </w:r>
      <w:r w:rsidRPr="003F7D97">
        <w:rPr>
          <w:lang w:val="sq-AL"/>
        </w:rPr>
        <w:t xml:space="preserve"> por u jep të drejtë palëve ta kërkojnë një gjë të tillë.</w:t>
      </w:r>
    </w:p>
    <w:p w:rsidR="007E4055" w:rsidRDefault="0035599C" w:rsidP="007E4055">
      <w:pPr>
        <w:pStyle w:val="ListParagraph"/>
        <w:spacing w:line="360" w:lineRule="auto"/>
        <w:ind w:left="1168" w:hanging="539"/>
        <w:jc w:val="both"/>
        <w:rPr>
          <w:lang w:val="sq-AL"/>
        </w:rPr>
      </w:pPr>
      <w:r w:rsidRPr="003F7D97">
        <w:rPr>
          <w:lang w:val="sq-AL"/>
        </w:rPr>
        <w:lastRenderedPageBreak/>
        <w:t>6.2.</w:t>
      </w:r>
      <w:r w:rsidR="007E4055">
        <w:rPr>
          <w:lang w:val="sq-AL"/>
        </w:rPr>
        <w:tab/>
      </w:r>
      <w:r w:rsidRPr="003F7D97">
        <w:rPr>
          <w:lang w:val="sq-AL"/>
        </w:rPr>
        <w:t>I pabazuar është edhe pretendimi i kërkuesve se nuk kanë pasur dijeni për procesin gjyqësor. Nga procesverbalet gjyqësore rezulton se të paditurit kanë pasur dijeni për gjykimin dhe se ata vetë me kërkesa të vazhdueshme janë përpjekur të zvarrisin gjykimin. Po ashtu, çdo provë e administruar në gjykim i është nënshtruar debatit gjyqësor në Gjykatën e Apelit dhe palës së paditur i është dhënë mundësia të debatojë mbi to në respektim të parimit t</w:t>
      </w:r>
      <w:r w:rsidR="007E4055">
        <w:rPr>
          <w:lang w:val="sq-AL"/>
        </w:rPr>
        <w:t>ë kontradiktoritetit në gjykim.</w:t>
      </w:r>
    </w:p>
    <w:p w:rsidR="007E4055" w:rsidRDefault="0035599C" w:rsidP="007E4055">
      <w:pPr>
        <w:pStyle w:val="ListParagraph"/>
        <w:spacing w:line="360" w:lineRule="auto"/>
        <w:ind w:left="1168" w:hanging="539"/>
        <w:jc w:val="both"/>
        <w:rPr>
          <w:lang w:val="sq-AL"/>
        </w:rPr>
      </w:pPr>
      <w:r w:rsidRPr="003F7D97">
        <w:rPr>
          <w:lang w:val="sq-AL"/>
        </w:rPr>
        <w:t>6.3.</w:t>
      </w:r>
      <w:r w:rsidR="007E4055">
        <w:rPr>
          <w:lang w:val="sq-AL"/>
        </w:rPr>
        <w:tab/>
      </w:r>
      <w:r w:rsidRPr="003F7D97">
        <w:rPr>
          <w:lang w:val="sq-AL"/>
        </w:rPr>
        <w:t>Në lidhje me pretendimin për cenimin e parimit të arsyetimit të vendimit të Gjykatës se Apelit, rezulton se ai është i mbështetur vetëm mbi faktet që janë paraqitur gjatë procesit gjyqësor, është logjik në formë dhe në përmbajtje dhe nuk ka asnjë kundërthënie. Pretendimet e palëve, provat dhe faktet janë interpretuar drejt dhe në harmoni m</w:t>
      </w:r>
      <w:r>
        <w:rPr>
          <w:lang w:val="sq-AL"/>
        </w:rPr>
        <w:t>e</w:t>
      </w:r>
      <w:r w:rsidRPr="003F7D97">
        <w:rPr>
          <w:lang w:val="sq-AL"/>
        </w:rPr>
        <w:t xml:space="preserve"> ligjin nga gjykatat e të tria shkallëve të gjykimit.</w:t>
      </w:r>
    </w:p>
    <w:p w:rsidR="007E4055" w:rsidRDefault="007E4055" w:rsidP="007E4055">
      <w:pPr>
        <w:pStyle w:val="ListParagraph"/>
        <w:spacing w:line="360" w:lineRule="auto"/>
        <w:ind w:left="0"/>
        <w:jc w:val="both"/>
        <w:rPr>
          <w:lang w:val="sq-AL"/>
        </w:rPr>
      </w:pPr>
    </w:p>
    <w:p w:rsidR="007E4055" w:rsidRDefault="0035599C" w:rsidP="007E4055">
      <w:pPr>
        <w:pStyle w:val="ListParagraph"/>
        <w:spacing w:line="360" w:lineRule="auto"/>
        <w:ind w:left="0"/>
        <w:jc w:val="center"/>
        <w:rPr>
          <w:b/>
          <w:lang w:val="sq-AL"/>
        </w:rPr>
      </w:pPr>
      <w:r w:rsidRPr="003F7D97">
        <w:rPr>
          <w:b/>
          <w:lang w:val="sq-AL"/>
        </w:rPr>
        <w:t>III</w:t>
      </w:r>
    </w:p>
    <w:p w:rsidR="007E4055" w:rsidRDefault="0035599C" w:rsidP="007E4055">
      <w:pPr>
        <w:pStyle w:val="ListParagraph"/>
        <w:spacing w:line="360" w:lineRule="auto"/>
        <w:ind w:left="0"/>
        <w:jc w:val="center"/>
        <w:rPr>
          <w:b/>
          <w:lang w:val="sq-AL"/>
        </w:rPr>
      </w:pPr>
      <w:r w:rsidRPr="003F7D97">
        <w:rPr>
          <w:b/>
          <w:lang w:val="sq-AL"/>
        </w:rPr>
        <w:t>Vlerësimi i Gjykatës Kushtetuese</w:t>
      </w:r>
    </w:p>
    <w:p w:rsidR="007E4055" w:rsidRDefault="0035599C" w:rsidP="007E4055">
      <w:pPr>
        <w:pStyle w:val="ListParagraph"/>
        <w:spacing w:line="360" w:lineRule="auto"/>
        <w:ind w:left="0" w:firstLine="720"/>
        <w:jc w:val="both"/>
        <w:rPr>
          <w:lang w:val="sq-AL"/>
        </w:rPr>
      </w:pPr>
      <w:r w:rsidRPr="003F7D97">
        <w:rPr>
          <w:i/>
          <w:lang w:val="sq-AL"/>
        </w:rPr>
        <w:t>A. Për legjitimimin e kërkuesve</w:t>
      </w:r>
    </w:p>
    <w:p w:rsidR="007E4055" w:rsidRDefault="007E4055" w:rsidP="007E4055">
      <w:pPr>
        <w:pStyle w:val="ListParagraph"/>
        <w:spacing w:line="360" w:lineRule="auto"/>
        <w:ind w:left="0" w:firstLine="720"/>
        <w:jc w:val="both"/>
        <w:rPr>
          <w:rFonts w:eastAsia="MS Mincho"/>
          <w:lang w:val="sq-AL"/>
        </w:rPr>
      </w:pPr>
      <w:r>
        <w:rPr>
          <w:rFonts w:eastAsia="MS Mincho"/>
          <w:lang w:val="sq-AL"/>
        </w:rPr>
        <w:t xml:space="preserve">7. </w:t>
      </w:r>
      <w:r w:rsidR="0035599C" w:rsidRPr="003F7D97">
        <w:rPr>
          <w:rFonts w:eastAsia="MS Mincho"/>
          <w:lang w:val="sq-AL"/>
        </w:rPr>
        <w:t xml:space="preserve">Kërkuesit legjitimohet </w:t>
      </w:r>
      <w:r w:rsidR="0035599C" w:rsidRPr="003F7D97">
        <w:rPr>
          <w:rFonts w:eastAsia="MS Mincho"/>
          <w:i/>
          <w:lang w:val="sq-AL"/>
        </w:rPr>
        <w:t>ratione personae</w:t>
      </w:r>
      <w:r w:rsidR="0035599C" w:rsidRPr="003F7D97">
        <w:rPr>
          <w:rFonts w:eastAsia="MS Mincho"/>
          <w:lang w:val="sq-AL"/>
        </w:rPr>
        <w:t xml:space="preserve">, në kuptim të neneve 131/1/f dhe 134/1/i të Kushtetutës dhe </w:t>
      </w:r>
      <w:r w:rsidR="0035599C" w:rsidRPr="003F7D97">
        <w:rPr>
          <w:rFonts w:eastAsia="MS Mincho"/>
          <w:i/>
          <w:lang w:val="sq-AL"/>
        </w:rPr>
        <w:t>ratione temporis,</w:t>
      </w:r>
      <w:r w:rsidR="0035599C" w:rsidRPr="003F7D97">
        <w:rPr>
          <w:rFonts w:eastAsia="MS Mincho"/>
          <w:lang w:val="sq-AL"/>
        </w:rPr>
        <w:t xml:space="preserve"> pasi kërkesa është </w:t>
      </w:r>
      <w:r w:rsidR="0035599C" w:rsidRPr="003F7D97">
        <w:rPr>
          <w:lang w:val="sq-AL"/>
        </w:rPr>
        <w:t xml:space="preserve">paraqitur brenda afatit ligjor 4-mujor të parashikuar </w:t>
      </w:r>
      <w:r w:rsidR="0035599C" w:rsidRPr="003F7D97">
        <w:rPr>
          <w:rFonts w:eastAsia="MS Mincho"/>
          <w:lang w:val="sq-AL"/>
        </w:rPr>
        <w:t>nga neni 71/a i ligjit nr.8577, datë 10.02.2000 “Për organizimin dhe funksionimin e Gjykatës Kushtetuese të Republikë</w:t>
      </w:r>
      <w:r>
        <w:rPr>
          <w:rFonts w:eastAsia="MS Mincho"/>
          <w:lang w:val="sq-AL"/>
        </w:rPr>
        <w:t>s së Shqipërisë”, të ndryshuar.</w:t>
      </w:r>
    </w:p>
    <w:p w:rsidR="007E4055" w:rsidRDefault="007E4055" w:rsidP="007E4055">
      <w:pPr>
        <w:pStyle w:val="ListParagraph"/>
        <w:spacing w:line="360" w:lineRule="auto"/>
        <w:ind w:left="0" w:firstLine="720"/>
        <w:jc w:val="both"/>
        <w:rPr>
          <w:color w:val="000000"/>
          <w:lang w:val="sq-AL"/>
        </w:rPr>
      </w:pPr>
      <w:r w:rsidRPr="007E4055">
        <w:rPr>
          <w:rFonts w:eastAsia="MS Mincho"/>
          <w:lang w:val="sq-AL"/>
        </w:rPr>
        <w:t xml:space="preserve">8. </w:t>
      </w:r>
      <w:r w:rsidR="0035599C" w:rsidRPr="007E4055">
        <w:rPr>
          <w:rFonts w:eastAsia="MS Mincho"/>
          <w:lang w:val="sq-AL"/>
        </w:rPr>
        <w:t xml:space="preserve">Në lidhje me legjitimimin </w:t>
      </w:r>
      <w:r w:rsidR="0035599C" w:rsidRPr="007E4055">
        <w:rPr>
          <w:i/>
          <w:lang w:val="sq-AL"/>
        </w:rPr>
        <w:t>ratione materiae, s</w:t>
      </w:r>
      <w:r w:rsidR="0035599C" w:rsidRPr="007E4055">
        <w:rPr>
          <w:lang w:val="sq-AL"/>
        </w:rPr>
        <w:t>ipas nenit 131/1/f të Kushtetutës, Gjykata vendos për gjykimin përfundimtar të ankesave të individit për shkeljen e së drejtës kushtetuese për një proces të rregullt ligjor, pasi ai të ketë shteruar të gjitha mjetet juridike për mbrojtjen e kësaj të drejte. Gjykata ka theksuar se juridiksioni kushtetues për shkeljen e së drejtës themelore për një proces të rregullt bëhet i mundur kur kërkuesi shteron mjetet e ankimit pranë gjykatave të sistemit gjyqësor, çka nënkupton se kërkuesi duhet t’i shfrytëzojë, në shkallët e sistemit gjyqësor, të gjitha mjetet e lejueshme dhe mundësitë procedurale për vendosjen në vend të së drejtës të pretenduar. Mjetet ligjore konsiderohen të shteruara kur, në varësi të rrethanave të çështjes, rregullat procedurale nuk parashikojnë mjete të tjera ankimi (</w:t>
      </w:r>
      <w:r w:rsidR="0035599C" w:rsidRPr="007E4055">
        <w:rPr>
          <w:i/>
          <w:lang w:val="sq-AL"/>
        </w:rPr>
        <w:t>shih vendimin nr.</w:t>
      </w:r>
      <w:r w:rsidR="0035599C" w:rsidRPr="007E4055">
        <w:rPr>
          <w:bCs/>
          <w:i/>
          <w:lang w:val="sq-AL"/>
        </w:rPr>
        <w:t>28, datë 30.03.2017 të Gjykatës Kushtetuese</w:t>
      </w:r>
      <w:r w:rsidR="0035599C" w:rsidRPr="007E4055">
        <w:rPr>
          <w:bCs/>
          <w:lang w:val="sq-AL"/>
        </w:rPr>
        <w:t xml:space="preserve">). </w:t>
      </w:r>
      <w:r w:rsidR="0035599C" w:rsidRPr="007E4055">
        <w:rPr>
          <w:color w:val="000000"/>
          <w:lang w:val="sq-AL"/>
        </w:rPr>
        <w:t xml:space="preserve">Ky rregull nënkupton jo vetëm që individi t’u jetë drejtuar të gjitha instancave të zakonshme, por edhe që të gjitha pretendimet që ngre në këtë Gjykatë t’i ketë paraqitur më parë në këto instanca, të paktën në substancë, duke respektuar kërkesat formale </w:t>
      </w:r>
      <w:r w:rsidR="0035599C" w:rsidRPr="007E4055">
        <w:rPr>
          <w:color w:val="000000"/>
          <w:lang w:val="sq-AL"/>
        </w:rPr>
        <w:lastRenderedPageBreak/>
        <w:t xml:space="preserve">dhe afatet e parashikuara në ligjin procedural </w:t>
      </w:r>
      <w:r w:rsidR="0035599C" w:rsidRPr="007E4055">
        <w:rPr>
          <w:i/>
          <w:color w:val="000000"/>
          <w:lang w:val="sq-AL"/>
        </w:rPr>
        <w:t>(shih vendimin nr.31, datë 25.05.2015 të Gjykatës Kushtetuese</w:t>
      </w:r>
      <w:r w:rsidR="0035599C" w:rsidRPr="007E4055">
        <w:rPr>
          <w:color w:val="000000"/>
          <w:lang w:val="sq-AL"/>
        </w:rPr>
        <w:t>).</w:t>
      </w:r>
    </w:p>
    <w:p w:rsidR="007E4055" w:rsidRDefault="0035599C" w:rsidP="007E4055">
      <w:pPr>
        <w:pStyle w:val="ListParagraph"/>
        <w:spacing w:line="360" w:lineRule="auto"/>
        <w:ind w:left="0" w:firstLine="720"/>
        <w:jc w:val="both"/>
        <w:rPr>
          <w:lang w:val="sq-AL"/>
        </w:rPr>
      </w:pPr>
      <w:r w:rsidRPr="003F7D97">
        <w:rPr>
          <w:bCs/>
          <w:lang w:val="sq-AL"/>
        </w:rPr>
        <w:t>9. K</w:t>
      </w:r>
      <w:r w:rsidRPr="003F7D97">
        <w:rPr>
          <w:iCs/>
          <w:lang w:val="sq-AL"/>
        </w:rPr>
        <w:t>ërkuesit kanë pretenduar cenimin e</w:t>
      </w:r>
      <w:r w:rsidRPr="003F7D97">
        <w:rPr>
          <w:bCs/>
          <w:iCs/>
          <w:lang w:val="sq-AL"/>
        </w:rPr>
        <w:t xml:space="preserve"> parimit të gjykatës së caktuar me ligj, pasi në gjykatën e shkallës së parë çështja është gjykuar nga një gjyqtar i vetëm, ndërkohë që sipas vlerës së padisë duhet të gjykohej nga një trup</w:t>
      </w:r>
      <w:r>
        <w:rPr>
          <w:bCs/>
          <w:iCs/>
          <w:lang w:val="sq-AL"/>
        </w:rPr>
        <w:t>ë</w:t>
      </w:r>
      <w:r w:rsidRPr="003F7D97">
        <w:rPr>
          <w:bCs/>
          <w:iCs/>
          <w:lang w:val="sq-AL"/>
        </w:rPr>
        <w:t xml:space="preserve"> prej tre gjyqtarësh. Gjykata, </w:t>
      </w:r>
      <w:r w:rsidRPr="003F7D97">
        <w:rPr>
          <w:iCs/>
          <w:lang w:val="sq-AL"/>
        </w:rPr>
        <w:t xml:space="preserve">bazuar në aktet e dosjes gjyqësore, të administruar për qëllime të këtij gjykimi, vëren se ky </w:t>
      </w:r>
      <w:r w:rsidRPr="003F7D97">
        <w:rPr>
          <w:color w:val="000000"/>
          <w:lang w:val="sq-AL"/>
        </w:rPr>
        <w:t xml:space="preserve">pretendim i kërkuesve nuk është ngritur më parë </w:t>
      </w:r>
      <w:r w:rsidRPr="003F7D97">
        <w:rPr>
          <w:lang w:val="sq-AL"/>
        </w:rPr>
        <w:t>në rekursin e paraqitur në Gjykatën e Lartë. Për sa kohë që ky pretendim nuk i është nënshtruar vlerësimit nga gjykatat e juridiksionit të zakonshëm dhe nuk është mbajtur prej tyre një qëndrim përfundimtar në lidhje me të, ai nuk mund të merret në shqyrtim nga kjo Gjykatë, pasi kërkuesit nuk kanë shterua</w:t>
      </w:r>
      <w:r w:rsidR="007E4055">
        <w:rPr>
          <w:lang w:val="sq-AL"/>
        </w:rPr>
        <w:t>r mjetet ligjore në dispozicion.</w:t>
      </w:r>
    </w:p>
    <w:p w:rsidR="007E4055" w:rsidRDefault="0035599C" w:rsidP="007E4055">
      <w:pPr>
        <w:pStyle w:val="ListParagraph"/>
        <w:spacing w:line="360" w:lineRule="auto"/>
        <w:ind w:left="0" w:firstLine="720"/>
        <w:jc w:val="both"/>
        <w:rPr>
          <w:lang w:val="sq-AL"/>
        </w:rPr>
      </w:pPr>
      <w:r w:rsidRPr="003F7D97">
        <w:rPr>
          <w:lang w:val="sq-AL"/>
        </w:rPr>
        <w:t xml:space="preserve">10. Për sa u takon pretendimeve të tjera, Gjykata vlerëson se ato janë të tilla që </w:t>
      </w:r>
      <w:r w:rsidRPr="003F7D97">
        <w:rPr>
          <w:i/>
          <w:lang w:val="sq-AL"/>
        </w:rPr>
        <w:t xml:space="preserve">prima facie </w:t>
      </w:r>
      <w:r w:rsidRPr="003F7D97">
        <w:rPr>
          <w:lang w:val="sq-AL"/>
        </w:rPr>
        <w:t>bëjnë pje</w:t>
      </w:r>
      <w:r w:rsidR="007E4055">
        <w:rPr>
          <w:lang w:val="sq-AL"/>
        </w:rPr>
        <w:t>së në juridiksionin kushtetues.</w:t>
      </w:r>
    </w:p>
    <w:p w:rsidR="007E4055" w:rsidRDefault="007E4055" w:rsidP="007E4055">
      <w:pPr>
        <w:pStyle w:val="ListParagraph"/>
        <w:spacing w:line="360" w:lineRule="auto"/>
        <w:ind w:left="0"/>
        <w:jc w:val="both"/>
        <w:rPr>
          <w:lang w:val="sq-AL"/>
        </w:rPr>
      </w:pPr>
    </w:p>
    <w:p w:rsidR="007E4055" w:rsidRDefault="0035599C" w:rsidP="007E4055">
      <w:pPr>
        <w:pStyle w:val="ListParagraph"/>
        <w:spacing w:line="360" w:lineRule="auto"/>
        <w:ind w:left="0" w:firstLine="720"/>
        <w:jc w:val="both"/>
        <w:rPr>
          <w:i/>
          <w:lang w:val="sq-AL"/>
        </w:rPr>
      </w:pPr>
      <w:r w:rsidRPr="003F7D97">
        <w:rPr>
          <w:i/>
          <w:lang w:val="sq-AL"/>
        </w:rPr>
        <w:t>B. Për pretendimin e cenimi të parimit të barazisë së armëve dhe kontradiktoritetit</w:t>
      </w:r>
    </w:p>
    <w:p w:rsidR="007E4055" w:rsidRDefault="0035599C" w:rsidP="007E4055">
      <w:pPr>
        <w:pStyle w:val="ListParagraph"/>
        <w:spacing w:line="360" w:lineRule="auto"/>
        <w:ind w:left="0" w:firstLine="720"/>
        <w:jc w:val="both"/>
        <w:rPr>
          <w:bCs/>
          <w:iCs/>
          <w:lang w:val="sq-AL"/>
        </w:rPr>
      </w:pPr>
      <w:r w:rsidRPr="003F7D97">
        <w:rPr>
          <w:rFonts w:eastAsia="Calibri"/>
          <w:lang w:val="sq-AL" w:eastAsia="fr-FR"/>
        </w:rPr>
        <w:t>11.</w:t>
      </w:r>
      <w:r w:rsidR="007E4055">
        <w:rPr>
          <w:rFonts w:eastAsia="Calibri"/>
          <w:lang w:val="sq-AL" w:eastAsia="fr-FR"/>
        </w:rPr>
        <w:t xml:space="preserve"> </w:t>
      </w:r>
      <w:r w:rsidRPr="003F7D97">
        <w:rPr>
          <w:rFonts w:eastAsia="Calibri"/>
          <w:lang w:val="sq-AL" w:eastAsia="fr-FR"/>
        </w:rPr>
        <w:t>Sipas kërkuesve</w:t>
      </w:r>
      <w:r>
        <w:rPr>
          <w:rFonts w:eastAsia="Calibri"/>
          <w:lang w:val="sq-AL" w:eastAsia="fr-FR"/>
        </w:rPr>
        <w:t>,</w:t>
      </w:r>
      <w:r w:rsidRPr="003F7D97">
        <w:rPr>
          <w:rFonts w:eastAsia="Calibri"/>
          <w:lang w:val="sq-AL" w:eastAsia="fr-FR"/>
        </w:rPr>
        <w:t xml:space="preserve"> ata nuk janë njoftuar për zhvillimin e procesit gjyqësor, për rrjedhojë është</w:t>
      </w:r>
      <w:r w:rsidRPr="003F7D97">
        <w:rPr>
          <w:bCs/>
          <w:iCs/>
          <w:lang w:val="sq-AL"/>
        </w:rPr>
        <w:t xml:space="preserve"> cenuar parimi i barazisë së armëve dhe i kon</w:t>
      </w:r>
      <w:r>
        <w:rPr>
          <w:bCs/>
          <w:iCs/>
          <w:lang w:val="sq-AL"/>
        </w:rPr>
        <w:t>t</w:t>
      </w:r>
      <w:r w:rsidRPr="003F7D97">
        <w:rPr>
          <w:bCs/>
          <w:iCs/>
          <w:lang w:val="sq-AL"/>
        </w:rPr>
        <w:t>radiktoritetit. Padijenia për zhvillimin e seancave gjyqësore në Gjykatën e Rrethit Gjyqësor Tiranë vërtetohet edhe nga vendimet gjyqësore</w:t>
      </w:r>
      <w:r>
        <w:rPr>
          <w:bCs/>
          <w:iCs/>
          <w:lang w:val="sq-AL"/>
        </w:rPr>
        <w:t>,</w:t>
      </w:r>
      <w:r w:rsidRPr="003F7D97">
        <w:rPr>
          <w:bCs/>
          <w:iCs/>
          <w:lang w:val="sq-AL"/>
        </w:rPr>
        <w:t xml:space="preserve"> si dhe nga procesver</w:t>
      </w:r>
      <w:r w:rsidR="007E4055">
        <w:rPr>
          <w:bCs/>
          <w:iCs/>
          <w:lang w:val="sq-AL"/>
        </w:rPr>
        <w:t>bali i gjykimit në atë gjykatë.</w:t>
      </w:r>
    </w:p>
    <w:p w:rsidR="007E4055" w:rsidRDefault="0035599C" w:rsidP="007E4055">
      <w:pPr>
        <w:pStyle w:val="ListParagraph"/>
        <w:spacing w:line="360" w:lineRule="auto"/>
        <w:ind w:left="0" w:firstLine="720"/>
        <w:jc w:val="both"/>
        <w:rPr>
          <w:lang w:val="sq-AL"/>
        </w:rPr>
      </w:pPr>
      <w:r w:rsidRPr="003F7D97">
        <w:rPr>
          <w:lang w:val="sq-AL"/>
        </w:rPr>
        <w:t>12.</w:t>
      </w:r>
      <w:r w:rsidR="007E4055">
        <w:rPr>
          <w:lang w:val="sq-AL"/>
        </w:rPr>
        <w:t xml:space="preserve"> </w:t>
      </w:r>
      <w:r w:rsidRPr="003F7D97">
        <w:rPr>
          <w:bCs/>
          <w:lang w:val="sq-AL"/>
        </w:rPr>
        <w:t xml:space="preserve">Parimi i barazisë së armëve nënkupton se çdokush që është palë në proces duhet të ketë mundësi të barabarta që të paraqesë çështjen e tij dhe se asnjë palë nuk duhet të gëzojë avantazh të konsiderueshëm ndaj palës tjetër, por duhet të përcaktohet një ekuilibër i drejtë mes </w:t>
      </w:r>
      <w:r>
        <w:rPr>
          <w:bCs/>
          <w:lang w:val="sq-AL"/>
        </w:rPr>
        <w:t xml:space="preserve"> tyre</w:t>
      </w:r>
      <w:r w:rsidRPr="003F7D97">
        <w:rPr>
          <w:bCs/>
          <w:lang w:val="sq-AL"/>
        </w:rPr>
        <w:t xml:space="preserve">. </w:t>
      </w:r>
      <w:r w:rsidRPr="003F7D97">
        <w:rPr>
          <w:lang w:val="sq-AL"/>
        </w:rPr>
        <w:t xml:space="preserve">E drejta për të marrë pjesë në gjykim nuk duhet konsideruar si një e drejtë formale, ku palëve t’u garantohet thjesht prania fizike gjatë procesit civil, por duhet që legjislacioni procedural, në radhë të parë, dhe më pas gjyqtari gjatë gjykimit t’u japin mundësi të barabarta palëve për të paraqitur argumente dhe prova në mbrojtje të interesave të tyre. Nëse nuk do të ekzistonte barazia e armëve në gjykimin civil, atëherë argumentet e njërës palë do të prevalonin mbi argumentet e palës së cenuar dhe, për rrjedhojë, e drejta për të marrë pjesë në gjykim do të zhvishej nga funksioni i saj kushtetues për të garantuar një proces të rregullt ligjor. </w:t>
      </w:r>
      <w:r w:rsidRPr="003F7D97">
        <w:rPr>
          <w:bCs/>
          <w:lang w:val="sq-AL"/>
        </w:rPr>
        <w:t xml:space="preserve">Bazuar në këto parime, Gjykatës i dalin një sërë detyrash, mes të cilave rëndësi të veçantë merr krijimi i mundësive të barabarta për pjesëmarrjen e palëve apo përfaqësuesve të tyre në proces, si dhe mundësia e deklarimit të tyre për faktet, provat dhe vlerësimet ligjore që janë të lidhura ngushtë </w:t>
      </w:r>
      <w:r w:rsidRPr="003F7D97">
        <w:rPr>
          <w:bCs/>
          <w:lang w:val="sq-AL"/>
        </w:rPr>
        <w:lastRenderedPageBreak/>
        <w:t xml:space="preserve">me çështjen që shqyrtohet në gjykatë </w:t>
      </w:r>
      <w:r w:rsidRPr="003F7D97">
        <w:rPr>
          <w:lang w:val="sq-AL"/>
        </w:rPr>
        <w:t>(</w:t>
      </w:r>
      <w:r w:rsidRPr="003F7D97">
        <w:rPr>
          <w:i/>
          <w:lang w:val="sq-AL"/>
        </w:rPr>
        <w:t>shih vendimin nr.30, datë 30.03.2017 të Gjykatës Kushtetuese</w:t>
      </w:r>
      <w:r w:rsidRPr="003F7D97">
        <w:rPr>
          <w:lang w:val="sq-AL"/>
        </w:rPr>
        <w:t>).</w:t>
      </w:r>
    </w:p>
    <w:p w:rsidR="007E4055" w:rsidRDefault="0035599C" w:rsidP="007E4055">
      <w:pPr>
        <w:pStyle w:val="ListParagraph"/>
        <w:spacing w:line="360" w:lineRule="auto"/>
        <w:ind w:left="0" w:firstLine="720"/>
        <w:jc w:val="both"/>
        <w:rPr>
          <w:lang w:val="sq-AL"/>
        </w:rPr>
      </w:pPr>
      <w:r w:rsidRPr="003F7D97">
        <w:rPr>
          <w:lang w:val="sq-AL"/>
        </w:rPr>
        <w:t>13.</w:t>
      </w:r>
      <w:r w:rsidR="007E4055">
        <w:rPr>
          <w:lang w:val="sq-AL"/>
        </w:rPr>
        <w:t xml:space="preserve"> </w:t>
      </w:r>
      <w:r w:rsidRPr="003F7D97">
        <w:rPr>
          <w:lang w:val="sq-AL"/>
        </w:rPr>
        <w:t>E drejta për t’u njoftuar për një gjykim dhe pjesëmarrja në të është e lidhur me vendimmarrjen e gjykatës, e cila ndikon drejtpërsëdrejti mbi të drejtat subjektive ose interesat e ligjsh</w:t>
      </w:r>
      <w:r>
        <w:rPr>
          <w:lang w:val="sq-AL"/>
        </w:rPr>
        <w:t>ëm</w:t>
      </w:r>
      <w:r w:rsidRPr="003F7D97">
        <w:rPr>
          <w:lang w:val="sq-AL"/>
        </w:rPr>
        <w:t xml:space="preserve"> të individit. Nga ana tjetër, e drejta për të marrë pjesë në gjykim krijon të njëjtat mundësi për të paraqitur prova dhe argumente në mbrojtje të interesave vetjak</w:t>
      </w:r>
      <w:r>
        <w:rPr>
          <w:lang w:val="sq-AL"/>
        </w:rPr>
        <w:t>ë</w:t>
      </w:r>
      <w:r w:rsidRPr="003F7D97">
        <w:rPr>
          <w:lang w:val="sq-AL"/>
        </w:rPr>
        <w:t xml:space="preserve"> në raport me palën kundërshtare. E drejta për t’u njoftuar për të marrë pjesë në gjykim u paraprin të drejtave të tjera, pasi nëse pala ndërgjyqëse nuk njoftohet për datën dhe orën e seancës, ajo detyrimisht do të gjendet në pamundësi objektive për të ushtruar të drejtat që i garantohen nga neni 42 i Kushtetutës në kuadrin e një procesi të rregullt ligjor </w:t>
      </w:r>
      <w:r w:rsidRPr="003F7D97">
        <w:rPr>
          <w:i/>
          <w:lang w:val="sq-AL"/>
        </w:rPr>
        <w:t>(shih vendimin nr.3, datë 23.02.2016 të Gjykatës Kushtetuese)</w:t>
      </w:r>
      <w:r w:rsidRPr="003F7D97">
        <w:rPr>
          <w:lang w:val="sq-AL"/>
        </w:rPr>
        <w:t>.</w:t>
      </w:r>
    </w:p>
    <w:p w:rsidR="007E4055" w:rsidRDefault="0035599C" w:rsidP="007E4055">
      <w:pPr>
        <w:pStyle w:val="ListParagraph"/>
        <w:spacing w:line="360" w:lineRule="auto"/>
        <w:ind w:left="0" w:firstLine="720"/>
        <w:jc w:val="both"/>
        <w:rPr>
          <w:bCs/>
          <w:iCs/>
          <w:lang w:val="sq-AL"/>
        </w:rPr>
      </w:pPr>
      <w:r w:rsidRPr="003F7D97">
        <w:rPr>
          <w:bCs/>
          <w:iCs/>
          <w:lang w:val="sq-AL"/>
        </w:rPr>
        <w:t>14. Gjykata, bazuar në aktet e dosjes gjyqësore të administruar prej saj</w:t>
      </w:r>
      <w:r w:rsidR="00D51115">
        <w:rPr>
          <w:bCs/>
          <w:iCs/>
          <w:lang w:val="sq-AL"/>
        </w:rPr>
        <w:t>,</w:t>
      </w:r>
      <w:r w:rsidRPr="003F7D97">
        <w:rPr>
          <w:bCs/>
          <w:iCs/>
          <w:lang w:val="sq-AL"/>
        </w:rPr>
        <w:t xml:space="preserve"> vëren se n</w:t>
      </w:r>
      <w:r>
        <w:rPr>
          <w:bCs/>
          <w:iCs/>
          <w:lang w:val="sq-AL"/>
        </w:rPr>
        <w:t>ë</w:t>
      </w:r>
      <w:r w:rsidRPr="003F7D97">
        <w:rPr>
          <w:bCs/>
          <w:iCs/>
          <w:lang w:val="sq-AL"/>
        </w:rPr>
        <w:t xml:space="preserve"> dat</w:t>
      </w:r>
      <w:r>
        <w:rPr>
          <w:bCs/>
          <w:iCs/>
          <w:lang w:val="sq-AL"/>
        </w:rPr>
        <w:t>ë</w:t>
      </w:r>
      <w:r w:rsidRPr="003F7D97">
        <w:rPr>
          <w:bCs/>
          <w:iCs/>
          <w:lang w:val="sq-AL"/>
        </w:rPr>
        <w:t>n 23.02.2015 Gjykata e Shkallës s</w:t>
      </w:r>
      <w:r>
        <w:rPr>
          <w:bCs/>
          <w:iCs/>
          <w:lang w:val="sq-AL"/>
        </w:rPr>
        <w:t>ë</w:t>
      </w:r>
      <w:r w:rsidRPr="003F7D97">
        <w:rPr>
          <w:bCs/>
          <w:iCs/>
          <w:lang w:val="sq-AL"/>
        </w:rPr>
        <w:t xml:space="preserve"> Par</w:t>
      </w:r>
      <w:r>
        <w:rPr>
          <w:bCs/>
          <w:iCs/>
          <w:lang w:val="sq-AL"/>
        </w:rPr>
        <w:t>ë</w:t>
      </w:r>
      <w:r w:rsidRPr="003F7D97">
        <w:rPr>
          <w:bCs/>
          <w:iCs/>
          <w:lang w:val="sq-AL"/>
        </w:rPr>
        <w:t xml:space="preserve"> Tiran</w:t>
      </w:r>
      <w:r>
        <w:rPr>
          <w:bCs/>
          <w:iCs/>
          <w:lang w:val="sq-AL"/>
        </w:rPr>
        <w:t>ë</w:t>
      </w:r>
      <w:r w:rsidRPr="003F7D97">
        <w:rPr>
          <w:bCs/>
          <w:iCs/>
          <w:lang w:val="sq-AL"/>
        </w:rPr>
        <w:t xml:space="preserve"> me t</w:t>
      </w:r>
      <w:r>
        <w:rPr>
          <w:bCs/>
          <w:iCs/>
          <w:lang w:val="sq-AL"/>
        </w:rPr>
        <w:t>ë</w:t>
      </w:r>
      <w:r w:rsidRPr="003F7D97">
        <w:rPr>
          <w:bCs/>
          <w:iCs/>
          <w:lang w:val="sq-AL"/>
        </w:rPr>
        <w:t xml:space="preserve"> dy</w:t>
      </w:r>
      <w:r>
        <w:rPr>
          <w:bCs/>
          <w:iCs/>
          <w:lang w:val="sq-AL"/>
        </w:rPr>
        <w:t>ja</w:t>
      </w:r>
      <w:r w:rsidRPr="003F7D97">
        <w:rPr>
          <w:bCs/>
          <w:iCs/>
          <w:lang w:val="sq-AL"/>
        </w:rPr>
        <w:t xml:space="preserve"> pal</w:t>
      </w:r>
      <w:r>
        <w:rPr>
          <w:bCs/>
          <w:iCs/>
          <w:lang w:val="sq-AL"/>
        </w:rPr>
        <w:t>ë</w:t>
      </w:r>
      <w:r w:rsidRPr="003F7D97">
        <w:rPr>
          <w:bCs/>
          <w:iCs/>
          <w:lang w:val="sq-AL"/>
        </w:rPr>
        <w:t>t prezent ka shtyr</w:t>
      </w:r>
      <w:r>
        <w:rPr>
          <w:bCs/>
          <w:iCs/>
          <w:lang w:val="sq-AL"/>
        </w:rPr>
        <w:t>ë</w:t>
      </w:r>
      <w:r w:rsidRPr="003F7D97">
        <w:rPr>
          <w:bCs/>
          <w:iCs/>
          <w:lang w:val="sq-AL"/>
        </w:rPr>
        <w:t xml:space="preserve"> seancën p</w:t>
      </w:r>
      <w:r>
        <w:rPr>
          <w:bCs/>
          <w:iCs/>
          <w:lang w:val="sq-AL"/>
        </w:rPr>
        <w:t>ë</w:t>
      </w:r>
      <w:r w:rsidRPr="003F7D97">
        <w:rPr>
          <w:bCs/>
          <w:iCs/>
          <w:lang w:val="sq-AL"/>
        </w:rPr>
        <w:t>r n</w:t>
      </w:r>
      <w:r>
        <w:rPr>
          <w:bCs/>
          <w:iCs/>
          <w:lang w:val="sq-AL"/>
        </w:rPr>
        <w:t>ë</w:t>
      </w:r>
      <w:r w:rsidRPr="003F7D97">
        <w:rPr>
          <w:bCs/>
          <w:iCs/>
          <w:lang w:val="sq-AL"/>
        </w:rPr>
        <w:t xml:space="preserve"> dat</w:t>
      </w:r>
      <w:r>
        <w:rPr>
          <w:bCs/>
          <w:iCs/>
          <w:lang w:val="sq-AL"/>
        </w:rPr>
        <w:t>ë</w:t>
      </w:r>
      <w:r w:rsidR="00D51115">
        <w:rPr>
          <w:bCs/>
          <w:iCs/>
          <w:lang w:val="sq-AL"/>
        </w:rPr>
        <w:t>n</w:t>
      </w:r>
      <w:r w:rsidRPr="003F7D97">
        <w:rPr>
          <w:bCs/>
          <w:iCs/>
          <w:lang w:val="sq-AL"/>
        </w:rPr>
        <w:t xml:space="preserve"> 05.03.2015. N</w:t>
      </w:r>
      <w:r>
        <w:rPr>
          <w:bCs/>
          <w:iCs/>
          <w:lang w:val="sq-AL"/>
        </w:rPr>
        <w:t>ë</w:t>
      </w:r>
      <w:r w:rsidRPr="003F7D97">
        <w:rPr>
          <w:bCs/>
          <w:iCs/>
          <w:lang w:val="sq-AL"/>
        </w:rPr>
        <w:t xml:space="preserve"> dat</w:t>
      </w:r>
      <w:r>
        <w:rPr>
          <w:bCs/>
          <w:iCs/>
          <w:lang w:val="sq-AL"/>
        </w:rPr>
        <w:t>ën</w:t>
      </w:r>
      <w:r w:rsidRPr="003F7D97">
        <w:rPr>
          <w:bCs/>
          <w:iCs/>
          <w:lang w:val="sq-AL"/>
        </w:rPr>
        <w:t xml:space="preserve"> 05.03.2015 </w:t>
      </w:r>
      <w:r>
        <w:rPr>
          <w:bCs/>
          <w:iCs/>
          <w:lang w:val="sq-AL"/>
        </w:rPr>
        <w:t>ë</w:t>
      </w:r>
      <w:r w:rsidRPr="003F7D97">
        <w:rPr>
          <w:bCs/>
          <w:iCs/>
          <w:lang w:val="sq-AL"/>
        </w:rPr>
        <w:t>sht</w:t>
      </w:r>
      <w:r>
        <w:rPr>
          <w:bCs/>
          <w:iCs/>
          <w:lang w:val="sq-AL"/>
        </w:rPr>
        <w:t>ë</w:t>
      </w:r>
      <w:r w:rsidRPr="003F7D97">
        <w:rPr>
          <w:bCs/>
          <w:iCs/>
          <w:lang w:val="sq-AL"/>
        </w:rPr>
        <w:t xml:space="preserve"> verifikuar prezenca e pal</w:t>
      </w:r>
      <w:r>
        <w:rPr>
          <w:bCs/>
          <w:iCs/>
          <w:lang w:val="sq-AL"/>
        </w:rPr>
        <w:t>ë</w:t>
      </w:r>
      <w:r w:rsidRPr="003F7D97">
        <w:rPr>
          <w:bCs/>
          <w:iCs/>
          <w:lang w:val="sq-AL"/>
        </w:rPr>
        <w:t>ve dhe av. S.H</w:t>
      </w:r>
      <w:r>
        <w:rPr>
          <w:bCs/>
          <w:iCs/>
          <w:lang w:val="sq-AL"/>
        </w:rPr>
        <w:t>.</w:t>
      </w:r>
      <w:r w:rsidRPr="003F7D97">
        <w:rPr>
          <w:bCs/>
          <w:iCs/>
          <w:lang w:val="sq-AL"/>
        </w:rPr>
        <w:t xml:space="preserve"> i pal</w:t>
      </w:r>
      <w:r>
        <w:rPr>
          <w:bCs/>
          <w:iCs/>
          <w:lang w:val="sq-AL"/>
        </w:rPr>
        <w:t>ë</w:t>
      </w:r>
      <w:r w:rsidRPr="003F7D97">
        <w:rPr>
          <w:bCs/>
          <w:iCs/>
          <w:lang w:val="sq-AL"/>
        </w:rPr>
        <w:t>s s</w:t>
      </w:r>
      <w:r>
        <w:rPr>
          <w:bCs/>
          <w:iCs/>
          <w:lang w:val="sq-AL"/>
        </w:rPr>
        <w:t>ë</w:t>
      </w:r>
      <w:r w:rsidRPr="003F7D97">
        <w:rPr>
          <w:bCs/>
          <w:iCs/>
          <w:lang w:val="sq-AL"/>
        </w:rPr>
        <w:t xml:space="preserve"> paditur </w:t>
      </w:r>
      <w:r>
        <w:rPr>
          <w:bCs/>
          <w:iCs/>
          <w:lang w:val="sq-AL"/>
        </w:rPr>
        <w:t>“</w:t>
      </w:r>
      <w:r w:rsidRPr="003F7D97">
        <w:rPr>
          <w:bCs/>
          <w:iCs/>
          <w:lang w:val="sq-AL"/>
        </w:rPr>
        <w:t xml:space="preserve">Helios </w:t>
      </w:r>
      <w:r>
        <w:rPr>
          <w:bCs/>
          <w:iCs/>
          <w:lang w:val="sq-AL"/>
        </w:rPr>
        <w:t>C</w:t>
      </w:r>
      <w:r w:rsidRPr="003F7D97">
        <w:rPr>
          <w:bCs/>
          <w:iCs/>
          <w:lang w:val="sq-AL"/>
        </w:rPr>
        <w:t>atering</w:t>
      </w:r>
      <w:r>
        <w:rPr>
          <w:bCs/>
          <w:iCs/>
          <w:lang w:val="sq-AL"/>
        </w:rPr>
        <w:t>”</w:t>
      </w:r>
      <w:r w:rsidRPr="003F7D97">
        <w:rPr>
          <w:bCs/>
          <w:iCs/>
          <w:lang w:val="sq-AL"/>
        </w:rPr>
        <w:t xml:space="preserve"> nuk </w:t>
      </w:r>
      <w:r>
        <w:rPr>
          <w:bCs/>
          <w:iCs/>
          <w:lang w:val="sq-AL"/>
        </w:rPr>
        <w:t>ë</w:t>
      </w:r>
      <w:r w:rsidRPr="003F7D97">
        <w:rPr>
          <w:bCs/>
          <w:iCs/>
          <w:lang w:val="sq-AL"/>
        </w:rPr>
        <w:t>sht</w:t>
      </w:r>
      <w:r>
        <w:rPr>
          <w:bCs/>
          <w:iCs/>
          <w:lang w:val="sq-AL"/>
        </w:rPr>
        <w:t>ë</w:t>
      </w:r>
      <w:r w:rsidRPr="003F7D97">
        <w:rPr>
          <w:bCs/>
          <w:iCs/>
          <w:lang w:val="sq-AL"/>
        </w:rPr>
        <w:t xml:space="preserve"> paraqitur</w:t>
      </w:r>
      <w:r>
        <w:rPr>
          <w:bCs/>
          <w:iCs/>
          <w:lang w:val="sq-AL"/>
        </w:rPr>
        <w:t>,</w:t>
      </w:r>
      <w:r w:rsidRPr="003F7D97">
        <w:rPr>
          <w:bCs/>
          <w:iCs/>
          <w:lang w:val="sq-AL"/>
        </w:rPr>
        <w:t xml:space="preserve"> megjithëse ka pasur dijeni. Gjykata e </w:t>
      </w:r>
      <w:r>
        <w:rPr>
          <w:bCs/>
          <w:iCs/>
          <w:lang w:val="sq-AL"/>
        </w:rPr>
        <w:t>S</w:t>
      </w:r>
      <w:r w:rsidRPr="003F7D97">
        <w:rPr>
          <w:bCs/>
          <w:iCs/>
          <w:lang w:val="sq-AL"/>
        </w:rPr>
        <w:t>hkall</w:t>
      </w:r>
      <w:r>
        <w:rPr>
          <w:bCs/>
          <w:iCs/>
          <w:lang w:val="sq-AL"/>
        </w:rPr>
        <w:t>ë</w:t>
      </w:r>
      <w:r w:rsidRPr="003F7D97">
        <w:rPr>
          <w:bCs/>
          <w:iCs/>
          <w:lang w:val="sq-AL"/>
        </w:rPr>
        <w:t>s s</w:t>
      </w:r>
      <w:r>
        <w:rPr>
          <w:bCs/>
          <w:iCs/>
          <w:lang w:val="sq-AL"/>
        </w:rPr>
        <w:t>ë</w:t>
      </w:r>
      <w:r w:rsidRPr="003F7D97">
        <w:rPr>
          <w:bCs/>
          <w:iCs/>
          <w:lang w:val="sq-AL"/>
        </w:rPr>
        <w:t xml:space="preserve"> Par</w:t>
      </w:r>
      <w:r>
        <w:rPr>
          <w:bCs/>
          <w:iCs/>
          <w:lang w:val="sq-AL"/>
        </w:rPr>
        <w:t>ë</w:t>
      </w:r>
      <w:r w:rsidRPr="003F7D97">
        <w:rPr>
          <w:bCs/>
          <w:iCs/>
          <w:lang w:val="sq-AL"/>
        </w:rPr>
        <w:t xml:space="preserve"> Tiran</w:t>
      </w:r>
      <w:r>
        <w:rPr>
          <w:bCs/>
          <w:iCs/>
          <w:lang w:val="sq-AL"/>
        </w:rPr>
        <w:t>ë,</w:t>
      </w:r>
      <w:r w:rsidRPr="003F7D97">
        <w:rPr>
          <w:bCs/>
          <w:iCs/>
          <w:lang w:val="sq-AL"/>
        </w:rPr>
        <w:t xml:space="preserve"> n</w:t>
      </w:r>
      <w:r>
        <w:rPr>
          <w:bCs/>
          <w:iCs/>
          <w:lang w:val="sq-AL"/>
        </w:rPr>
        <w:t>ë</w:t>
      </w:r>
      <w:r w:rsidRPr="003F7D97">
        <w:rPr>
          <w:bCs/>
          <w:iCs/>
          <w:lang w:val="sq-AL"/>
        </w:rPr>
        <w:t xml:space="preserve"> baz</w:t>
      </w:r>
      <w:r>
        <w:rPr>
          <w:bCs/>
          <w:iCs/>
          <w:lang w:val="sq-AL"/>
        </w:rPr>
        <w:t>ë</w:t>
      </w:r>
      <w:r w:rsidRPr="003F7D97">
        <w:rPr>
          <w:bCs/>
          <w:iCs/>
          <w:lang w:val="sq-AL"/>
        </w:rPr>
        <w:t xml:space="preserve"> t</w:t>
      </w:r>
      <w:r>
        <w:rPr>
          <w:bCs/>
          <w:iCs/>
          <w:lang w:val="sq-AL"/>
        </w:rPr>
        <w:t>ë</w:t>
      </w:r>
      <w:r w:rsidRPr="003F7D97">
        <w:rPr>
          <w:bCs/>
          <w:iCs/>
          <w:lang w:val="sq-AL"/>
        </w:rPr>
        <w:t xml:space="preserve"> nenit 179 t</w:t>
      </w:r>
      <w:r>
        <w:rPr>
          <w:bCs/>
          <w:iCs/>
          <w:lang w:val="sq-AL"/>
        </w:rPr>
        <w:t>ë KP</w:t>
      </w:r>
      <w:r w:rsidRPr="003F7D97">
        <w:rPr>
          <w:bCs/>
          <w:iCs/>
          <w:lang w:val="sq-AL"/>
        </w:rPr>
        <w:t>C</w:t>
      </w:r>
      <w:r>
        <w:rPr>
          <w:bCs/>
          <w:iCs/>
          <w:lang w:val="sq-AL"/>
        </w:rPr>
        <w:t>-së,</w:t>
      </w:r>
      <w:r w:rsidRPr="003F7D97">
        <w:rPr>
          <w:bCs/>
          <w:iCs/>
          <w:lang w:val="sq-AL"/>
        </w:rPr>
        <w:t xml:space="preserve"> </w:t>
      </w:r>
      <w:r>
        <w:rPr>
          <w:bCs/>
          <w:iCs/>
          <w:lang w:val="sq-AL"/>
        </w:rPr>
        <w:t xml:space="preserve">ka </w:t>
      </w:r>
      <w:r w:rsidRPr="003F7D97">
        <w:rPr>
          <w:bCs/>
          <w:iCs/>
          <w:lang w:val="sq-AL"/>
        </w:rPr>
        <w:t>vendos</w:t>
      </w:r>
      <w:r>
        <w:rPr>
          <w:bCs/>
          <w:iCs/>
          <w:lang w:val="sq-AL"/>
        </w:rPr>
        <w:t>ur</w:t>
      </w:r>
      <w:r w:rsidRPr="003F7D97">
        <w:rPr>
          <w:bCs/>
          <w:iCs/>
          <w:lang w:val="sq-AL"/>
        </w:rPr>
        <w:t xml:space="preserve"> ta zhvilloj</w:t>
      </w:r>
      <w:r>
        <w:rPr>
          <w:bCs/>
          <w:iCs/>
          <w:lang w:val="sq-AL"/>
        </w:rPr>
        <w:t>ë</w:t>
      </w:r>
      <w:r w:rsidRPr="003F7D97">
        <w:rPr>
          <w:bCs/>
          <w:iCs/>
          <w:lang w:val="sq-AL"/>
        </w:rPr>
        <w:t xml:space="preserve"> gjykimin n</w:t>
      </w:r>
      <w:r>
        <w:rPr>
          <w:bCs/>
          <w:iCs/>
          <w:lang w:val="sq-AL"/>
        </w:rPr>
        <w:t>ë</w:t>
      </w:r>
      <w:r w:rsidRPr="003F7D97">
        <w:rPr>
          <w:bCs/>
          <w:iCs/>
          <w:lang w:val="sq-AL"/>
        </w:rPr>
        <w:t xml:space="preserve"> munges</w:t>
      </w:r>
      <w:r>
        <w:rPr>
          <w:bCs/>
          <w:iCs/>
          <w:lang w:val="sq-AL"/>
        </w:rPr>
        <w:t>ë</w:t>
      </w:r>
      <w:r w:rsidRPr="003F7D97">
        <w:rPr>
          <w:bCs/>
          <w:iCs/>
          <w:lang w:val="sq-AL"/>
        </w:rPr>
        <w:t xml:space="preserve"> t</w:t>
      </w:r>
      <w:r>
        <w:rPr>
          <w:bCs/>
          <w:iCs/>
          <w:lang w:val="sq-AL"/>
        </w:rPr>
        <w:t>ë</w:t>
      </w:r>
      <w:r w:rsidRPr="003F7D97">
        <w:rPr>
          <w:bCs/>
          <w:iCs/>
          <w:lang w:val="sq-AL"/>
        </w:rPr>
        <w:t xml:space="preserve"> pal</w:t>
      </w:r>
      <w:r>
        <w:rPr>
          <w:bCs/>
          <w:iCs/>
          <w:lang w:val="sq-AL"/>
        </w:rPr>
        <w:t>ë</w:t>
      </w:r>
      <w:r w:rsidRPr="003F7D97">
        <w:rPr>
          <w:bCs/>
          <w:iCs/>
          <w:lang w:val="sq-AL"/>
        </w:rPr>
        <w:t>s s</w:t>
      </w:r>
      <w:r>
        <w:rPr>
          <w:bCs/>
          <w:iCs/>
          <w:lang w:val="sq-AL"/>
        </w:rPr>
        <w:t>ë</w:t>
      </w:r>
      <w:r w:rsidRPr="003F7D97">
        <w:rPr>
          <w:bCs/>
          <w:iCs/>
          <w:lang w:val="sq-AL"/>
        </w:rPr>
        <w:t xml:space="preserve"> paditur n</w:t>
      </w:r>
      <w:r>
        <w:rPr>
          <w:bCs/>
          <w:iCs/>
          <w:lang w:val="sq-AL"/>
        </w:rPr>
        <w:t>ë</w:t>
      </w:r>
      <w:r w:rsidRPr="003F7D97">
        <w:rPr>
          <w:bCs/>
          <w:iCs/>
          <w:lang w:val="sq-AL"/>
        </w:rPr>
        <w:t xml:space="preserve"> kushtet kur </w:t>
      </w:r>
      <w:r>
        <w:rPr>
          <w:bCs/>
          <w:iCs/>
          <w:lang w:val="sq-AL"/>
        </w:rPr>
        <w:t>ë</w:t>
      </w:r>
      <w:r w:rsidRPr="003F7D97">
        <w:rPr>
          <w:bCs/>
          <w:iCs/>
          <w:lang w:val="sq-AL"/>
        </w:rPr>
        <w:t>sht</w:t>
      </w:r>
      <w:r>
        <w:rPr>
          <w:bCs/>
          <w:iCs/>
          <w:lang w:val="sq-AL"/>
        </w:rPr>
        <w:t>ë</w:t>
      </w:r>
      <w:r w:rsidRPr="003F7D97">
        <w:rPr>
          <w:bCs/>
          <w:iCs/>
          <w:lang w:val="sq-AL"/>
        </w:rPr>
        <w:t xml:space="preserve"> provuar se ka dijeni dhe pa shkaqe t</w:t>
      </w:r>
      <w:r>
        <w:rPr>
          <w:bCs/>
          <w:iCs/>
          <w:lang w:val="sq-AL"/>
        </w:rPr>
        <w:t>ë</w:t>
      </w:r>
      <w:r w:rsidRPr="003F7D97">
        <w:rPr>
          <w:bCs/>
          <w:iCs/>
          <w:lang w:val="sq-AL"/>
        </w:rPr>
        <w:t xml:space="preserve"> arsyeshme nuk </w:t>
      </w:r>
      <w:r>
        <w:rPr>
          <w:bCs/>
          <w:iCs/>
          <w:lang w:val="sq-AL"/>
        </w:rPr>
        <w:t>ë</w:t>
      </w:r>
      <w:r w:rsidRPr="003F7D97">
        <w:rPr>
          <w:bCs/>
          <w:iCs/>
          <w:lang w:val="sq-AL"/>
        </w:rPr>
        <w:t>sht</w:t>
      </w:r>
      <w:r>
        <w:rPr>
          <w:bCs/>
          <w:iCs/>
          <w:lang w:val="sq-AL"/>
        </w:rPr>
        <w:t>ë</w:t>
      </w:r>
      <w:r w:rsidRPr="003F7D97">
        <w:rPr>
          <w:bCs/>
          <w:iCs/>
          <w:lang w:val="sq-AL"/>
        </w:rPr>
        <w:t xml:space="preserve"> paraqitur.</w:t>
      </w:r>
    </w:p>
    <w:p w:rsidR="007E4055" w:rsidRDefault="0035599C" w:rsidP="007E4055">
      <w:pPr>
        <w:pStyle w:val="ListParagraph"/>
        <w:spacing w:line="360" w:lineRule="auto"/>
        <w:ind w:left="0" w:firstLine="720"/>
        <w:jc w:val="both"/>
        <w:rPr>
          <w:bCs/>
          <w:iCs/>
          <w:lang w:val="sq-AL"/>
        </w:rPr>
      </w:pPr>
      <w:r w:rsidRPr="003F7D97">
        <w:rPr>
          <w:bCs/>
          <w:iCs/>
          <w:lang w:val="sq-AL"/>
        </w:rPr>
        <w:t>15.</w:t>
      </w:r>
      <w:r w:rsidR="007E4055">
        <w:rPr>
          <w:bCs/>
          <w:iCs/>
          <w:lang w:val="sq-AL"/>
        </w:rPr>
        <w:t xml:space="preserve"> </w:t>
      </w:r>
      <w:r w:rsidRPr="003F7D97">
        <w:rPr>
          <w:bCs/>
          <w:iCs/>
          <w:lang w:val="sq-AL"/>
        </w:rPr>
        <w:t>Nga sa m</w:t>
      </w:r>
      <w:r>
        <w:rPr>
          <w:bCs/>
          <w:iCs/>
          <w:lang w:val="sq-AL"/>
        </w:rPr>
        <w:t>ë</w:t>
      </w:r>
      <w:r w:rsidRPr="003F7D97">
        <w:rPr>
          <w:bCs/>
          <w:iCs/>
          <w:lang w:val="sq-AL"/>
        </w:rPr>
        <w:t xml:space="preserve"> lart, Gjykata vlerëson se pretendimi  p</w:t>
      </w:r>
      <w:r>
        <w:rPr>
          <w:bCs/>
          <w:iCs/>
          <w:lang w:val="sq-AL"/>
        </w:rPr>
        <w:t>ë</w:t>
      </w:r>
      <w:r w:rsidRPr="003F7D97">
        <w:rPr>
          <w:bCs/>
          <w:iCs/>
          <w:lang w:val="sq-AL"/>
        </w:rPr>
        <w:t>r padijeni për zhvillimin e seancave gjyqësore në Gjykatën e Rrethit Gjyqësor Tiranë nuk vërtetohet  nga vendimet gjyqësore</w:t>
      </w:r>
      <w:r>
        <w:rPr>
          <w:bCs/>
          <w:iCs/>
          <w:lang w:val="sq-AL"/>
        </w:rPr>
        <w:t>,</w:t>
      </w:r>
      <w:r w:rsidRPr="003F7D97">
        <w:rPr>
          <w:bCs/>
          <w:iCs/>
          <w:lang w:val="sq-AL"/>
        </w:rPr>
        <w:t xml:space="preserve"> si dhe nga procesverbali i gjykimit në atë gjykatë, e p</w:t>
      </w:r>
      <w:r>
        <w:rPr>
          <w:bCs/>
          <w:iCs/>
          <w:lang w:val="sq-AL"/>
        </w:rPr>
        <w:t>ë</w:t>
      </w:r>
      <w:r w:rsidRPr="003F7D97">
        <w:rPr>
          <w:bCs/>
          <w:iCs/>
          <w:lang w:val="sq-AL"/>
        </w:rPr>
        <w:t>r k</w:t>
      </w:r>
      <w:r>
        <w:rPr>
          <w:bCs/>
          <w:iCs/>
          <w:lang w:val="sq-AL"/>
        </w:rPr>
        <w:t>ë</w:t>
      </w:r>
      <w:r w:rsidRPr="003F7D97">
        <w:rPr>
          <w:bCs/>
          <w:iCs/>
          <w:lang w:val="sq-AL"/>
        </w:rPr>
        <w:t>t</w:t>
      </w:r>
      <w:r>
        <w:rPr>
          <w:bCs/>
          <w:iCs/>
          <w:lang w:val="sq-AL"/>
        </w:rPr>
        <w:t>ë</w:t>
      </w:r>
      <w:r w:rsidRPr="003F7D97">
        <w:rPr>
          <w:bCs/>
          <w:iCs/>
          <w:lang w:val="sq-AL"/>
        </w:rPr>
        <w:t xml:space="preserve"> arsye</w:t>
      </w:r>
      <w:r w:rsidRPr="003F7D97">
        <w:rPr>
          <w:i/>
          <w:lang w:val="sq-AL"/>
        </w:rPr>
        <w:t xml:space="preserve"> </w:t>
      </w:r>
      <w:r w:rsidR="00E862E1">
        <w:rPr>
          <w:lang w:val="sq-AL"/>
        </w:rPr>
        <w:t>ky pretendim është i pabazuar</w:t>
      </w:r>
      <w:r w:rsidRPr="003F7D97">
        <w:rPr>
          <w:bCs/>
          <w:iCs/>
          <w:lang w:val="sq-AL"/>
        </w:rPr>
        <w:t>.</w:t>
      </w:r>
    </w:p>
    <w:p w:rsidR="007E4055" w:rsidRDefault="007E4055" w:rsidP="007E4055">
      <w:pPr>
        <w:pStyle w:val="ListParagraph"/>
        <w:spacing w:line="360" w:lineRule="auto"/>
        <w:ind w:left="0" w:firstLine="720"/>
        <w:jc w:val="both"/>
        <w:rPr>
          <w:bCs/>
          <w:iCs/>
          <w:lang w:val="sq-AL"/>
        </w:rPr>
      </w:pPr>
    </w:p>
    <w:p w:rsidR="007E4055" w:rsidRDefault="0035599C" w:rsidP="007E4055">
      <w:pPr>
        <w:pStyle w:val="ListParagraph"/>
        <w:spacing w:line="360" w:lineRule="auto"/>
        <w:ind w:left="0" w:firstLine="720"/>
        <w:jc w:val="both"/>
        <w:rPr>
          <w:i/>
          <w:lang w:val="sq-AL"/>
        </w:rPr>
      </w:pPr>
      <w:r w:rsidRPr="003F7D97">
        <w:rPr>
          <w:i/>
          <w:lang w:val="sq-AL"/>
        </w:rPr>
        <w:t>C. Për pretendimin e cenimit të parimit të arsyetimit të vendimit gjyqësor</w:t>
      </w:r>
    </w:p>
    <w:p w:rsidR="007E4055" w:rsidRDefault="0035599C" w:rsidP="007E4055">
      <w:pPr>
        <w:pStyle w:val="ListParagraph"/>
        <w:spacing w:line="360" w:lineRule="auto"/>
        <w:ind w:left="0" w:firstLine="720"/>
        <w:jc w:val="both"/>
        <w:rPr>
          <w:bCs/>
          <w:iCs/>
          <w:lang w:val="sq-AL"/>
        </w:rPr>
      </w:pPr>
      <w:r w:rsidRPr="003F7D97">
        <w:rPr>
          <w:bCs/>
          <w:iCs/>
          <w:lang w:val="sq-AL"/>
        </w:rPr>
        <w:t>16.</w:t>
      </w:r>
      <w:r w:rsidR="007E4055">
        <w:rPr>
          <w:bCs/>
          <w:iCs/>
          <w:lang w:val="sq-AL"/>
        </w:rPr>
        <w:t xml:space="preserve"> </w:t>
      </w:r>
      <w:r w:rsidRPr="003F7D97">
        <w:rPr>
          <w:bCs/>
          <w:iCs/>
          <w:lang w:val="sq-AL"/>
        </w:rPr>
        <w:t>Sipas kërkuesve</w:t>
      </w:r>
      <w:r>
        <w:rPr>
          <w:bCs/>
          <w:iCs/>
          <w:lang w:val="sq-AL"/>
        </w:rPr>
        <w:t>,</w:t>
      </w:r>
      <w:r w:rsidRPr="003F7D97">
        <w:rPr>
          <w:bCs/>
          <w:iCs/>
          <w:lang w:val="sq-AL"/>
        </w:rPr>
        <w:t xml:space="preserve"> vendimi i Gjykatës së Apelit nuk është i arsyetuar, pasi jo vetëm që nuk ka marrë në konsideratë provat dhe ligjin, por as ankimin</w:t>
      </w:r>
      <w:r>
        <w:rPr>
          <w:bCs/>
          <w:iCs/>
          <w:lang w:val="sq-AL"/>
        </w:rPr>
        <w:t>,</w:t>
      </w:r>
      <w:r w:rsidRPr="003F7D97">
        <w:rPr>
          <w:bCs/>
          <w:iCs/>
          <w:lang w:val="sq-AL"/>
        </w:rPr>
        <w:t xml:space="preserve"> duke mos u dhënë përgjig</w:t>
      </w:r>
      <w:r w:rsidR="007E4055">
        <w:rPr>
          <w:bCs/>
          <w:iCs/>
          <w:lang w:val="sq-AL"/>
        </w:rPr>
        <w:t>je çështjeve të ngritura në të.</w:t>
      </w:r>
    </w:p>
    <w:p w:rsidR="007E4055" w:rsidRDefault="0035599C" w:rsidP="007E4055">
      <w:pPr>
        <w:pStyle w:val="ListParagraph"/>
        <w:spacing w:line="360" w:lineRule="auto"/>
        <w:ind w:left="0" w:firstLine="720"/>
        <w:jc w:val="both"/>
        <w:rPr>
          <w:rFonts w:eastAsia="Calibri"/>
          <w:bCs/>
          <w:lang w:val="sq-AL"/>
        </w:rPr>
      </w:pPr>
      <w:r w:rsidRPr="003F7D97">
        <w:rPr>
          <w:rFonts w:eastAsia="Calibri"/>
          <w:lang w:val="sq-AL"/>
        </w:rPr>
        <w:t>17.</w:t>
      </w:r>
      <w:r w:rsidR="007E4055">
        <w:rPr>
          <w:rFonts w:eastAsia="Calibri"/>
          <w:lang w:val="sq-AL"/>
        </w:rPr>
        <w:t xml:space="preserve"> </w:t>
      </w:r>
      <w:r w:rsidRPr="003F7D97">
        <w:rPr>
          <w:rFonts w:eastAsia="Calibri"/>
          <w:lang w:val="sq-AL"/>
        </w:rPr>
        <w:t xml:space="preserve">Në jurisprudencën e saj Gjykata ka theksuar domosdoshmërinë e arsyetimit të vendimeve gjyqësore si një garanci për procesin ligjor. </w:t>
      </w:r>
      <w:r w:rsidRPr="003F7D97">
        <w:rPr>
          <w:rFonts w:eastAsia="Calibri"/>
          <w:bCs/>
          <w:lang w:val="sq-AL"/>
        </w:rPr>
        <w:t xml:space="preserve">Vendimet gjyqësore që japin gjykatat e të gjitha niveleve në përfundim të gjykimit përbëjnë aktin procedural kryesor të të gjithë procesit gjyqësor. Ato përmbledhin dhe finalizojnë përfundimisht qëndrimet që mban gjykata lidhur me çështjen në gjykim. Gjykata </w:t>
      </w:r>
      <w:r w:rsidRPr="003F7D97">
        <w:rPr>
          <w:rFonts w:eastAsia="Calibri"/>
          <w:lang w:val="sq-AL"/>
        </w:rPr>
        <w:t xml:space="preserve">ka theksuar se vendimi duhet të mbështetet vetëm mbi faktet që janë paraqitur gjatë procesit gjyqësor dhe duhet të përmbajë bazën ligjore mbi të cilën bazohet </w:t>
      </w:r>
      <w:r w:rsidRPr="003F7D97">
        <w:rPr>
          <w:rFonts w:eastAsia="Calibri"/>
          <w:lang w:val="sq-AL"/>
        </w:rPr>
        <w:lastRenderedPageBreak/>
        <w:t xml:space="preserve">zgjidhja e mosmarrëveshjes, analizën e provave dhe mënyrën e zgjidhjes së mosmarrëveshjes. Vendimi gjyqësor në çdo rast duhet të jetë logjik, i rregullt në formë dhe i qartë në përmbajtje. Në tërësinë e tij ai duhet konsideruar si një unitet, në të cilin pjesët përbërëse janë të lidhura ngushtësisht mes tyre dhe ato duhet të jenë në shërbim dhe funksion të njëra-tjetrës. Argumentet e pjesës arsyetuese duhet të jenë të bazuara dhe të lidhura logjikisht, duke respektuar rregullat e mendimit të drejtë, dhe duhet të formojnë një përmbajtje koherente brenda vendimit, i cili përjashton çdo kundërthënie ose kontradiksion të hapur ose të fshehtë </w:t>
      </w:r>
      <w:r w:rsidRPr="003F7D97">
        <w:rPr>
          <w:rFonts w:eastAsia="Calibri"/>
          <w:i/>
          <w:lang w:val="sq-AL"/>
        </w:rPr>
        <w:t>(shih vendimin nr.12, datë 19.03.2015 të Gjykatës Kushtetuese</w:t>
      </w:r>
      <w:r w:rsidRPr="003F7D97">
        <w:rPr>
          <w:rFonts w:eastAsia="Calibri"/>
          <w:lang w:val="sq-AL"/>
        </w:rPr>
        <w:t>)</w:t>
      </w:r>
      <w:r w:rsidRPr="003F7D97">
        <w:rPr>
          <w:rFonts w:eastAsia="Calibri"/>
          <w:bCs/>
          <w:lang w:val="sq-AL"/>
        </w:rPr>
        <w:t>.</w:t>
      </w:r>
    </w:p>
    <w:p w:rsidR="007E4055" w:rsidRDefault="0035599C" w:rsidP="007E4055">
      <w:pPr>
        <w:pStyle w:val="ListParagraph"/>
        <w:spacing w:line="360" w:lineRule="auto"/>
        <w:ind w:left="0" w:firstLine="720"/>
        <w:jc w:val="both"/>
        <w:rPr>
          <w:rFonts w:eastAsia="Calibri"/>
          <w:lang w:val="sq-AL"/>
        </w:rPr>
      </w:pPr>
      <w:r w:rsidRPr="003F7D97">
        <w:rPr>
          <w:rFonts w:eastAsia="Calibri"/>
          <w:lang w:val="sq-AL"/>
        </w:rPr>
        <w:t>18.</w:t>
      </w:r>
      <w:r w:rsidR="007E4055">
        <w:rPr>
          <w:rFonts w:eastAsia="Calibri"/>
          <w:lang w:val="sq-AL"/>
        </w:rPr>
        <w:t xml:space="preserve"> </w:t>
      </w:r>
      <w:r w:rsidRPr="003F7D97">
        <w:rPr>
          <w:rFonts w:eastAsia="Calibri"/>
          <w:lang w:val="sq-AL"/>
        </w:rPr>
        <w:t xml:space="preserve">Zbatimi i këtij parimi është vlerësuar nga Gjykata rast pas rasti, në varësi të rrethanave konkrete të çështjes, duke analizuar nëse vendimet gjyqësore të kundërshtuara e kanë përmbushur në mënyrë të mjaftueshme detyrimin për arsyetimin e vendimeve të tyre. </w:t>
      </w:r>
      <w:r w:rsidRPr="003F7D97">
        <w:rPr>
          <w:rFonts w:eastAsia="Calibri"/>
          <w:bCs/>
          <w:lang w:val="sq-AL"/>
        </w:rPr>
        <w:t xml:space="preserve">Në këtë kontekst, Gjykata ka theksuar se ajo e vlerëson arsyetimin e një vendimi gjyqësor vetëm në kuadrin e përmbushjes ose jo të standardeve të mësipërme, pasi nuk është detyrë e saj të analizojë provat dhe faktet ku është bazuar gjykata për zgjidhjen e çështjes së themelit. Kjo mbetet detyrë funksionale e gjykatave të juridiksionit të zakonshëm. </w:t>
      </w:r>
      <w:r w:rsidRPr="003F7D97">
        <w:rPr>
          <w:rFonts w:eastAsia="Calibri"/>
          <w:lang w:val="sq-AL"/>
        </w:rPr>
        <w:t>Në vlerësimin e Gjykatës nuk mjafton që arsyetimi të jetë formalisht i pranishëm</w:t>
      </w:r>
      <w:r w:rsidRPr="003F7D97">
        <w:rPr>
          <w:rFonts w:eastAsia="MS Mincho"/>
          <w:lang w:val="sq-AL"/>
        </w:rPr>
        <w:t xml:space="preserve"> </w:t>
      </w:r>
      <w:r w:rsidRPr="003F7D97">
        <w:rPr>
          <w:rFonts w:eastAsia="Calibri"/>
          <w:lang w:val="sq-AL"/>
        </w:rPr>
        <w:t>në kuptimin grafik dhe strukturor, pasi kjo do ta bënte atë thjesht fiktiv. Arsyetimi duhet domosdoshmërish të plotësojë kriteret minimale ligjore të përcaktuara dhe të mos ketë të meta të tilla serioze që cenojnë standardin e vendimit gjyqësor të arsyetuar</w:t>
      </w:r>
      <w:r>
        <w:rPr>
          <w:rFonts w:eastAsia="Calibri"/>
          <w:lang w:val="sq-AL"/>
        </w:rPr>
        <w:t xml:space="preserve"> </w:t>
      </w:r>
      <w:r w:rsidRPr="003F7D97">
        <w:rPr>
          <w:rFonts w:eastAsia="Calibri"/>
          <w:i/>
          <w:lang w:val="sq-AL"/>
        </w:rPr>
        <w:t>(shih vendimin nr.10, datë 13.02.2017 të Gjykatës Kushtetuese</w:t>
      </w:r>
      <w:r w:rsidRPr="003F7D97">
        <w:rPr>
          <w:rFonts w:eastAsia="Calibri"/>
          <w:lang w:val="sq-AL"/>
        </w:rPr>
        <w:t>)</w:t>
      </w:r>
      <w:r>
        <w:rPr>
          <w:rFonts w:eastAsia="Calibri"/>
          <w:lang w:val="sq-AL"/>
        </w:rPr>
        <w:t>.</w:t>
      </w:r>
      <w:r w:rsidRPr="003F7D97">
        <w:rPr>
          <w:rFonts w:eastAsia="Calibri"/>
          <w:bCs/>
          <w:lang w:val="sq-AL"/>
        </w:rPr>
        <w:t xml:space="preserve"> </w:t>
      </w:r>
      <w:r>
        <w:rPr>
          <w:rFonts w:eastAsia="Calibri"/>
          <w:bCs/>
          <w:lang w:val="sq-AL"/>
        </w:rPr>
        <w:t>N</w:t>
      </w:r>
      <w:r w:rsidRPr="003F7D97">
        <w:rPr>
          <w:rFonts w:eastAsia="Calibri"/>
          <w:bCs/>
          <w:lang w:val="sq-AL"/>
        </w:rPr>
        <w:t>ë aspektin e kontrollit kushtetues, Gjykata verifikon nëse arsyetimi i vendimit gjyqësor i ka plotësuar ose jo kriteret e përcaktuara më sipër, të cilat garantojnë të drejtën për të pasur një vendim gjyqësor të arsyetuar</w:t>
      </w:r>
      <w:r w:rsidRPr="003F7D97">
        <w:rPr>
          <w:rFonts w:eastAsia="Calibri"/>
          <w:lang w:val="sq-AL"/>
        </w:rPr>
        <w:t>.</w:t>
      </w:r>
    </w:p>
    <w:p w:rsidR="007E4055" w:rsidRDefault="0035599C" w:rsidP="007E4055">
      <w:pPr>
        <w:pStyle w:val="ListParagraph"/>
        <w:spacing w:line="360" w:lineRule="auto"/>
        <w:ind w:left="0" w:firstLine="720"/>
        <w:jc w:val="both"/>
        <w:rPr>
          <w:rFonts w:eastAsia="Calibri"/>
          <w:lang w:val="sq-AL"/>
        </w:rPr>
      </w:pPr>
      <w:r w:rsidRPr="003F7D97">
        <w:rPr>
          <w:rFonts w:eastAsia="Calibri"/>
          <w:lang w:val="sq-AL"/>
        </w:rPr>
        <w:t>19.</w:t>
      </w:r>
      <w:r w:rsidR="007E4055">
        <w:rPr>
          <w:rFonts w:eastAsia="Calibri"/>
          <w:lang w:val="sq-AL"/>
        </w:rPr>
        <w:t xml:space="preserve"> </w:t>
      </w:r>
      <w:r w:rsidRPr="003F7D97">
        <w:rPr>
          <w:rFonts w:eastAsia="Calibri"/>
          <w:lang w:val="sq-AL"/>
        </w:rPr>
        <w:t>Në vështrim të sa më sipër</w:t>
      </w:r>
      <w:r>
        <w:rPr>
          <w:rFonts w:eastAsia="Calibri"/>
          <w:lang w:val="sq-AL"/>
        </w:rPr>
        <w:t>,</w:t>
      </w:r>
      <w:r w:rsidRPr="003F7D97">
        <w:rPr>
          <w:rFonts w:eastAsia="Calibri"/>
          <w:lang w:val="sq-AL"/>
        </w:rPr>
        <w:t xml:space="preserve"> Gjykata vlerëson se pretendimi i kërkuesve për cenimin e standardit të arsyetimit të vendimit nga Gjykata e Apelit është haptazi i pabazuar. Duke vlerësuar përmbajtjen e këtij vendimi në këndvështrim të standardeve të mësipërme kushtetuese, Gjykata vlerëson se vendimi i kundërshtuar nuk rezulton të jetë jologjik, të ketë kundërthënie, të mos ketë referencë në ligjin e zbatueshëm dhe të mos respektojë e</w:t>
      </w:r>
      <w:r w:rsidR="007E4055">
        <w:rPr>
          <w:rFonts w:eastAsia="Calibri"/>
          <w:lang w:val="sq-AL"/>
        </w:rPr>
        <w:t>lementet e përmendura më sipër.</w:t>
      </w:r>
    </w:p>
    <w:p w:rsidR="007E4055" w:rsidRDefault="007E4055" w:rsidP="007E4055">
      <w:pPr>
        <w:pStyle w:val="ListParagraph"/>
        <w:spacing w:line="360" w:lineRule="auto"/>
        <w:ind w:left="0" w:firstLine="720"/>
        <w:jc w:val="both"/>
        <w:rPr>
          <w:rFonts w:eastAsia="Calibri"/>
          <w:lang w:val="sq-AL"/>
        </w:rPr>
      </w:pPr>
    </w:p>
    <w:p w:rsidR="007E4055" w:rsidRDefault="0035599C" w:rsidP="007E4055">
      <w:pPr>
        <w:pStyle w:val="ListParagraph"/>
        <w:spacing w:line="360" w:lineRule="auto"/>
        <w:ind w:left="0" w:firstLine="720"/>
        <w:jc w:val="both"/>
        <w:rPr>
          <w:rFonts w:eastAsia="Calibri"/>
          <w:i/>
          <w:lang w:val="sq-AL"/>
        </w:rPr>
      </w:pPr>
      <w:r w:rsidRPr="003F7D97">
        <w:rPr>
          <w:rFonts w:eastAsia="Calibri"/>
          <w:i/>
          <w:lang w:val="sq-AL"/>
        </w:rPr>
        <w:t>Ç. Për pretendimin për procesin e zhvilluar në Gjykatën e Lartë</w:t>
      </w:r>
    </w:p>
    <w:p w:rsidR="007E4055" w:rsidRDefault="0035599C" w:rsidP="007E4055">
      <w:pPr>
        <w:pStyle w:val="ListParagraph"/>
        <w:spacing w:line="360" w:lineRule="auto"/>
        <w:ind w:left="0" w:firstLine="720"/>
        <w:jc w:val="both"/>
        <w:rPr>
          <w:bCs/>
          <w:iCs/>
          <w:lang w:val="sq-AL"/>
        </w:rPr>
      </w:pPr>
      <w:r w:rsidRPr="003F7D97">
        <w:rPr>
          <w:bCs/>
          <w:iCs/>
          <w:lang w:val="sq-AL"/>
        </w:rPr>
        <w:t>20.</w:t>
      </w:r>
      <w:r w:rsidR="007E4055">
        <w:rPr>
          <w:bCs/>
          <w:iCs/>
          <w:lang w:val="sq-AL"/>
        </w:rPr>
        <w:t xml:space="preserve"> </w:t>
      </w:r>
      <w:r w:rsidRPr="003F7D97">
        <w:rPr>
          <w:bCs/>
          <w:iCs/>
          <w:lang w:val="sq-AL"/>
        </w:rPr>
        <w:t>Sipas kërkuesve edhe pse shkaqet ligjore të ngritura në rekurs lidheshin me shkelje të rënda procedural</w:t>
      </w:r>
      <w:r w:rsidR="00D51115">
        <w:rPr>
          <w:bCs/>
          <w:iCs/>
          <w:lang w:val="sq-AL"/>
        </w:rPr>
        <w:t>e</w:t>
      </w:r>
      <w:r w:rsidRPr="003F7D97">
        <w:rPr>
          <w:bCs/>
          <w:iCs/>
          <w:lang w:val="sq-AL"/>
        </w:rPr>
        <w:t xml:space="preserve">, Gjykata e Lartë </w:t>
      </w:r>
      <w:r>
        <w:rPr>
          <w:bCs/>
          <w:iCs/>
          <w:lang w:val="sq-AL"/>
        </w:rPr>
        <w:t xml:space="preserve">ka </w:t>
      </w:r>
      <w:r w:rsidRPr="003F7D97">
        <w:rPr>
          <w:bCs/>
          <w:iCs/>
          <w:lang w:val="sq-AL"/>
        </w:rPr>
        <w:t>vendos</w:t>
      </w:r>
      <w:r>
        <w:rPr>
          <w:bCs/>
          <w:iCs/>
          <w:lang w:val="sq-AL"/>
        </w:rPr>
        <w:t>ur</w:t>
      </w:r>
      <w:r w:rsidRPr="003F7D97">
        <w:rPr>
          <w:bCs/>
          <w:iCs/>
          <w:lang w:val="sq-AL"/>
        </w:rPr>
        <w:t xml:space="preserve"> mospranimin e tij në dhomën e këshillimit pa praninë e palëve.</w:t>
      </w:r>
    </w:p>
    <w:p w:rsidR="007E4055" w:rsidRDefault="007E4055" w:rsidP="007E4055">
      <w:pPr>
        <w:pStyle w:val="ListParagraph"/>
        <w:spacing w:line="360" w:lineRule="auto"/>
        <w:ind w:left="0" w:firstLine="720"/>
        <w:jc w:val="both"/>
        <w:rPr>
          <w:lang w:val="sq-AL"/>
        </w:rPr>
      </w:pPr>
      <w:r>
        <w:rPr>
          <w:lang w:val="sq-AL"/>
        </w:rPr>
        <w:lastRenderedPageBreak/>
        <w:t xml:space="preserve">21. </w:t>
      </w:r>
      <w:r w:rsidR="007D3E38" w:rsidRPr="007D3E38">
        <w:rPr>
          <w:lang w:val="sq-AL"/>
        </w:rPr>
        <w:t xml:space="preserve">Sipas nenit 133/2 të Kushtetutës, Gjykata Kushtetuese merr vendim përfundimtar me shumicën e të gjithë anëtarëve të saj, me përjashtim të rasteve kur parashikohet ndryshe në ligj. Kjo dispozitë kushtetuese është reflektuar edhe në përmbajtjen e nenit 72/2 të ligjit organik të Gjykatës, sipas të cilit vendimet e saj merren me shumicën e votave të të gjithë anëtarëve të saj dhe abstenimi nuk lejohet. Në lidhje me thelbin e </w:t>
      </w:r>
      <w:r w:rsidR="007D3E38">
        <w:rPr>
          <w:lang w:val="sq-AL"/>
        </w:rPr>
        <w:t xml:space="preserve">këtij </w:t>
      </w:r>
      <w:r w:rsidR="007D3E38" w:rsidRPr="007D3E38">
        <w:rPr>
          <w:lang w:val="sq-AL"/>
        </w:rPr>
        <w:t>pretendim</w:t>
      </w:r>
      <w:r w:rsidR="007D3E38">
        <w:rPr>
          <w:lang w:val="sq-AL"/>
        </w:rPr>
        <w:t>i të paraqitur</w:t>
      </w:r>
      <w:r w:rsidR="007D3E38" w:rsidRPr="007D3E38">
        <w:rPr>
          <w:lang w:val="sq-AL"/>
        </w:rPr>
        <w:t xml:space="preserve"> nga kërkuesi</w:t>
      </w:r>
      <w:r w:rsidR="007D3E38">
        <w:rPr>
          <w:lang w:val="sq-AL"/>
        </w:rPr>
        <w:t>t</w:t>
      </w:r>
      <w:r w:rsidR="007D3E38" w:rsidRPr="007D3E38">
        <w:rPr>
          <w:lang w:val="sq-AL"/>
        </w:rPr>
        <w:t xml:space="preserve">, Gjykata, gjatë votimit, nuk arriti shumicën e të gjithë anëtarëve të saj të kërkuar nga dispozitat e mësipërme. Për rrjedhojë, në bazë të nenit 73/4 të ligjit nr.8577, datë 10.02.2000 “Për organizimin dhe funksionimin e Gjykatës Kushtetuese të Republikës së Shqipërisë”, të ndryshuar, në kushtet kur nuk është </w:t>
      </w:r>
      <w:r w:rsidR="007D3E38" w:rsidRPr="007D3E38">
        <w:rPr>
          <w:color w:val="000000"/>
          <w:lang w:val="sq-AL"/>
        </w:rPr>
        <w:t>formuar shumica e kërkuar prej 5 votash</w:t>
      </w:r>
      <w:r w:rsidR="007D3E38" w:rsidRPr="007D3E38">
        <w:rPr>
          <w:lang w:val="sq-AL"/>
        </w:rPr>
        <w:t xml:space="preserve">, kërkesa </w:t>
      </w:r>
      <w:r w:rsidR="007D3E38" w:rsidRPr="007D3E38">
        <w:rPr>
          <w:rFonts w:eastAsia="Arial Unicode MS"/>
          <w:lang w:val="sq-AL"/>
        </w:rPr>
        <w:t>kons</w:t>
      </w:r>
      <w:r w:rsidR="007D3E38" w:rsidRPr="007D3E38">
        <w:rPr>
          <w:lang w:val="sq-AL"/>
        </w:rPr>
        <w:t>iderohet e rrëzuar.</w:t>
      </w:r>
      <w:r w:rsidR="007D3E38" w:rsidRPr="00EC34E4">
        <w:rPr>
          <w:rStyle w:val="FootnoteReference"/>
        </w:rPr>
        <w:footnoteReference w:id="1"/>
      </w:r>
    </w:p>
    <w:p w:rsidR="007E4055" w:rsidRDefault="007E4055" w:rsidP="007E4055">
      <w:pPr>
        <w:pStyle w:val="ListParagraph"/>
        <w:spacing w:line="360" w:lineRule="auto"/>
        <w:ind w:left="0"/>
        <w:jc w:val="both"/>
        <w:rPr>
          <w:lang w:val="sq-AL"/>
        </w:rPr>
      </w:pPr>
    </w:p>
    <w:p w:rsidR="007E4055" w:rsidRDefault="0035599C" w:rsidP="007E4055">
      <w:pPr>
        <w:pStyle w:val="ListParagraph"/>
        <w:spacing w:line="360" w:lineRule="auto"/>
        <w:ind w:left="0"/>
        <w:jc w:val="center"/>
        <w:rPr>
          <w:b/>
          <w:bCs/>
          <w:lang w:val="sq-AL"/>
        </w:rPr>
      </w:pPr>
      <w:r w:rsidRPr="007E4055">
        <w:rPr>
          <w:b/>
          <w:bCs/>
          <w:lang w:val="sq-AL"/>
        </w:rPr>
        <w:t>PËR KËTO ARSYE,</w:t>
      </w:r>
    </w:p>
    <w:p w:rsidR="007E4055" w:rsidRDefault="0035599C" w:rsidP="007E4055">
      <w:pPr>
        <w:pStyle w:val="ListParagraph"/>
        <w:spacing w:line="360" w:lineRule="auto"/>
        <w:ind w:left="0" w:firstLine="720"/>
        <w:jc w:val="both"/>
        <w:rPr>
          <w:lang w:val="sq-AL"/>
        </w:rPr>
      </w:pPr>
      <w:r w:rsidRPr="003F7D97">
        <w:rPr>
          <w:lang w:val="sq-AL"/>
        </w:rPr>
        <w:t>Gjykata Kushtetuese e Republikës së Shqipërisë, në mbështetje të neneve 131/1/f dhe 134/1/i të Kushtetutës, si dhe të neneve 71, 72 e vijues të ligjit nr.8577, datë 10.02.2000 “Për organizimin dhe funksionimin e Gjykatës Kushtetuese të Republikë</w:t>
      </w:r>
      <w:r w:rsidR="007E4055">
        <w:rPr>
          <w:lang w:val="sq-AL"/>
        </w:rPr>
        <w:t>s së Shqipërisë”, të ndryshuar,</w:t>
      </w:r>
    </w:p>
    <w:p w:rsidR="007E4055" w:rsidRDefault="007E4055" w:rsidP="007E4055">
      <w:pPr>
        <w:pStyle w:val="ListParagraph"/>
        <w:spacing w:line="360" w:lineRule="auto"/>
        <w:ind w:left="0"/>
        <w:jc w:val="both"/>
        <w:rPr>
          <w:lang w:val="sq-AL"/>
        </w:rPr>
      </w:pPr>
    </w:p>
    <w:p w:rsidR="0035599C" w:rsidRPr="007E4055" w:rsidRDefault="0035599C" w:rsidP="007E4055">
      <w:pPr>
        <w:pStyle w:val="ListParagraph"/>
        <w:spacing w:line="360" w:lineRule="auto"/>
        <w:ind w:left="0"/>
        <w:jc w:val="center"/>
        <w:rPr>
          <w:b/>
          <w:lang w:val="sq-AL"/>
        </w:rPr>
      </w:pPr>
      <w:r w:rsidRPr="003F7D97">
        <w:rPr>
          <w:b/>
          <w:bCs/>
          <w:lang w:val="sq-AL"/>
        </w:rPr>
        <w:t>V E N D O S I:</w:t>
      </w:r>
    </w:p>
    <w:p w:rsidR="007E4055" w:rsidRDefault="0035599C" w:rsidP="007E4055">
      <w:pPr>
        <w:numPr>
          <w:ilvl w:val="0"/>
          <w:numId w:val="1"/>
        </w:numPr>
        <w:spacing w:line="360" w:lineRule="auto"/>
        <w:jc w:val="both"/>
        <w:rPr>
          <w:lang w:val="sq-AL"/>
        </w:rPr>
      </w:pPr>
      <w:r>
        <w:rPr>
          <w:lang w:val="sq-AL"/>
        </w:rPr>
        <w:t>Rrëzimin e kërkesës</w:t>
      </w:r>
      <w:r w:rsidR="007E4055">
        <w:rPr>
          <w:lang w:val="sq-AL"/>
        </w:rPr>
        <w:t>.</w:t>
      </w:r>
    </w:p>
    <w:p w:rsidR="0035599C" w:rsidRPr="007E4055" w:rsidRDefault="0035599C" w:rsidP="007E4055">
      <w:pPr>
        <w:spacing w:line="360" w:lineRule="auto"/>
        <w:ind w:left="284"/>
        <w:jc w:val="both"/>
        <w:rPr>
          <w:lang w:val="sq-AL"/>
        </w:rPr>
      </w:pPr>
      <w:r w:rsidRPr="007E4055">
        <w:rPr>
          <w:lang w:val="sq-AL"/>
        </w:rPr>
        <w:t>Ky vendim është përfundimtar, i formës së prerë dhe hyn në fuqi ditën e botimit në Fletoren Zyrtare.</w:t>
      </w:r>
      <w:r w:rsidRPr="007E4055">
        <w:rPr>
          <w:b/>
          <w:bCs/>
          <w:lang w:val="sq-AL"/>
        </w:rPr>
        <w:t xml:space="preserve"> </w:t>
      </w:r>
    </w:p>
    <w:p w:rsidR="0097478E" w:rsidRPr="00842D80" w:rsidRDefault="00D541BF" w:rsidP="007E4055">
      <w:pPr>
        <w:spacing w:line="360" w:lineRule="auto"/>
        <w:ind w:firstLine="644"/>
        <w:rPr>
          <w:lang w:val="sq-AL"/>
        </w:rPr>
      </w:pPr>
      <w:r>
        <w:rPr>
          <w:b/>
          <w:bCs/>
          <w:lang w:val="sq-AL"/>
        </w:rPr>
        <w:t>Shpallur më 07</w:t>
      </w:r>
      <w:r w:rsidR="0035599C" w:rsidRPr="003F7D97">
        <w:rPr>
          <w:b/>
          <w:bCs/>
          <w:lang w:val="sq-AL"/>
        </w:rPr>
        <w:t>.</w:t>
      </w:r>
      <w:r>
        <w:rPr>
          <w:b/>
          <w:bCs/>
          <w:lang w:val="sq-AL"/>
        </w:rPr>
        <w:t>05</w:t>
      </w:r>
      <w:r w:rsidR="0035599C" w:rsidRPr="003F7D97">
        <w:rPr>
          <w:b/>
          <w:bCs/>
          <w:lang w:val="sq-AL"/>
        </w:rPr>
        <w:t>.201</w:t>
      </w:r>
      <w:r w:rsidR="00842D80">
        <w:rPr>
          <w:b/>
          <w:bCs/>
          <w:lang w:val="sq-AL"/>
        </w:rPr>
        <w:t>8</w:t>
      </w:r>
    </w:p>
    <w:sectPr w:rsidR="0097478E" w:rsidRPr="00842D80" w:rsidSect="00842D80">
      <w:footerReference w:type="default" r:id="rId8"/>
      <w:pgSz w:w="12240" w:h="15840"/>
      <w:pgMar w:top="1440" w:right="1440" w:bottom="1170" w:left="1440" w:header="720" w:footer="4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A1C" w:rsidRDefault="00DA4A1C" w:rsidP="00842D80">
      <w:r>
        <w:separator/>
      </w:r>
    </w:p>
  </w:endnote>
  <w:endnote w:type="continuationSeparator" w:id="0">
    <w:p w:rsidR="00DA4A1C" w:rsidRDefault="00DA4A1C" w:rsidP="00842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1BF" w:rsidRDefault="00DA4A1C">
    <w:pPr>
      <w:pStyle w:val="Footer"/>
      <w:jc w:val="right"/>
    </w:pPr>
    <w:r>
      <w:fldChar w:fldCharType="begin"/>
    </w:r>
    <w:r>
      <w:instrText xml:space="preserve"> PAGE   \* MERGEFORMAT </w:instrText>
    </w:r>
    <w:r>
      <w:fldChar w:fldCharType="separate"/>
    </w:r>
    <w:r w:rsidR="00B71D5E">
      <w:rPr>
        <w:noProof/>
      </w:rPr>
      <w:t>3</w:t>
    </w:r>
    <w:r>
      <w:rPr>
        <w:noProof/>
      </w:rPr>
      <w:fldChar w:fldCharType="end"/>
    </w:r>
  </w:p>
  <w:p w:rsidR="00842D80" w:rsidRPr="00D541BF" w:rsidRDefault="00842D80" w:rsidP="00D541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A1C" w:rsidRDefault="00DA4A1C" w:rsidP="00842D80">
      <w:r>
        <w:separator/>
      </w:r>
    </w:p>
  </w:footnote>
  <w:footnote w:type="continuationSeparator" w:id="0">
    <w:p w:rsidR="00DA4A1C" w:rsidRDefault="00DA4A1C" w:rsidP="00842D80">
      <w:r>
        <w:continuationSeparator/>
      </w:r>
    </w:p>
  </w:footnote>
  <w:footnote w:id="1">
    <w:p w:rsidR="007D3E38" w:rsidRPr="00BD3651" w:rsidRDefault="007D3E38" w:rsidP="007D3E38">
      <w:pPr>
        <w:pStyle w:val="FootnoteText"/>
        <w:jc w:val="both"/>
        <w:rPr>
          <w:lang w:val="sq-AL"/>
        </w:rPr>
      </w:pPr>
      <w:r w:rsidRPr="00BD3651">
        <w:rPr>
          <w:rStyle w:val="FootnoteReference"/>
          <w:rFonts w:eastAsia="MS Mincho"/>
          <w:lang w:val="sq-AL"/>
        </w:rPr>
        <w:footnoteRef/>
      </w:r>
      <w:r w:rsidRPr="00BD3651">
        <w:rPr>
          <w:lang w:val="sq-AL"/>
        </w:rPr>
        <w:t xml:space="preserve"> Votuan pro pranimit të kërkesës</w:t>
      </w:r>
      <w:r>
        <w:rPr>
          <w:lang w:val="sq-AL"/>
        </w:rPr>
        <w:t xml:space="preserve"> gjyqtarët</w:t>
      </w:r>
      <w:r w:rsidRPr="00BD3651">
        <w:rPr>
          <w:lang w:val="sq-AL"/>
        </w:rPr>
        <w:t xml:space="preserve"> </w:t>
      </w:r>
      <w:r w:rsidR="00D070EE" w:rsidRPr="00BD3651">
        <w:rPr>
          <w:lang w:val="sq-AL"/>
        </w:rPr>
        <w:t xml:space="preserve">Bashkim Dedja </w:t>
      </w:r>
      <w:r>
        <w:rPr>
          <w:lang w:val="sq-AL"/>
        </w:rPr>
        <w:t>Besnik Imeraj</w:t>
      </w:r>
      <w:r w:rsidRPr="00BD3651">
        <w:rPr>
          <w:lang w:val="sq-AL"/>
        </w:rPr>
        <w:t xml:space="preserve">. Votuan </w:t>
      </w:r>
      <w:r w:rsidR="00D070EE">
        <w:rPr>
          <w:lang w:val="sq-AL"/>
        </w:rPr>
        <w:t>për rrëzimin e kërkesës</w:t>
      </w:r>
      <w:r w:rsidRPr="00BD3651">
        <w:rPr>
          <w:lang w:val="sq-AL"/>
        </w:rPr>
        <w:t xml:space="preserve"> Vitore Tusha,</w:t>
      </w:r>
      <w:r>
        <w:rPr>
          <w:lang w:val="sq-AL"/>
        </w:rPr>
        <w:t xml:space="preserve"> </w:t>
      </w:r>
      <w:r w:rsidR="00D070EE">
        <w:rPr>
          <w:lang w:val="sq-AL"/>
        </w:rPr>
        <w:t>Fatmir Hoxha,</w:t>
      </w:r>
      <w:r>
        <w:rPr>
          <w:lang w:val="sq-AL"/>
        </w:rPr>
        <w:t xml:space="preserve"> </w:t>
      </w:r>
      <w:r w:rsidR="00D070EE" w:rsidRPr="00BD3651">
        <w:rPr>
          <w:lang w:val="sq-AL"/>
        </w:rPr>
        <w:t>Gani Dizda</w:t>
      </w:r>
      <w:r w:rsidR="00D070EE">
        <w:rPr>
          <w:lang w:val="sq-AL"/>
        </w:rPr>
        <w:t xml:space="preserve">ri, </w:t>
      </w:r>
      <w:r>
        <w:rPr>
          <w:lang w:val="sq-AL"/>
        </w:rPr>
        <w:t>dhe Fatos Lulo</w:t>
      </w:r>
      <w:r w:rsidRPr="00BD3651">
        <w:rPr>
          <w:lang w:val="sq-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E06C0"/>
    <w:multiLevelType w:val="hybridMultilevel"/>
    <w:tmpl w:val="80966456"/>
    <w:lvl w:ilvl="0" w:tplc="97E23364">
      <w:numFmt w:val="bullet"/>
      <w:lvlText w:val="-"/>
      <w:lvlJc w:val="left"/>
      <w:pPr>
        <w:ind w:left="644" w:hanging="360"/>
      </w:pPr>
      <w:rPr>
        <w:rFonts w:ascii="Times New Roman" w:eastAsia="Times New Roman" w:hAnsi="Times New Roman" w:cs="Times New Roman" w:hint="default"/>
        <w:b w:val="0"/>
        <w:i w:val="0"/>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5599C"/>
    <w:rsid w:val="000F2352"/>
    <w:rsid w:val="0035599C"/>
    <w:rsid w:val="00450F32"/>
    <w:rsid w:val="00482A28"/>
    <w:rsid w:val="004B6991"/>
    <w:rsid w:val="00597F00"/>
    <w:rsid w:val="005B13A2"/>
    <w:rsid w:val="005F4045"/>
    <w:rsid w:val="006307F8"/>
    <w:rsid w:val="006A6503"/>
    <w:rsid w:val="006D7C75"/>
    <w:rsid w:val="0073136B"/>
    <w:rsid w:val="007D3E38"/>
    <w:rsid w:val="007E4055"/>
    <w:rsid w:val="00842D80"/>
    <w:rsid w:val="008E6E87"/>
    <w:rsid w:val="0097478E"/>
    <w:rsid w:val="009B2A7C"/>
    <w:rsid w:val="00A320F5"/>
    <w:rsid w:val="00A91383"/>
    <w:rsid w:val="00B0659C"/>
    <w:rsid w:val="00B71D5E"/>
    <w:rsid w:val="00BC1213"/>
    <w:rsid w:val="00C209B8"/>
    <w:rsid w:val="00D070EE"/>
    <w:rsid w:val="00D51115"/>
    <w:rsid w:val="00D541BF"/>
    <w:rsid w:val="00DA4A1C"/>
    <w:rsid w:val="00E24D5F"/>
    <w:rsid w:val="00E5649F"/>
    <w:rsid w:val="00E862E1"/>
    <w:rsid w:val="00FF0AF0"/>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q-AL" w:eastAsia="sq-A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99C"/>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aliases w:val="Char Char"/>
    <w:basedOn w:val="DefaultParagraphFont"/>
    <w:link w:val="Title"/>
    <w:locked/>
    <w:rsid w:val="0035599C"/>
    <w:rPr>
      <w:b/>
      <w:bCs/>
      <w:sz w:val="24"/>
      <w:szCs w:val="24"/>
    </w:rPr>
  </w:style>
  <w:style w:type="paragraph" w:styleId="Title">
    <w:name w:val="Title"/>
    <w:aliases w:val="Char"/>
    <w:basedOn w:val="Normal"/>
    <w:link w:val="TitleChar"/>
    <w:qFormat/>
    <w:rsid w:val="0035599C"/>
    <w:pPr>
      <w:jc w:val="center"/>
    </w:pPr>
    <w:rPr>
      <w:rFonts w:ascii="Calibri" w:eastAsia="Calibri" w:hAnsi="Calibri"/>
      <w:b/>
      <w:bCs/>
    </w:rPr>
  </w:style>
  <w:style w:type="character" w:customStyle="1" w:styleId="TitleChar1">
    <w:name w:val="Title Char1"/>
    <w:basedOn w:val="DefaultParagraphFont"/>
    <w:uiPriority w:val="10"/>
    <w:rsid w:val="0035599C"/>
    <w:rPr>
      <w:rFonts w:ascii="Cambria" w:eastAsia="Times New Roman" w:hAnsi="Cambria" w:cs="Times New Roman"/>
      <w:color w:val="17365D"/>
      <w:spacing w:val="5"/>
      <w:kern w:val="28"/>
      <w:sz w:val="52"/>
      <w:szCs w:val="52"/>
    </w:rPr>
  </w:style>
  <w:style w:type="character" w:customStyle="1" w:styleId="ListParagraphChar">
    <w:name w:val="List Paragraph Char"/>
    <w:basedOn w:val="DefaultParagraphFont"/>
    <w:link w:val="ListParagraph"/>
    <w:uiPriority w:val="34"/>
    <w:locked/>
    <w:rsid w:val="0035599C"/>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35599C"/>
    <w:pPr>
      <w:ind w:left="720"/>
    </w:pPr>
  </w:style>
  <w:style w:type="paragraph" w:styleId="BalloonText">
    <w:name w:val="Balloon Text"/>
    <w:basedOn w:val="Normal"/>
    <w:link w:val="BalloonTextChar"/>
    <w:uiPriority w:val="99"/>
    <w:semiHidden/>
    <w:unhideWhenUsed/>
    <w:rsid w:val="0035599C"/>
    <w:rPr>
      <w:rFonts w:ascii="Tahoma" w:hAnsi="Tahoma" w:cs="Tahoma"/>
      <w:sz w:val="16"/>
      <w:szCs w:val="16"/>
    </w:rPr>
  </w:style>
  <w:style w:type="character" w:customStyle="1" w:styleId="BalloonTextChar">
    <w:name w:val="Balloon Text Char"/>
    <w:basedOn w:val="DefaultParagraphFont"/>
    <w:link w:val="BalloonText"/>
    <w:uiPriority w:val="99"/>
    <w:semiHidden/>
    <w:rsid w:val="0035599C"/>
    <w:rPr>
      <w:rFonts w:ascii="Tahoma" w:eastAsia="Times New Roman" w:hAnsi="Tahoma" w:cs="Tahoma"/>
      <w:sz w:val="16"/>
      <w:szCs w:val="16"/>
    </w:rPr>
  </w:style>
  <w:style w:type="paragraph" w:styleId="Header">
    <w:name w:val="header"/>
    <w:basedOn w:val="Normal"/>
    <w:link w:val="HeaderChar"/>
    <w:uiPriority w:val="99"/>
    <w:semiHidden/>
    <w:unhideWhenUsed/>
    <w:rsid w:val="00842D80"/>
    <w:pPr>
      <w:tabs>
        <w:tab w:val="center" w:pos="4680"/>
        <w:tab w:val="right" w:pos="9360"/>
      </w:tabs>
    </w:pPr>
  </w:style>
  <w:style w:type="character" w:customStyle="1" w:styleId="HeaderChar">
    <w:name w:val="Header Char"/>
    <w:basedOn w:val="DefaultParagraphFont"/>
    <w:link w:val="Header"/>
    <w:uiPriority w:val="99"/>
    <w:semiHidden/>
    <w:rsid w:val="00842D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2D80"/>
    <w:pPr>
      <w:tabs>
        <w:tab w:val="center" w:pos="4680"/>
        <w:tab w:val="right" w:pos="9360"/>
      </w:tabs>
    </w:pPr>
  </w:style>
  <w:style w:type="character" w:customStyle="1" w:styleId="FooterChar">
    <w:name w:val="Footer Char"/>
    <w:basedOn w:val="DefaultParagraphFont"/>
    <w:link w:val="Footer"/>
    <w:uiPriority w:val="99"/>
    <w:rsid w:val="00842D80"/>
    <w:rPr>
      <w:rFonts w:ascii="Times New Roman" w:eastAsia="Times New Roman" w:hAnsi="Times New Roman" w:cs="Times New Roman"/>
      <w:sz w:val="24"/>
      <w:szCs w:val="24"/>
    </w:rPr>
  </w:style>
  <w:style w:type="paragraph" w:styleId="FootnoteText">
    <w:name w:val="footnote text"/>
    <w:aliases w:val=" Char1,Footnote Text Char1 Char Char Char,Footnote Text Char Char Char Char Char, Char Char,Car,Char1,Footnotes,fn,footnote text,single space,FOOTNOTES,ft,ADB,pod carou,Fußnotentext AssRepDraft,pod carou Char Char Char"/>
    <w:basedOn w:val="Normal"/>
    <w:link w:val="FootnoteTextChar"/>
    <w:unhideWhenUsed/>
    <w:qFormat/>
    <w:rsid w:val="007D3E38"/>
    <w:rPr>
      <w:sz w:val="20"/>
      <w:szCs w:val="20"/>
    </w:rPr>
  </w:style>
  <w:style w:type="character" w:customStyle="1" w:styleId="FootnoteTextChar">
    <w:name w:val="Footnote Text Char"/>
    <w:aliases w:val=" Char1 Char,Footnote Text Char1 Char Char Char Char,Footnote Text Char Char Char Char Char Char, Char Char Char,Car Char,Char1 Char,Footnotes Char,fn Char,footnote text Char,single space Char,FOOTNOTES Char,ft Char,ADB Char"/>
    <w:basedOn w:val="DefaultParagraphFont"/>
    <w:link w:val="FootnoteText"/>
    <w:rsid w:val="007D3E38"/>
    <w:rPr>
      <w:rFonts w:ascii="Times New Roman" w:eastAsia="Times New Roman" w:hAnsi="Times New Roman"/>
    </w:rPr>
  </w:style>
  <w:style w:type="character" w:styleId="FootnoteReference">
    <w:name w:val="footnote reference"/>
    <w:aliases w:val="BVI fnr Char,Footnote symbol Char,Footnote Reference Arial Char,Car Char Car Char Car Char Char Char Char Char Char Char Char,Footnote Refernece Char Char Char,Footnote Refernece Char Char,ftref Char,callout Char Char,callou"/>
    <w:basedOn w:val="DefaultParagraphFont"/>
    <w:link w:val="BVIfnr"/>
    <w:unhideWhenUsed/>
    <w:qFormat/>
    <w:rsid w:val="007D3E38"/>
    <w:rPr>
      <w:vertAlign w:val="superscript"/>
    </w:rPr>
  </w:style>
  <w:style w:type="paragraph" w:customStyle="1" w:styleId="BVIfnr">
    <w:name w:val="BVI fnr"/>
    <w:aliases w:val="Footnote symbol,Footnote Reference Arial,Car Char Car Char Car Char Char Char Char Char Char Char,Footnote Refernece Char Char1,Footnote Refernece Char,Car Char Car Char Car Char Char Char Char Char Char Char Char1,ftref,callout"/>
    <w:basedOn w:val="Normal"/>
    <w:link w:val="FootnoteReference"/>
    <w:rsid w:val="007D3E38"/>
    <w:pPr>
      <w:spacing w:after="160" w:line="240" w:lineRule="exact"/>
    </w:pPr>
    <w:rPr>
      <w:rFonts w:ascii="Calibri" w:eastAsia="Calibri" w:hAnsi="Calibri"/>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2684</Words>
  <Characters>15304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SPARTAK GJIKDHIMA, ETJ.</vt:lpstr>
    </vt:vector>
  </TitlesOfParts>
  <Company>Microsoft</Company>
  <LinksUpToDate>false</LinksUpToDate>
  <CharactersWithSpaces>17953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SPARTAK GJIKDHIMA, ETJ.</dc:title>
  <dc:subject>Dt. 07.05.2018</dc:subject>
  <dc:creator>Besnik IMERAJ</dc:creator>
  <cp:lastModifiedBy>Lorena</cp:lastModifiedBy>
  <cp:revision>3</cp:revision>
  <cp:lastPrinted>2018-04-18T13:20:00Z</cp:lastPrinted>
  <dcterms:created xsi:type="dcterms:W3CDTF">2018-05-07T09:01:00Z</dcterms:created>
  <dcterms:modified xsi:type="dcterms:W3CDTF">2018-05-15T07:12:00Z</dcterms:modified>
</cp:coreProperties>
</file>