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48" w:rsidRDefault="0088585D" w:rsidP="0088585D">
      <w:pPr>
        <w:spacing w:after="0" w:line="360" w:lineRule="auto"/>
        <w:jc w:val="center"/>
        <w:rPr>
          <w:rFonts w:ascii="Times New Roman" w:hAnsi="Times New Roman"/>
          <w:b/>
          <w:bCs/>
          <w:sz w:val="24"/>
          <w:szCs w:val="24"/>
          <w:lang w:val="sq-AL"/>
        </w:rPr>
      </w:pPr>
      <w:r>
        <w:rPr>
          <w:rFonts w:ascii="Times New Roman" w:eastAsia="Times New Roman" w:hAnsi="Times New Roman"/>
          <w:b/>
          <w:bCs/>
          <w:sz w:val="24"/>
          <w:szCs w:val="24"/>
          <w:lang w:val="sq-AL"/>
        </w:rPr>
        <w:t>Vendim nr. 16</w:t>
      </w:r>
      <w:r w:rsidRPr="0088585D">
        <w:rPr>
          <w:rFonts w:ascii="Times New Roman" w:eastAsia="Times New Roman" w:hAnsi="Times New Roman"/>
          <w:b/>
          <w:bCs/>
          <w:sz w:val="24"/>
          <w:szCs w:val="24"/>
          <w:lang w:val="sq-AL"/>
        </w:rPr>
        <w:t xml:space="preserve"> </w:t>
      </w:r>
      <w:r w:rsidRPr="0088585D">
        <w:rPr>
          <w:rFonts w:ascii="Times New Roman" w:eastAsiaTheme="minorHAnsi" w:hAnsi="Times New Roman"/>
          <w:b/>
          <w:sz w:val="24"/>
          <w:szCs w:val="24"/>
          <w:lang w:val="sq-AL"/>
        </w:rPr>
        <w:t>datë</w:t>
      </w:r>
      <w:r>
        <w:rPr>
          <w:rFonts w:ascii="Times New Roman" w:eastAsiaTheme="minorHAnsi" w:hAnsi="Times New Roman"/>
          <w:b/>
          <w:sz w:val="24"/>
          <w:szCs w:val="24"/>
          <w:lang w:val="sq-AL"/>
        </w:rPr>
        <w:t xml:space="preserve"> </w:t>
      </w:r>
      <w:r w:rsidRPr="000473F9">
        <w:rPr>
          <w:rFonts w:ascii="Times New Roman" w:hAnsi="Times New Roman"/>
          <w:b/>
          <w:bCs/>
          <w:sz w:val="24"/>
          <w:szCs w:val="24"/>
          <w:lang w:val="sq-AL"/>
        </w:rPr>
        <w:t>27.06.2022</w:t>
      </w:r>
    </w:p>
    <w:p w:rsidR="0088585D" w:rsidRPr="000473F9" w:rsidRDefault="0088585D" w:rsidP="009B5EB3">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(V-16/22)</w:t>
      </w:r>
    </w:p>
    <w:p w:rsidR="001F0348" w:rsidRPr="000473F9" w:rsidRDefault="001F0348" w:rsidP="009B5EB3">
      <w:pPr>
        <w:spacing w:after="0" w:line="360" w:lineRule="auto"/>
        <w:jc w:val="center"/>
        <w:rPr>
          <w:rFonts w:ascii="Times New Roman" w:eastAsia="Times New Roman" w:hAnsi="Times New Roman"/>
          <w:b/>
          <w:bCs/>
          <w:sz w:val="24"/>
          <w:szCs w:val="24"/>
          <w:lang w:val="sq-AL"/>
        </w:rPr>
      </w:pPr>
    </w:p>
    <w:p w:rsidR="001F0348" w:rsidRPr="0088585D" w:rsidRDefault="001F0348" w:rsidP="0088585D">
      <w:pPr>
        <w:spacing w:after="0" w:line="360" w:lineRule="auto"/>
        <w:jc w:val="both"/>
        <w:rPr>
          <w:rFonts w:ascii="Times New Roman" w:eastAsia="Times New Roman" w:hAnsi="Times New Roman"/>
          <w:sz w:val="24"/>
          <w:szCs w:val="24"/>
          <w:lang w:val="sq-AL"/>
        </w:rPr>
      </w:pPr>
      <w:r w:rsidRPr="000473F9">
        <w:rPr>
          <w:rFonts w:ascii="Times New Roman" w:eastAsia="Times New Roman" w:hAnsi="Times New Roman"/>
          <w:sz w:val="24"/>
          <w:szCs w:val="24"/>
          <w:lang w:val="sq-AL"/>
        </w:rPr>
        <w:t>Gjykata Kushtetuese e Republikës së Shqipërisë, e përbërë nga:</w:t>
      </w:r>
      <w:r w:rsidR="0088585D">
        <w:rPr>
          <w:rFonts w:ascii="Times New Roman" w:eastAsia="Times New Roman" w:hAnsi="Times New Roman"/>
          <w:sz w:val="24"/>
          <w:szCs w:val="24"/>
          <w:lang w:val="sq-AL"/>
        </w:rPr>
        <w:t xml:space="preserve"> Vitore Tusha, Kryetare, Marsida Xhaferllari, Fiona Papajorgji, Altin Binaj, Sonila Bejtja, Sandër Beci, Elsa Toska, anëtar</w:t>
      </w:r>
      <w:r w:rsidR="0088585D" w:rsidRPr="0088585D">
        <w:rPr>
          <w:rFonts w:ascii="Times New Roman" w:eastAsiaTheme="minorHAnsi" w:hAnsi="Times New Roman"/>
          <w:sz w:val="24"/>
          <w:szCs w:val="24"/>
          <w:lang w:val="sq-AL"/>
        </w:rPr>
        <w:t>ë</w:t>
      </w:r>
      <w:r w:rsidR="0088585D">
        <w:rPr>
          <w:rFonts w:ascii="Times New Roman" w:eastAsia="Times New Roman" w:hAnsi="Times New Roman"/>
          <w:sz w:val="24"/>
          <w:szCs w:val="24"/>
          <w:lang w:val="sq-AL"/>
        </w:rPr>
        <w:t xml:space="preserve">, </w:t>
      </w:r>
      <w:r w:rsidRPr="000473F9">
        <w:rPr>
          <w:rFonts w:ascii="Times New Roman" w:eastAsiaTheme="minorHAnsi" w:hAnsi="Times New Roman"/>
          <w:sz w:val="24"/>
          <w:szCs w:val="24"/>
          <w:lang w:val="sq-AL"/>
        </w:rPr>
        <w:t xml:space="preserve">me sekretare </w:t>
      </w:r>
      <w:r w:rsidR="00633FCD" w:rsidRPr="000473F9">
        <w:rPr>
          <w:rFonts w:ascii="Times New Roman" w:eastAsiaTheme="minorHAnsi" w:hAnsi="Times New Roman"/>
          <w:sz w:val="24"/>
          <w:szCs w:val="24"/>
          <w:lang w:val="sq-AL"/>
        </w:rPr>
        <w:t>Belma Lleshi</w:t>
      </w:r>
      <w:r w:rsidRPr="000473F9">
        <w:rPr>
          <w:rFonts w:ascii="Times New Roman" w:eastAsiaTheme="minorHAnsi" w:hAnsi="Times New Roman"/>
          <w:sz w:val="24"/>
          <w:szCs w:val="24"/>
          <w:lang w:val="sq-AL"/>
        </w:rPr>
        <w:t xml:space="preserve">, në datën </w:t>
      </w:r>
      <w:r w:rsidR="00DA02BF" w:rsidRPr="000473F9">
        <w:rPr>
          <w:rFonts w:ascii="Times New Roman" w:eastAsiaTheme="minorHAnsi" w:hAnsi="Times New Roman"/>
          <w:sz w:val="24"/>
          <w:szCs w:val="24"/>
          <w:lang w:val="sq-AL"/>
        </w:rPr>
        <w:t>21</w:t>
      </w:r>
      <w:r w:rsidRPr="000473F9">
        <w:rPr>
          <w:rFonts w:ascii="Times New Roman" w:eastAsiaTheme="minorHAnsi" w:hAnsi="Times New Roman"/>
          <w:sz w:val="24"/>
          <w:szCs w:val="24"/>
          <w:lang w:val="sq-AL"/>
        </w:rPr>
        <w:t>.0</w:t>
      </w:r>
      <w:r w:rsidR="00DA02BF" w:rsidRPr="000473F9">
        <w:rPr>
          <w:rFonts w:ascii="Times New Roman" w:eastAsiaTheme="minorHAnsi" w:hAnsi="Times New Roman"/>
          <w:sz w:val="24"/>
          <w:szCs w:val="24"/>
          <w:lang w:val="sq-AL"/>
        </w:rPr>
        <w:t>6</w:t>
      </w:r>
      <w:r w:rsidRPr="000473F9">
        <w:rPr>
          <w:rFonts w:ascii="Times New Roman" w:eastAsiaTheme="minorHAnsi" w:hAnsi="Times New Roman"/>
          <w:sz w:val="24"/>
          <w:szCs w:val="24"/>
          <w:lang w:val="sq-AL"/>
        </w:rPr>
        <w:t>.2022 mori në shqyrtim në seanc</w:t>
      </w:r>
      <w:r w:rsidR="003401FD" w:rsidRPr="000473F9">
        <w:rPr>
          <w:rFonts w:ascii="Times New Roman" w:eastAsiaTheme="minorHAnsi" w:hAnsi="Times New Roman"/>
          <w:sz w:val="24"/>
          <w:szCs w:val="24"/>
          <w:lang w:val="sq-AL"/>
        </w:rPr>
        <w:t>ë plenare mbi bazë dokumentesh</w:t>
      </w:r>
      <w:r w:rsidRPr="000473F9">
        <w:rPr>
          <w:rFonts w:ascii="Times New Roman" w:eastAsiaTheme="minorHAnsi" w:hAnsi="Times New Roman"/>
          <w:sz w:val="24"/>
          <w:szCs w:val="24"/>
          <w:lang w:val="sq-AL"/>
        </w:rPr>
        <w:t xml:space="preserve"> çështjen nr. </w:t>
      </w:r>
      <w:r w:rsidR="00BC6C8B" w:rsidRPr="000473F9">
        <w:rPr>
          <w:rFonts w:ascii="Times New Roman" w:eastAsiaTheme="minorHAnsi" w:hAnsi="Times New Roman"/>
          <w:sz w:val="24"/>
          <w:szCs w:val="24"/>
          <w:lang w:val="sq-AL"/>
        </w:rPr>
        <w:t>2</w:t>
      </w:r>
      <w:r w:rsidRPr="000473F9">
        <w:rPr>
          <w:rFonts w:ascii="Times New Roman" w:eastAsiaTheme="minorHAnsi" w:hAnsi="Times New Roman"/>
          <w:sz w:val="24"/>
          <w:szCs w:val="24"/>
          <w:lang w:val="sq-AL"/>
        </w:rPr>
        <w:t>(</w:t>
      </w:r>
      <w:r w:rsidR="00BC6C8B" w:rsidRPr="000473F9">
        <w:rPr>
          <w:rFonts w:ascii="Times New Roman" w:eastAsiaTheme="minorHAnsi" w:hAnsi="Times New Roman"/>
          <w:sz w:val="24"/>
          <w:szCs w:val="24"/>
          <w:lang w:val="sq-AL"/>
        </w:rPr>
        <w:t>Gj) 2022</w:t>
      </w:r>
      <w:r w:rsidRPr="000473F9">
        <w:rPr>
          <w:rFonts w:ascii="Times New Roman" w:eastAsiaTheme="minorHAnsi" w:hAnsi="Times New Roman"/>
          <w:sz w:val="24"/>
          <w:szCs w:val="24"/>
          <w:lang w:val="sq-AL"/>
        </w:rPr>
        <w:t xml:space="preserve"> të Regjistrit Themeltar, që u përket:</w:t>
      </w:r>
    </w:p>
    <w:p w:rsidR="00D758EA" w:rsidRPr="000473F9" w:rsidRDefault="00D758EA" w:rsidP="009B5EB3">
      <w:pPr>
        <w:spacing w:after="0" w:line="360" w:lineRule="auto"/>
        <w:jc w:val="center"/>
        <w:rPr>
          <w:rFonts w:ascii="Times New Roman" w:hAnsi="Times New Roman"/>
          <w:b/>
          <w:sz w:val="24"/>
          <w:szCs w:val="24"/>
          <w:lang w:val="sq-AL"/>
        </w:rPr>
      </w:pPr>
    </w:p>
    <w:p w:rsidR="00D758EA" w:rsidRPr="000473F9" w:rsidRDefault="00D758EA" w:rsidP="009B5EB3">
      <w:pPr>
        <w:spacing w:after="0" w:line="360" w:lineRule="auto"/>
        <w:ind w:firstLine="720"/>
        <w:jc w:val="both"/>
        <w:rPr>
          <w:rFonts w:ascii="Times New Roman" w:hAnsi="Times New Roman"/>
          <w:b/>
          <w:sz w:val="24"/>
          <w:szCs w:val="24"/>
          <w:lang w:val="sq-AL"/>
        </w:rPr>
      </w:pPr>
      <w:r w:rsidRPr="000473F9">
        <w:rPr>
          <w:rFonts w:ascii="Times New Roman" w:hAnsi="Times New Roman"/>
          <w:b/>
          <w:sz w:val="24"/>
          <w:szCs w:val="24"/>
          <w:lang w:val="sq-AL"/>
        </w:rPr>
        <w:t>KËRKUESE:</w:t>
      </w:r>
      <w:r w:rsidRPr="000473F9">
        <w:rPr>
          <w:rFonts w:ascii="Times New Roman" w:hAnsi="Times New Roman"/>
          <w:b/>
          <w:sz w:val="24"/>
          <w:szCs w:val="24"/>
          <w:lang w:val="sq-AL"/>
        </w:rPr>
        <w:tab/>
      </w:r>
      <w:r w:rsidRPr="000473F9">
        <w:rPr>
          <w:rFonts w:ascii="Times New Roman" w:hAnsi="Times New Roman"/>
          <w:b/>
          <w:sz w:val="24"/>
          <w:szCs w:val="24"/>
          <w:lang w:val="sq-AL"/>
        </w:rPr>
        <w:tab/>
        <w:t>GJYKATA E RRETHIT GJYQËSOR KORÇË</w:t>
      </w:r>
    </w:p>
    <w:p w:rsidR="00D758EA" w:rsidRPr="000473F9" w:rsidRDefault="00D758EA" w:rsidP="009B5EB3">
      <w:pPr>
        <w:spacing w:after="0" w:line="360" w:lineRule="auto"/>
        <w:jc w:val="both"/>
        <w:rPr>
          <w:rFonts w:ascii="Times New Roman" w:hAnsi="Times New Roman"/>
          <w:b/>
          <w:sz w:val="24"/>
          <w:szCs w:val="24"/>
          <w:lang w:val="sq-AL"/>
        </w:rPr>
      </w:pPr>
    </w:p>
    <w:p w:rsidR="00D758EA" w:rsidRPr="000473F9" w:rsidRDefault="00D758EA" w:rsidP="009B5EB3">
      <w:pPr>
        <w:spacing w:after="0" w:line="360" w:lineRule="auto"/>
        <w:ind w:firstLine="720"/>
        <w:jc w:val="both"/>
        <w:rPr>
          <w:rFonts w:ascii="Times New Roman" w:hAnsi="Times New Roman"/>
          <w:b/>
          <w:sz w:val="24"/>
          <w:szCs w:val="24"/>
          <w:lang w:val="sq-AL"/>
        </w:rPr>
      </w:pPr>
      <w:r w:rsidRPr="000473F9">
        <w:rPr>
          <w:rFonts w:ascii="Times New Roman" w:hAnsi="Times New Roman"/>
          <w:b/>
          <w:sz w:val="24"/>
          <w:szCs w:val="24"/>
          <w:lang w:val="sq-AL"/>
        </w:rPr>
        <w:t>SUBJEKT</w:t>
      </w:r>
      <w:r w:rsidR="00BC6C8B" w:rsidRPr="000473F9">
        <w:rPr>
          <w:rFonts w:ascii="Times New Roman" w:hAnsi="Times New Roman"/>
          <w:b/>
          <w:sz w:val="24"/>
          <w:szCs w:val="24"/>
          <w:lang w:val="sq-AL"/>
        </w:rPr>
        <w:t>E TË</w:t>
      </w:r>
      <w:r w:rsidRPr="000473F9">
        <w:rPr>
          <w:rFonts w:ascii="Times New Roman" w:hAnsi="Times New Roman"/>
          <w:b/>
          <w:sz w:val="24"/>
          <w:szCs w:val="24"/>
          <w:lang w:val="sq-AL"/>
        </w:rPr>
        <w:t xml:space="preserve"> INTERESUAR</w:t>
      </w:r>
      <w:r w:rsidR="00BC6C8B" w:rsidRPr="000473F9">
        <w:rPr>
          <w:rFonts w:ascii="Times New Roman" w:hAnsi="Times New Roman"/>
          <w:b/>
          <w:sz w:val="24"/>
          <w:szCs w:val="24"/>
          <w:lang w:val="sq-AL"/>
        </w:rPr>
        <w:t>A</w:t>
      </w:r>
      <w:r w:rsidRPr="000473F9">
        <w:rPr>
          <w:rFonts w:ascii="Times New Roman" w:hAnsi="Times New Roman"/>
          <w:b/>
          <w:sz w:val="24"/>
          <w:szCs w:val="24"/>
          <w:lang w:val="sq-AL"/>
        </w:rPr>
        <w:t>:</w:t>
      </w:r>
    </w:p>
    <w:p w:rsidR="00BC6C8B" w:rsidRPr="000473F9" w:rsidRDefault="00BC6C8B" w:rsidP="009B5EB3">
      <w:pPr>
        <w:spacing w:after="0" w:line="360" w:lineRule="auto"/>
        <w:ind w:left="2160" w:firstLine="720"/>
        <w:jc w:val="both"/>
        <w:rPr>
          <w:rFonts w:ascii="Times New Roman" w:hAnsi="Times New Roman"/>
          <w:b/>
          <w:sz w:val="24"/>
          <w:szCs w:val="24"/>
          <w:lang w:val="sq-AL"/>
        </w:rPr>
      </w:pPr>
      <w:r w:rsidRPr="000473F9">
        <w:rPr>
          <w:rFonts w:ascii="Times New Roman" w:hAnsi="Times New Roman"/>
          <w:b/>
          <w:sz w:val="24"/>
          <w:szCs w:val="24"/>
          <w:lang w:val="sq-AL"/>
        </w:rPr>
        <w:t>KUVENDI I REPUBLIKËS SË SHQIPËRISË,</w:t>
      </w:r>
    </w:p>
    <w:p w:rsidR="00BC6C8B" w:rsidRPr="000473F9" w:rsidRDefault="00BC6C8B" w:rsidP="009B5EB3">
      <w:pPr>
        <w:spacing w:after="0" w:line="360" w:lineRule="auto"/>
        <w:ind w:left="2160" w:firstLine="720"/>
        <w:jc w:val="both"/>
        <w:rPr>
          <w:rFonts w:ascii="Times New Roman" w:hAnsi="Times New Roman"/>
          <w:b/>
          <w:sz w:val="24"/>
          <w:szCs w:val="24"/>
          <w:lang w:val="sq-AL"/>
        </w:rPr>
      </w:pPr>
      <w:r w:rsidRPr="000473F9">
        <w:rPr>
          <w:rFonts w:ascii="Times New Roman" w:hAnsi="Times New Roman"/>
          <w:b/>
          <w:sz w:val="24"/>
          <w:szCs w:val="24"/>
          <w:lang w:val="sq-AL"/>
        </w:rPr>
        <w:t>KËSHILLI I MINISTRAVE,</w:t>
      </w:r>
    </w:p>
    <w:p w:rsidR="00D758EA" w:rsidRPr="000473F9" w:rsidRDefault="00D758EA" w:rsidP="009B5EB3">
      <w:pPr>
        <w:spacing w:after="0" w:line="360" w:lineRule="auto"/>
        <w:ind w:left="2880"/>
        <w:jc w:val="both"/>
        <w:rPr>
          <w:rFonts w:ascii="Times New Roman" w:hAnsi="Times New Roman"/>
          <w:b/>
          <w:sz w:val="24"/>
          <w:szCs w:val="24"/>
          <w:lang w:val="sq-AL"/>
        </w:rPr>
      </w:pPr>
      <w:r w:rsidRPr="000473F9">
        <w:rPr>
          <w:rFonts w:ascii="Times New Roman" w:hAnsi="Times New Roman"/>
          <w:b/>
          <w:sz w:val="24"/>
          <w:szCs w:val="24"/>
          <w:lang w:val="sq-AL"/>
        </w:rPr>
        <w:t xml:space="preserve">PROKURORIA </w:t>
      </w:r>
      <w:r w:rsidR="00BC6C8B" w:rsidRPr="000473F9">
        <w:rPr>
          <w:rFonts w:ascii="Times New Roman" w:hAnsi="Times New Roman"/>
          <w:b/>
          <w:sz w:val="24"/>
          <w:szCs w:val="24"/>
          <w:lang w:val="sq-AL"/>
        </w:rPr>
        <w:t>E POSAÇME KUNDËR KORRUPSIONIT DHE KRIMIT TË ORGANIZUAR,</w:t>
      </w:r>
    </w:p>
    <w:p w:rsidR="00BC6C8B" w:rsidRPr="000473F9" w:rsidRDefault="00BC6C8B" w:rsidP="009B5EB3">
      <w:pPr>
        <w:spacing w:after="0" w:line="360" w:lineRule="auto"/>
        <w:ind w:left="2160" w:firstLine="720"/>
        <w:jc w:val="both"/>
        <w:rPr>
          <w:rFonts w:ascii="Times New Roman" w:hAnsi="Times New Roman"/>
          <w:b/>
          <w:sz w:val="24"/>
          <w:szCs w:val="24"/>
          <w:lang w:val="sq-AL"/>
        </w:rPr>
      </w:pPr>
      <w:r w:rsidRPr="000473F9">
        <w:rPr>
          <w:rFonts w:ascii="Times New Roman" w:hAnsi="Times New Roman"/>
          <w:b/>
          <w:sz w:val="24"/>
          <w:szCs w:val="24"/>
          <w:lang w:val="sq-AL"/>
        </w:rPr>
        <w:t>PROKURORIA E PËRGJITHSHME</w:t>
      </w:r>
      <w:r w:rsidR="00666669" w:rsidRPr="000473F9">
        <w:rPr>
          <w:rFonts w:ascii="Times New Roman" w:hAnsi="Times New Roman"/>
          <w:b/>
          <w:sz w:val="24"/>
          <w:szCs w:val="24"/>
          <w:lang w:val="sq-AL"/>
        </w:rPr>
        <w:t>.</w:t>
      </w:r>
    </w:p>
    <w:p w:rsidR="00D758EA" w:rsidRPr="000473F9" w:rsidRDefault="00D758EA" w:rsidP="009B5EB3">
      <w:pPr>
        <w:spacing w:after="0" w:line="360" w:lineRule="auto"/>
        <w:jc w:val="center"/>
        <w:rPr>
          <w:rFonts w:ascii="Times New Roman" w:hAnsi="Times New Roman"/>
          <w:b/>
          <w:sz w:val="24"/>
          <w:szCs w:val="24"/>
          <w:lang w:val="sq-AL"/>
        </w:rPr>
      </w:pPr>
    </w:p>
    <w:p w:rsidR="00D758EA" w:rsidRPr="000473F9" w:rsidRDefault="00D758EA" w:rsidP="009B5EB3">
      <w:pPr>
        <w:spacing w:after="0" w:line="360" w:lineRule="auto"/>
        <w:ind w:left="2880" w:hanging="2160"/>
        <w:jc w:val="both"/>
        <w:rPr>
          <w:rFonts w:ascii="Times New Roman" w:hAnsi="Times New Roman"/>
          <w:b/>
          <w:sz w:val="24"/>
          <w:szCs w:val="24"/>
          <w:lang w:val="sq-AL"/>
        </w:rPr>
      </w:pPr>
      <w:r w:rsidRPr="000473F9">
        <w:rPr>
          <w:rFonts w:ascii="Times New Roman" w:hAnsi="Times New Roman"/>
          <w:b/>
          <w:sz w:val="24"/>
          <w:szCs w:val="24"/>
          <w:lang w:val="sq-AL"/>
        </w:rPr>
        <w:t>OBJEKTI:</w:t>
      </w:r>
      <w:r w:rsidRPr="000473F9">
        <w:rPr>
          <w:rFonts w:ascii="Times New Roman" w:hAnsi="Times New Roman"/>
          <w:b/>
          <w:sz w:val="24"/>
          <w:szCs w:val="24"/>
          <w:lang w:val="sq-AL"/>
        </w:rPr>
        <w:tab/>
        <w:t xml:space="preserve">Shfuqizimi i </w:t>
      </w:r>
      <w:r w:rsidR="00CF2BFC" w:rsidRPr="000473F9">
        <w:rPr>
          <w:rFonts w:ascii="Times New Roman" w:hAnsi="Times New Roman"/>
          <w:b/>
          <w:sz w:val="24"/>
          <w:szCs w:val="24"/>
          <w:lang w:val="sq-AL"/>
        </w:rPr>
        <w:t>togfjalëshit</w:t>
      </w:r>
      <w:r w:rsidR="002C0AE0" w:rsidRPr="000473F9">
        <w:rPr>
          <w:rFonts w:ascii="Times New Roman" w:hAnsi="Times New Roman"/>
          <w:b/>
          <w:sz w:val="24"/>
          <w:szCs w:val="24"/>
          <w:lang w:val="sq-AL"/>
        </w:rPr>
        <w:t xml:space="preserve"> “paragrafi 2”, pas “244”, në shkronjën “a” të nenit 7 të ligjit nr. 41/2021, datë 23.03.2021 “Për disa shtesa dhe ndryshime në l</w:t>
      </w:r>
      <w:r w:rsidR="00725199" w:rsidRPr="000473F9">
        <w:rPr>
          <w:rFonts w:ascii="Times New Roman" w:hAnsi="Times New Roman"/>
          <w:b/>
          <w:sz w:val="24"/>
          <w:szCs w:val="24"/>
          <w:lang w:val="sq-AL"/>
        </w:rPr>
        <w:t>igjin nr. 7905, datë 21.03.1995</w:t>
      </w:r>
      <w:r w:rsidR="002C0AE0" w:rsidRPr="000473F9">
        <w:rPr>
          <w:rFonts w:ascii="Times New Roman" w:hAnsi="Times New Roman"/>
          <w:b/>
          <w:sz w:val="24"/>
          <w:szCs w:val="24"/>
          <w:lang w:val="sq-AL"/>
        </w:rPr>
        <w:t xml:space="preserve"> “Kodi i Procedurës Penale të Republikës së Shqipërisë”, të ndryshuar”, si i papajtueshëm me Kushtetutën e Republikës së Shqipërisë.</w:t>
      </w:r>
    </w:p>
    <w:p w:rsidR="00D758EA" w:rsidRPr="000473F9" w:rsidRDefault="00D758EA" w:rsidP="009B5EB3">
      <w:pPr>
        <w:spacing w:after="0" w:line="360" w:lineRule="auto"/>
        <w:ind w:left="2160" w:hanging="2160"/>
        <w:jc w:val="both"/>
        <w:rPr>
          <w:rFonts w:ascii="Times New Roman" w:hAnsi="Times New Roman"/>
          <w:b/>
          <w:sz w:val="24"/>
          <w:szCs w:val="24"/>
          <w:lang w:val="sq-AL"/>
        </w:rPr>
      </w:pPr>
    </w:p>
    <w:p w:rsidR="00D758EA" w:rsidRPr="000473F9" w:rsidRDefault="00D758EA" w:rsidP="009B5EB3">
      <w:pPr>
        <w:spacing w:after="0" w:line="360" w:lineRule="auto"/>
        <w:ind w:left="2880" w:hanging="2160"/>
        <w:jc w:val="both"/>
        <w:rPr>
          <w:rFonts w:ascii="Times New Roman" w:hAnsi="Times New Roman"/>
          <w:sz w:val="24"/>
          <w:szCs w:val="24"/>
          <w:lang w:val="sq-AL"/>
        </w:rPr>
      </w:pPr>
      <w:r w:rsidRPr="000473F9">
        <w:rPr>
          <w:rFonts w:ascii="Times New Roman" w:hAnsi="Times New Roman"/>
          <w:b/>
          <w:sz w:val="24"/>
          <w:szCs w:val="24"/>
          <w:lang w:val="sq-AL"/>
        </w:rPr>
        <w:t xml:space="preserve">BAZA LIGJORE: </w:t>
      </w:r>
      <w:r w:rsidRPr="000473F9">
        <w:rPr>
          <w:rFonts w:ascii="Times New Roman" w:hAnsi="Times New Roman"/>
          <w:b/>
          <w:sz w:val="24"/>
          <w:szCs w:val="24"/>
          <w:lang w:val="sq-AL"/>
        </w:rPr>
        <w:tab/>
      </w:r>
      <w:r w:rsidRPr="000473F9">
        <w:rPr>
          <w:rFonts w:ascii="Times New Roman" w:hAnsi="Times New Roman"/>
          <w:sz w:val="24"/>
          <w:szCs w:val="24"/>
          <w:lang w:val="sq-AL"/>
        </w:rPr>
        <w:t xml:space="preserve">Nenet </w:t>
      </w:r>
      <w:r w:rsidR="002C0AE0" w:rsidRPr="000473F9">
        <w:rPr>
          <w:rFonts w:ascii="Times New Roman" w:hAnsi="Times New Roman"/>
          <w:sz w:val="24"/>
          <w:szCs w:val="24"/>
          <w:lang w:val="sq-AL"/>
        </w:rPr>
        <w:t>4, 135, pika 2 dhe 145, pika 2, të Kushtetutës</w:t>
      </w:r>
      <w:r w:rsidR="003401FD" w:rsidRPr="000473F9">
        <w:rPr>
          <w:rFonts w:ascii="Times New Roman" w:hAnsi="Times New Roman"/>
          <w:sz w:val="24"/>
          <w:szCs w:val="24"/>
          <w:lang w:val="sq-AL"/>
        </w:rPr>
        <w:t xml:space="preserve"> së Republikës së Shqipërisë</w:t>
      </w:r>
      <w:r w:rsidR="002C0AE0" w:rsidRPr="000473F9">
        <w:rPr>
          <w:rFonts w:ascii="Times New Roman" w:hAnsi="Times New Roman"/>
          <w:sz w:val="24"/>
          <w:szCs w:val="24"/>
          <w:lang w:val="sq-AL"/>
        </w:rPr>
        <w:t>; nenet 68 dhe vijues</w:t>
      </w:r>
      <w:r w:rsidRPr="000473F9">
        <w:rPr>
          <w:rFonts w:ascii="Times New Roman" w:hAnsi="Times New Roman"/>
          <w:sz w:val="24"/>
          <w:szCs w:val="24"/>
          <w:lang w:val="sq-AL"/>
        </w:rPr>
        <w:t xml:space="preserve"> të ligjit nr. 8577, datë 10.02.2000 “Për organizimin dhe funksionimin e Gjykatës Kushtetuese të Republikës së Shqipërisë”, të ndryshuar </w:t>
      </w:r>
      <w:r w:rsidRPr="000473F9">
        <w:rPr>
          <w:rFonts w:ascii="Times New Roman" w:hAnsi="Times New Roman"/>
          <w:i/>
          <w:sz w:val="24"/>
          <w:szCs w:val="24"/>
          <w:lang w:val="sq-AL"/>
        </w:rPr>
        <w:t>(ligji nr. 8577/2000)</w:t>
      </w:r>
      <w:r w:rsidRPr="000473F9">
        <w:rPr>
          <w:rFonts w:ascii="Times New Roman" w:hAnsi="Times New Roman"/>
          <w:sz w:val="24"/>
          <w:szCs w:val="24"/>
          <w:lang w:val="sq-AL"/>
        </w:rPr>
        <w:t>.</w:t>
      </w:r>
    </w:p>
    <w:p w:rsidR="00D758EA" w:rsidRPr="000473F9" w:rsidRDefault="00D758EA" w:rsidP="009B5EB3">
      <w:pPr>
        <w:spacing w:after="0" w:line="360" w:lineRule="auto"/>
        <w:ind w:left="2160" w:hanging="2160"/>
        <w:jc w:val="both"/>
        <w:rPr>
          <w:rFonts w:ascii="Times New Roman" w:hAnsi="Times New Roman"/>
          <w:b/>
          <w:sz w:val="24"/>
          <w:szCs w:val="24"/>
          <w:lang w:val="sq-AL"/>
        </w:rPr>
      </w:pPr>
    </w:p>
    <w:p w:rsidR="001520F3" w:rsidRPr="000473F9" w:rsidRDefault="001520F3" w:rsidP="009B5EB3">
      <w:pPr>
        <w:spacing w:after="0" w:line="360" w:lineRule="auto"/>
        <w:jc w:val="center"/>
        <w:rPr>
          <w:rFonts w:ascii="Times New Roman" w:eastAsia="Times New Roman" w:hAnsi="Times New Roman"/>
          <w:b/>
          <w:bCs/>
          <w:sz w:val="24"/>
          <w:szCs w:val="24"/>
          <w:lang w:val="sq-AL"/>
        </w:rPr>
      </w:pPr>
      <w:r w:rsidRPr="000473F9">
        <w:rPr>
          <w:rFonts w:ascii="Times New Roman" w:eastAsia="Times New Roman" w:hAnsi="Times New Roman"/>
          <w:b/>
          <w:bCs/>
          <w:sz w:val="24"/>
          <w:szCs w:val="24"/>
          <w:lang w:val="sq-AL"/>
        </w:rPr>
        <w:t>GJYKATA  KUSHTETUESE,</w:t>
      </w:r>
    </w:p>
    <w:p w:rsidR="001520F3" w:rsidRPr="000473F9" w:rsidRDefault="001520F3" w:rsidP="009B5EB3">
      <w:pPr>
        <w:spacing w:after="0" w:line="360" w:lineRule="auto"/>
        <w:ind w:firstLine="720"/>
        <w:jc w:val="both"/>
        <w:rPr>
          <w:rFonts w:ascii="Times New Roman" w:eastAsia="Times New Roman" w:hAnsi="Times New Roman"/>
          <w:sz w:val="24"/>
          <w:szCs w:val="24"/>
          <w:lang w:val="sq-AL"/>
        </w:rPr>
      </w:pPr>
      <w:r w:rsidRPr="000473F9">
        <w:rPr>
          <w:rFonts w:ascii="Times New Roman" w:eastAsia="Times New Roman" w:hAnsi="Times New Roman"/>
          <w:sz w:val="24"/>
          <w:szCs w:val="24"/>
          <w:lang w:val="sq-AL"/>
        </w:rPr>
        <w:t xml:space="preserve">pasi dëgjoi relatoren e çështjes Elsa Toska, mori në shqyrtim </w:t>
      </w:r>
      <w:r w:rsidR="00931F03" w:rsidRPr="000473F9">
        <w:rPr>
          <w:rFonts w:ascii="Times New Roman" w:hAnsi="Times New Roman"/>
          <w:sz w:val="24"/>
          <w:szCs w:val="24"/>
          <w:lang w:val="sq-AL"/>
        </w:rPr>
        <w:t xml:space="preserve">pretendimet e Gjykatës së </w:t>
      </w:r>
      <w:r w:rsidR="00292F63" w:rsidRPr="000473F9">
        <w:rPr>
          <w:rFonts w:ascii="Times New Roman" w:hAnsi="Times New Roman"/>
          <w:sz w:val="24"/>
          <w:szCs w:val="24"/>
          <w:lang w:val="sq-AL"/>
        </w:rPr>
        <w:t>R</w:t>
      </w:r>
      <w:r w:rsidR="00931F03" w:rsidRPr="000473F9">
        <w:rPr>
          <w:rFonts w:ascii="Times New Roman" w:hAnsi="Times New Roman"/>
          <w:sz w:val="24"/>
          <w:szCs w:val="24"/>
          <w:lang w:val="sq-AL"/>
        </w:rPr>
        <w:t xml:space="preserve">rethit Gjyqësor Korçë </w:t>
      </w:r>
      <w:r w:rsidR="00931F03" w:rsidRPr="000473F9">
        <w:rPr>
          <w:rFonts w:ascii="Times New Roman" w:hAnsi="Times New Roman"/>
          <w:i/>
          <w:sz w:val="24"/>
          <w:szCs w:val="24"/>
          <w:lang w:val="sq-AL"/>
        </w:rPr>
        <w:t>(gjykata referuese)</w:t>
      </w:r>
      <w:r w:rsidR="00931F03" w:rsidRPr="000473F9">
        <w:rPr>
          <w:rFonts w:ascii="Times New Roman" w:hAnsi="Times New Roman"/>
          <w:sz w:val="24"/>
          <w:szCs w:val="24"/>
          <w:lang w:val="sq-AL"/>
        </w:rPr>
        <w:t xml:space="preserve">, e cila ka kërkuar shfuqizimin </w:t>
      </w:r>
      <w:r w:rsidR="003928CA" w:rsidRPr="000473F9">
        <w:rPr>
          <w:rFonts w:ascii="Times New Roman" w:hAnsi="Times New Roman"/>
          <w:sz w:val="24"/>
          <w:szCs w:val="24"/>
          <w:lang w:val="sq-AL"/>
        </w:rPr>
        <w:t xml:space="preserve">e dispozitës </w:t>
      </w:r>
      <w:r w:rsidR="00931F03" w:rsidRPr="000473F9">
        <w:rPr>
          <w:rFonts w:ascii="Times New Roman" w:hAnsi="Times New Roman"/>
          <w:sz w:val="24"/>
          <w:szCs w:val="24"/>
          <w:lang w:val="sq-AL"/>
        </w:rPr>
        <w:t>sipas objektit,</w:t>
      </w:r>
      <w:r w:rsidRPr="000473F9">
        <w:rPr>
          <w:rFonts w:ascii="Times New Roman" w:eastAsia="Times New Roman" w:hAnsi="Times New Roman"/>
          <w:sz w:val="24"/>
          <w:szCs w:val="24"/>
          <w:lang w:val="sq-AL"/>
        </w:rPr>
        <w:t xml:space="preserve"> prapësimet me shkrim të subjekteve të interesuara, </w:t>
      </w:r>
      <w:r w:rsidR="00EA67EC" w:rsidRPr="000473F9">
        <w:rPr>
          <w:rFonts w:ascii="Times New Roman" w:eastAsia="Times New Roman" w:hAnsi="Times New Roman"/>
          <w:sz w:val="24"/>
          <w:szCs w:val="24"/>
          <w:lang w:val="sq-AL"/>
        </w:rPr>
        <w:t>Kuvendi</w:t>
      </w:r>
      <w:r w:rsidR="004B360E" w:rsidRPr="000473F9">
        <w:rPr>
          <w:rFonts w:ascii="Times New Roman" w:eastAsia="Times New Roman" w:hAnsi="Times New Roman"/>
          <w:sz w:val="24"/>
          <w:szCs w:val="24"/>
          <w:lang w:val="sq-AL"/>
        </w:rPr>
        <w:t>t</w:t>
      </w:r>
      <w:r w:rsidRPr="000473F9">
        <w:rPr>
          <w:rFonts w:ascii="Times New Roman" w:eastAsia="Times New Roman" w:hAnsi="Times New Roman"/>
          <w:sz w:val="24"/>
          <w:szCs w:val="24"/>
          <w:lang w:val="sq-AL"/>
        </w:rPr>
        <w:t xml:space="preserve"> </w:t>
      </w:r>
      <w:r w:rsidR="004B360E" w:rsidRPr="000473F9">
        <w:rPr>
          <w:rFonts w:ascii="Times New Roman" w:eastAsia="Times New Roman" w:hAnsi="Times New Roman"/>
          <w:sz w:val="24"/>
          <w:szCs w:val="24"/>
          <w:lang w:val="sq-AL"/>
        </w:rPr>
        <w:t>të Republikës së Shqipërisë</w:t>
      </w:r>
      <w:r w:rsidRPr="000473F9">
        <w:rPr>
          <w:rFonts w:ascii="Times New Roman" w:eastAsia="Times New Roman" w:hAnsi="Times New Roman"/>
          <w:sz w:val="24"/>
          <w:szCs w:val="24"/>
          <w:lang w:val="sq-AL"/>
        </w:rPr>
        <w:t xml:space="preserve"> </w:t>
      </w:r>
      <w:r w:rsidR="004B360E" w:rsidRPr="000473F9">
        <w:rPr>
          <w:rFonts w:ascii="Times New Roman" w:eastAsia="Times New Roman" w:hAnsi="Times New Roman"/>
          <w:i/>
          <w:sz w:val="24"/>
          <w:szCs w:val="24"/>
          <w:lang w:val="sq-AL"/>
        </w:rPr>
        <w:t>(Kuvendi</w:t>
      </w:r>
      <w:r w:rsidR="009D4258" w:rsidRPr="000473F9">
        <w:rPr>
          <w:rFonts w:ascii="Times New Roman" w:eastAsia="Times New Roman" w:hAnsi="Times New Roman"/>
          <w:i/>
          <w:sz w:val="24"/>
          <w:szCs w:val="24"/>
          <w:lang w:val="sq-AL"/>
        </w:rPr>
        <w:t>)</w:t>
      </w:r>
      <w:r w:rsidR="009D4258" w:rsidRPr="000473F9">
        <w:rPr>
          <w:rFonts w:ascii="Times New Roman" w:eastAsia="Times New Roman" w:hAnsi="Times New Roman"/>
          <w:sz w:val="24"/>
          <w:szCs w:val="24"/>
          <w:lang w:val="sq-AL"/>
        </w:rPr>
        <w:t xml:space="preserve">, </w:t>
      </w:r>
      <w:r w:rsidR="00EA67EC" w:rsidRPr="000473F9">
        <w:rPr>
          <w:rFonts w:ascii="Times New Roman" w:eastAsia="Times New Roman" w:hAnsi="Times New Roman"/>
          <w:sz w:val="24"/>
          <w:szCs w:val="24"/>
          <w:lang w:val="sq-AL"/>
        </w:rPr>
        <w:t>Këshilli</w:t>
      </w:r>
      <w:r w:rsidR="00076F2E" w:rsidRPr="000473F9">
        <w:rPr>
          <w:rFonts w:ascii="Times New Roman" w:eastAsia="Times New Roman" w:hAnsi="Times New Roman"/>
          <w:sz w:val="24"/>
          <w:szCs w:val="24"/>
          <w:lang w:val="sq-AL"/>
        </w:rPr>
        <w:t>t</w:t>
      </w:r>
      <w:r w:rsidR="00EA67EC" w:rsidRPr="000473F9">
        <w:rPr>
          <w:rFonts w:ascii="Times New Roman" w:eastAsia="Times New Roman" w:hAnsi="Times New Roman"/>
          <w:sz w:val="24"/>
          <w:szCs w:val="24"/>
          <w:lang w:val="sq-AL"/>
        </w:rPr>
        <w:t xml:space="preserve"> </w:t>
      </w:r>
      <w:r w:rsidR="00076F2E" w:rsidRPr="000473F9">
        <w:rPr>
          <w:rFonts w:ascii="Times New Roman" w:eastAsia="Times New Roman" w:hAnsi="Times New Roman"/>
          <w:sz w:val="24"/>
          <w:szCs w:val="24"/>
          <w:lang w:val="sq-AL"/>
        </w:rPr>
        <w:t>të</w:t>
      </w:r>
      <w:r w:rsidRPr="000473F9">
        <w:rPr>
          <w:rFonts w:ascii="Times New Roman" w:eastAsia="Times New Roman" w:hAnsi="Times New Roman"/>
          <w:sz w:val="24"/>
          <w:szCs w:val="24"/>
          <w:lang w:val="sq-AL"/>
        </w:rPr>
        <w:t xml:space="preserve"> Ministrave, </w:t>
      </w:r>
      <w:r w:rsidR="00076F2E" w:rsidRPr="000473F9">
        <w:rPr>
          <w:rFonts w:ascii="Times New Roman" w:eastAsia="Times New Roman" w:hAnsi="Times New Roman"/>
          <w:sz w:val="24"/>
          <w:szCs w:val="24"/>
          <w:lang w:val="sq-AL"/>
        </w:rPr>
        <w:t>Prokurorisë</w:t>
      </w:r>
      <w:r w:rsidR="00EA67EC" w:rsidRPr="000473F9">
        <w:rPr>
          <w:rFonts w:ascii="Times New Roman" w:eastAsia="Times New Roman" w:hAnsi="Times New Roman"/>
          <w:sz w:val="24"/>
          <w:szCs w:val="24"/>
          <w:lang w:val="sq-AL"/>
        </w:rPr>
        <w:t xml:space="preserve"> </w:t>
      </w:r>
      <w:r w:rsidR="00076F2E" w:rsidRPr="000473F9">
        <w:rPr>
          <w:rFonts w:ascii="Times New Roman" w:eastAsia="Times New Roman" w:hAnsi="Times New Roman"/>
          <w:sz w:val="24"/>
          <w:szCs w:val="24"/>
          <w:lang w:val="sq-AL"/>
        </w:rPr>
        <w:t>së</w:t>
      </w:r>
      <w:r w:rsidR="00EA67EC" w:rsidRPr="000473F9">
        <w:rPr>
          <w:rFonts w:ascii="Times New Roman" w:eastAsia="Times New Roman" w:hAnsi="Times New Roman"/>
          <w:sz w:val="24"/>
          <w:szCs w:val="24"/>
          <w:lang w:val="sq-AL"/>
        </w:rPr>
        <w:t xml:space="preserve"> Përgjithshme, të cil</w:t>
      </w:r>
      <w:r w:rsidR="00076F2E" w:rsidRPr="000473F9">
        <w:rPr>
          <w:rFonts w:ascii="Times New Roman" w:eastAsia="Times New Roman" w:hAnsi="Times New Roman"/>
          <w:sz w:val="24"/>
          <w:szCs w:val="24"/>
          <w:lang w:val="sq-AL"/>
        </w:rPr>
        <w:t>a</w:t>
      </w:r>
      <w:r w:rsidR="00EA67EC" w:rsidRPr="000473F9">
        <w:rPr>
          <w:rFonts w:ascii="Times New Roman" w:eastAsia="Times New Roman" w:hAnsi="Times New Roman"/>
          <w:sz w:val="24"/>
          <w:szCs w:val="24"/>
          <w:lang w:val="sq-AL"/>
        </w:rPr>
        <w:t>t kërkuan</w:t>
      </w:r>
      <w:r w:rsidRPr="000473F9">
        <w:rPr>
          <w:rFonts w:ascii="Times New Roman" w:eastAsia="Times New Roman" w:hAnsi="Times New Roman"/>
          <w:sz w:val="24"/>
          <w:szCs w:val="24"/>
          <w:lang w:val="sq-AL"/>
        </w:rPr>
        <w:t xml:space="preserve"> </w:t>
      </w:r>
      <w:r w:rsidRPr="000473F9">
        <w:rPr>
          <w:rFonts w:ascii="Times New Roman" w:eastAsia="Times New Roman" w:hAnsi="Times New Roman"/>
          <w:sz w:val="24"/>
          <w:szCs w:val="24"/>
          <w:lang w:val="sq-AL"/>
        </w:rPr>
        <w:lastRenderedPageBreak/>
        <w:t>rrëzimin e kërkesës</w:t>
      </w:r>
      <w:r w:rsidR="00FE16FA" w:rsidRPr="000473F9">
        <w:rPr>
          <w:rFonts w:ascii="Times New Roman" w:eastAsia="Times New Roman" w:hAnsi="Times New Roman"/>
          <w:sz w:val="24"/>
          <w:szCs w:val="24"/>
          <w:lang w:val="sq-AL"/>
        </w:rPr>
        <w:t>,</w:t>
      </w:r>
      <w:r w:rsidRPr="000473F9">
        <w:rPr>
          <w:rFonts w:ascii="Times New Roman" w:eastAsia="Times New Roman" w:hAnsi="Times New Roman"/>
          <w:sz w:val="24"/>
          <w:szCs w:val="24"/>
          <w:lang w:val="sq-AL"/>
        </w:rPr>
        <w:t xml:space="preserve"> </w:t>
      </w:r>
      <w:r w:rsidR="00EA67EC" w:rsidRPr="000473F9">
        <w:rPr>
          <w:rFonts w:ascii="Times New Roman" w:eastAsia="Times New Roman" w:hAnsi="Times New Roman"/>
          <w:sz w:val="24"/>
          <w:szCs w:val="24"/>
          <w:lang w:val="sq-AL"/>
        </w:rPr>
        <w:t xml:space="preserve">konstatoi mungesën e parashtrimeve me shkrim të </w:t>
      </w:r>
      <w:r w:rsidRPr="000473F9">
        <w:rPr>
          <w:rFonts w:ascii="Times New Roman" w:eastAsia="Times New Roman" w:hAnsi="Times New Roman"/>
          <w:sz w:val="24"/>
          <w:szCs w:val="24"/>
          <w:lang w:val="sq-AL"/>
        </w:rPr>
        <w:t xml:space="preserve">Prokurorisë së Posaçme kundër Korrupsionit dhe Krimit të Organizuar </w:t>
      </w:r>
      <w:r w:rsidRPr="000473F9">
        <w:rPr>
          <w:rFonts w:ascii="Times New Roman" w:eastAsia="Times New Roman" w:hAnsi="Times New Roman"/>
          <w:i/>
          <w:sz w:val="24"/>
          <w:szCs w:val="24"/>
          <w:lang w:val="sq-AL"/>
        </w:rPr>
        <w:t>(Prokuroria e Posaçme)</w:t>
      </w:r>
      <w:r w:rsidRPr="000473F9">
        <w:rPr>
          <w:rFonts w:ascii="Times New Roman" w:eastAsia="Times New Roman" w:hAnsi="Times New Roman"/>
          <w:sz w:val="24"/>
          <w:szCs w:val="24"/>
          <w:lang w:val="sq-AL"/>
        </w:rPr>
        <w:t>, si dhe diskutoi çështjen në tërësi,</w:t>
      </w:r>
    </w:p>
    <w:p w:rsidR="001520F3" w:rsidRPr="000473F9" w:rsidRDefault="001520F3" w:rsidP="009B5EB3">
      <w:pPr>
        <w:spacing w:after="0" w:line="360" w:lineRule="auto"/>
        <w:jc w:val="center"/>
        <w:rPr>
          <w:rFonts w:ascii="Times New Roman" w:eastAsia="Times New Roman" w:hAnsi="Times New Roman"/>
          <w:sz w:val="24"/>
          <w:szCs w:val="24"/>
          <w:lang w:val="sq-AL"/>
        </w:rPr>
      </w:pPr>
    </w:p>
    <w:p w:rsidR="001520F3" w:rsidRPr="000473F9" w:rsidRDefault="001520F3" w:rsidP="009B5EB3">
      <w:pPr>
        <w:spacing w:after="0" w:line="360" w:lineRule="auto"/>
        <w:jc w:val="center"/>
        <w:rPr>
          <w:rFonts w:ascii="Times New Roman" w:eastAsia="Times New Roman" w:hAnsi="Times New Roman"/>
          <w:b/>
          <w:bCs/>
          <w:sz w:val="24"/>
          <w:szCs w:val="24"/>
          <w:lang w:val="sq-AL"/>
        </w:rPr>
      </w:pPr>
      <w:r w:rsidRPr="000473F9">
        <w:rPr>
          <w:rFonts w:ascii="Times New Roman" w:eastAsia="Times New Roman" w:hAnsi="Times New Roman"/>
          <w:b/>
          <w:bCs/>
          <w:sz w:val="24"/>
          <w:szCs w:val="24"/>
          <w:lang w:val="sq-AL"/>
        </w:rPr>
        <w:t>V Ë R E N:</w:t>
      </w:r>
    </w:p>
    <w:p w:rsidR="00D758EA" w:rsidRPr="000473F9" w:rsidRDefault="00D758EA" w:rsidP="009B5EB3">
      <w:pPr>
        <w:pStyle w:val="Heading2"/>
      </w:pPr>
      <w:r w:rsidRPr="000473F9">
        <w:t>I</w:t>
      </w:r>
    </w:p>
    <w:p w:rsidR="00D758EA" w:rsidRPr="000473F9" w:rsidRDefault="00D758EA" w:rsidP="009B5EB3">
      <w:pPr>
        <w:pStyle w:val="Heading2"/>
      </w:pPr>
      <w:r w:rsidRPr="000473F9">
        <w:t>Rrethanat e çështjes</w:t>
      </w:r>
    </w:p>
    <w:p w:rsidR="00F3695C" w:rsidRPr="000473F9" w:rsidRDefault="002C0AE0"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Në gusht të vitit 2020 shtetasi J.X. </w:t>
      </w:r>
      <w:r w:rsidR="0057523D" w:rsidRPr="000473F9">
        <w:rPr>
          <w:rFonts w:ascii="Times New Roman" w:hAnsi="Times New Roman"/>
          <w:sz w:val="24"/>
          <w:szCs w:val="24"/>
          <w:lang w:val="sq-AL"/>
        </w:rPr>
        <w:t>ka kaluar nga kufiri</w:t>
      </w:r>
      <w:r w:rsidRPr="000473F9">
        <w:rPr>
          <w:rFonts w:ascii="Times New Roman" w:hAnsi="Times New Roman"/>
          <w:sz w:val="24"/>
          <w:szCs w:val="24"/>
          <w:lang w:val="sq-AL"/>
        </w:rPr>
        <w:t xml:space="preserve"> </w:t>
      </w:r>
      <w:r w:rsidR="0057523D" w:rsidRPr="000473F9">
        <w:rPr>
          <w:rFonts w:ascii="Times New Roman" w:hAnsi="Times New Roman"/>
          <w:sz w:val="24"/>
          <w:szCs w:val="24"/>
          <w:lang w:val="sq-AL"/>
        </w:rPr>
        <w:t>i</w:t>
      </w:r>
      <w:r w:rsidRPr="000473F9">
        <w:rPr>
          <w:rFonts w:ascii="Times New Roman" w:hAnsi="Times New Roman"/>
          <w:sz w:val="24"/>
          <w:szCs w:val="24"/>
          <w:lang w:val="sq-AL"/>
        </w:rPr>
        <w:t xml:space="preserve"> gjelbër për në shtetin grek</w:t>
      </w:r>
      <w:r w:rsidR="00052E75" w:rsidRPr="000473F9">
        <w:rPr>
          <w:rFonts w:ascii="Times New Roman" w:hAnsi="Times New Roman"/>
          <w:sz w:val="24"/>
          <w:szCs w:val="24"/>
          <w:lang w:val="sq-AL"/>
        </w:rPr>
        <w:t>,</w:t>
      </w:r>
      <w:r w:rsidRPr="000473F9">
        <w:rPr>
          <w:rFonts w:ascii="Times New Roman" w:hAnsi="Times New Roman"/>
          <w:sz w:val="24"/>
          <w:szCs w:val="24"/>
          <w:lang w:val="sq-AL"/>
        </w:rPr>
        <w:t xml:space="preserve"> ku ka qëndruar deri në </w:t>
      </w:r>
      <w:r w:rsidR="0057523D" w:rsidRPr="000473F9">
        <w:rPr>
          <w:rFonts w:ascii="Times New Roman" w:hAnsi="Times New Roman"/>
          <w:sz w:val="24"/>
          <w:szCs w:val="24"/>
          <w:lang w:val="sq-AL"/>
        </w:rPr>
        <w:t xml:space="preserve">korrik të vitit </w:t>
      </w:r>
      <w:r w:rsidR="00076F2E" w:rsidRPr="000473F9">
        <w:rPr>
          <w:rFonts w:ascii="Times New Roman" w:hAnsi="Times New Roman"/>
          <w:sz w:val="24"/>
          <w:szCs w:val="24"/>
          <w:lang w:val="sq-AL"/>
        </w:rPr>
        <w:t>2021. Në orën 23:</w:t>
      </w:r>
      <w:r w:rsidRPr="000473F9">
        <w:rPr>
          <w:rFonts w:ascii="Times New Roman" w:hAnsi="Times New Roman"/>
          <w:sz w:val="24"/>
          <w:szCs w:val="24"/>
          <w:lang w:val="sq-AL"/>
        </w:rPr>
        <w:t xml:space="preserve">15 të </w:t>
      </w:r>
      <w:r w:rsidR="00770FA3" w:rsidRPr="000473F9">
        <w:rPr>
          <w:rFonts w:ascii="Times New Roman" w:hAnsi="Times New Roman"/>
          <w:sz w:val="24"/>
          <w:szCs w:val="24"/>
          <w:lang w:val="sq-AL"/>
        </w:rPr>
        <w:t>datës 22.07.2021</w:t>
      </w:r>
      <w:r w:rsidR="000B17AE" w:rsidRPr="000473F9">
        <w:rPr>
          <w:rFonts w:ascii="Times New Roman" w:hAnsi="Times New Roman"/>
          <w:sz w:val="24"/>
          <w:szCs w:val="24"/>
          <w:lang w:val="sq-AL"/>
        </w:rPr>
        <w:t xml:space="preserve"> </w:t>
      </w:r>
      <w:r w:rsidR="00052E75" w:rsidRPr="000473F9">
        <w:rPr>
          <w:rFonts w:ascii="Times New Roman" w:hAnsi="Times New Roman"/>
          <w:sz w:val="24"/>
          <w:szCs w:val="24"/>
          <w:lang w:val="sq-AL"/>
        </w:rPr>
        <w:t xml:space="preserve">ai </w:t>
      </w:r>
      <w:r w:rsidR="000B17AE" w:rsidRPr="000473F9">
        <w:rPr>
          <w:rFonts w:ascii="Times New Roman" w:hAnsi="Times New Roman"/>
          <w:sz w:val="24"/>
          <w:szCs w:val="24"/>
          <w:lang w:val="sq-AL"/>
        </w:rPr>
        <w:t xml:space="preserve">është paraqitur në </w:t>
      </w:r>
      <w:r w:rsidRPr="000473F9">
        <w:rPr>
          <w:rFonts w:ascii="Times New Roman" w:hAnsi="Times New Roman"/>
          <w:sz w:val="24"/>
          <w:szCs w:val="24"/>
          <w:lang w:val="sq-AL"/>
        </w:rPr>
        <w:t>pikë</w:t>
      </w:r>
      <w:r w:rsidR="000B17AE" w:rsidRPr="000473F9">
        <w:rPr>
          <w:rFonts w:ascii="Times New Roman" w:hAnsi="Times New Roman"/>
          <w:sz w:val="24"/>
          <w:szCs w:val="24"/>
          <w:lang w:val="sq-AL"/>
        </w:rPr>
        <w:t>n</w:t>
      </w:r>
      <w:r w:rsidRPr="000473F9">
        <w:rPr>
          <w:rFonts w:ascii="Times New Roman" w:hAnsi="Times New Roman"/>
          <w:sz w:val="24"/>
          <w:szCs w:val="24"/>
          <w:lang w:val="sq-AL"/>
        </w:rPr>
        <w:t xml:space="preserve"> </w:t>
      </w:r>
      <w:r w:rsidR="000B17AE" w:rsidRPr="000473F9">
        <w:rPr>
          <w:rFonts w:ascii="Times New Roman" w:hAnsi="Times New Roman"/>
          <w:sz w:val="24"/>
          <w:szCs w:val="24"/>
          <w:lang w:val="sq-AL"/>
        </w:rPr>
        <w:t>e</w:t>
      </w:r>
      <w:r w:rsidRPr="000473F9">
        <w:rPr>
          <w:rFonts w:ascii="Times New Roman" w:hAnsi="Times New Roman"/>
          <w:sz w:val="24"/>
          <w:szCs w:val="24"/>
          <w:lang w:val="sq-AL"/>
        </w:rPr>
        <w:t xml:space="preserve"> kalimit kufitar të Kapshticës</w:t>
      </w:r>
      <w:r w:rsidR="000B17AE" w:rsidRPr="000473F9">
        <w:rPr>
          <w:rFonts w:ascii="Times New Roman" w:hAnsi="Times New Roman"/>
          <w:sz w:val="24"/>
          <w:szCs w:val="24"/>
          <w:lang w:val="sq-AL"/>
        </w:rPr>
        <w:t xml:space="preserve"> për të hyrë në territorin shqiptar</w:t>
      </w:r>
      <w:r w:rsidRPr="000473F9">
        <w:rPr>
          <w:rFonts w:ascii="Times New Roman" w:hAnsi="Times New Roman"/>
          <w:sz w:val="24"/>
          <w:szCs w:val="24"/>
          <w:lang w:val="sq-AL"/>
        </w:rPr>
        <w:t xml:space="preserve">. </w:t>
      </w:r>
    </w:p>
    <w:p w:rsidR="000B17AE" w:rsidRPr="000473F9" w:rsidRDefault="000B17AE"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Gjatë kryerjes së procedurave të regjistrimit të shtetasve që hyjnë në territorin e </w:t>
      </w:r>
      <w:r w:rsidR="006A4889" w:rsidRPr="000473F9">
        <w:rPr>
          <w:rFonts w:ascii="Times New Roman" w:hAnsi="Times New Roman"/>
          <w:sz w:val="24"/>
          <w:szCs w:val="24"/>
          <w:lang w:val="sq-AL"/>
        </w:rPr>
        <w:t xml:space="preserve">Republikës së </w:t>
      </w:r>
      <w:r w:rsidRPr="000473F9">
        <w:rPr>
          <w:rFonts w:ascii="Times New Roman" w:hAnsi="Times New Roman"/>
          <w:sz w:val="24"/>
          <w:szCs w:val="24"/>
          <w:lang w:val="sq-AL"/>
        </w:rPr>
        <w:t xml:space="preserve">Shqipërisë, J.X. </w:t>
      </w:r>
      <w:r w:rsidR="00F21D40" w:rsidRPr="000473F9">
        <w:rPr>
          <w:rFonts w:ascii="Times New Roman" w:hAnsi="Times New Roman"/>
          <w:sz w:val="24"/>
          <w:szCs w:val="24"/>
          <w:lang w:val="sq-AL"/>
        </w:rPr>
        <w:t>i ka ofruar një kartëmonedh</w:t>
      </w:r>
      <w:r w:rsidR="00076F2E" w:rsidRPr="000473F9">
        <w:rPr>
          <w:rFonts w:ascii="Times New Roman" w:hAnsi="Times New Roman"/>
          <w:sz w:val="24"/>
          <w:szCs w:val="24"/>
          <w:lang w:val="sq-AL"/>
        </w:rPr>
        <w:t>ë</w:t>
      </w:r>
      <w:r w:rsidR="00F21D40" w:rsidRPr="000473F9">
        <w:rPr>
          <w:rFonts w:ascii="Times New Roman" w:hAnsi="Times New Roman"/>
          <w:sz w:val="24"/>
          <w:szCs w:val="24"/>
          <w:lang w:val="sq-AL"/>
        </w:rPr>
        <w:t xml:space="preserve"> 20 </w:t>
      </w:r>
      <w:r w:rsidR="00076F2E" w:rsidRPr="000473F9">
        <w:rPr>
          <w:rFonts w:ascii="Times New Roman" w:hAnsi="Times New Roman"/>
          <w:sz w:val="24"/>
          <w:szCs w:val="24"/>
          <w:lang w:val="sq-AL"/>
        </w:rPr>
        <w:t>euro</w:t>
      </w:r>
      <w:r w:rsidR="00F21D40" w:rsidRPr="000473F9">
        <w:rPr>
          <w:rFonts w:ascii="Times New Roman" w:hAnsi="Times New Roman"/>
          <w:sz w:val="24"/>
          <w:szCs w:val="24"/>
          <w:lang w:val="sq-AL"/>
        </w:rPr>
        <w:t>she punonjësit të</w:t>
      </w:r>
      <w:r w:rsidRPr="000473F9">
        <w:rPr>
          <w:rFonts w:ascii="Times New Roman" w:hAnsi="Times New Roman"/>
          <w:sz w:val="24"/>
          <w:szCs w:val="24"/>
          <w:lang w:val="sq-AL"/>
        </w:rPr>
        <w:t xml:space="preserve"> </w:t>
      </w:r>
      <w:r w:rsidR="00052E75" w:rsidRPr="000473F9">
        <w:rPr>
          <w:rFonts w:ascii="Times New Roman" w:hAnsi="Times New Roman"/>
          <w:sz w:val="24"/>
          <w:szCs w:val="24"/>
          <w:lang w:val="sq-AL"/>
        </w:rPr>
        <w:t xml:space="preserve">policisë së </w:t>
      </w:r>
      <w:r w:rsidRPr="000473F9">
        <w:rPr>
          <w:rFonts w:ascii="Times New Roman" w:hAnsi="Times New Roman"/>
          <w:sz w:val="24"/>
          <w:szCs w:val="24"/>
          <w:lang w:val="sq-AL"/>
        </w:rPr>
        <w:t>pikës së kalimit kufitar</w:t>
      </w:r>
      <w:r w:rsidR="00052E75" w:rsidRPr="000473F9">
        <w:rPr>
          <w:rFonts w:ascii="Times New Roman" w:hAnsi="Times New Roman"/>
          <w:sz w:val="24"/>
          <w:szCs w:val="24"/>
          <w:lang w:val="sq-AL"/>
        </w:rPr>
        <w:t>,</w:t>
      </w:r>
      <w:r w:rsidRPr="000473F9">
        <w:rPr>
          <w:rFonts w:ascii="Times New Roman" w:hAnsi="Times New Roman"/>
          <w:sz w:val="24"/>
          <w:szCs w:val="24"/>
          <w:lang w:val="sq-AL"/>
        </w:rPr>
        <w:t xml:space="preserve"> </w:t>
      </w:r>
      <w:r w:rsidR="00052E75" w:rsidRPr="000473F9">
        <w:rPr>
          <w:rFonts w:ascii="Times New Roman" w:hAnsi="Times New Roman"/>
          <w:sz w:val="24"/>
          <w:szCs w:val="24"/>
          <w:lang w:val="sq-AL"/>
        </w:rPr>
        <w:t>me qëllim që ky i fundit ta lejonte të</w:t>
      </w:r>
      <w:r w:rsidRPr="000473F9">
        <w:rPr>
          <w:rFonts w:ascii="Times New Roman" w:hAnsi="Times New Roman"/>
          <w:sz w:val="24"/>
          <w:szCs w:val="24"/>
          <w:lang w:val="sq-AL"/>
        </w:rPr>
        <w:t xml:space="preserve"> hy</w:t>
      </w:r>
      <w:r w:rsidR="00052E75" w:rsidRPr="000473F9">
        <w:rPr>
          <w:rFonts w:ascii="Times New Roman" w:hAnsi="Times New Roman"/>
          <w:sz w:val="24"/>
          <w:szCs w:val="24"/>
          <w:lang w:val="sq-AL"/>
        </w:rPr>
        <w:t>nte</w:t>
      </w:r>
      <w:r w:rsidRPr="000473F9">
        <w:rPr>
          <w:rFonts w:ascii="Times New Roman" w:hAnsi="Times New Roman"/>
          <w:sz w:val="24"/>
          <w:szCs w:val="24"/>
          <w:lang w:val="sq-AL"/>
        </w:rPr>
        <w:t xml:space="preserve"> pa probleme</w:t>
      </w:r>
      <w:r w:rsidR="00052E75" w:rsidRPr="000473F9">
        <w:rPr>
          <w:rFonts w:ascii="Times New Roman" w:hAnsi="Times New Roman"/>
          <w:sz w:val="24"/>
          <w:szCs w:val="24"/>
          <w:lang w:val="sq-AL"/>
        </w:rPr>
        <w:t>, duke qenë se kishte dalë nga territori shqiptar përmes kufirit të gjelbër.</w:t>
      </w:r>
    </w:p>
    <w:p w:rsidR="00052E75" w:rsidRPr="000473F9" w:rsidRDefault="00770FA3"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Për këtë shkak</w:t>
      </w:r>
      <w:r w:rsidR="006A4889" w:rsidRPr="000473F9">
        <w:rPr>
          <w:rFonts w:ascii="Times New Roman" w:hAnsi="Times New Roman"/>
          <w:sz w:val="24"/>
          <w:szCs w:val="24"/>
          <w:lang w:val="sq-AL"/>
        </w:rPr>
        <w:t>,</w:t>
      </w:r>
      <w:r w:rsidRPr="000473F9">
        <w:rPr>
          <w:rFonts w:ascii="Times New Roman" w:hAnsi="Times New Roman"/>
          <w:sz w:val="24"/>
          <w:szCs w:val="24"/>
          <w:lang w:val="sq-AL"/>
        </w:rPr>
        <w:t xml:space="preserve"> </w:t>
      </w:r>
      <w:r w:rsidR="006A4889" w:rsidRPr="000473F9">
        <w:rPr>
          <w:rFonts w:ascii="Times New Roman" w:hAnsi="Times New Roman"/>
          <w:sz w:val="24"/>
          <w:szCs w:val="24"/>
          <w:lang w:val="sq-AL"/>
        </w:rPr>
        <w:t xml:space="preserve">autoritetet ligjzbatuese kanë </w:t>
      </w:r>
      <w:r w:rsidRPr="000473F9">
        <w:rPr>
          <w:rFonts w:ascii="Times New Roman" w:hAnsi="Times New Roman"/>
          <w:sz w:val="24"/>
          <w:szCs w:val="24"/>
          <w:lang w:val="sq-AL"/>
        </w:rPr>
        <w:t xml:space="preserve">bërë </w:t>
      </w:r>
      <w:r w:rsidR="00052E75" w:rsidRPr="000473F9">
        <w:rPr>
          <w:rFonts w:ascii="Times New Roman" w:hAnsi="Times New Roman"/>
          <w:sz w:val="24"/>
          <w:szCs w:val="24"/>
          <w:lang w:val="sq-AL"/>
        </w:rPr>
        <w:t>arrestimi</w:t>
      </w:r>
      <w:r w:rsidR="006A4889" w:rsidRPr="000473F9">
        <w:rPr>
          <w:rFonts w:ascii="Times New Roman" w:hAnsi="Times New Roman"/>
          <w:sz w:val="24"/>
          <w:szCs w:val="24"/>
          <w:lang w:val="sq-AL"/>
        </w:rPr>
        <w:t>n</w:t>
      </w:r>
      <w:r w:rsidR="00052E75" w:rsidRPr="000473F9">
        <w:rPr>
          <w:rFonts w:ascii="Times New Roman" w:hAnsi="Times New Roman"/>
          <w:sz w:val="24"/>
          <w:szCs w:val="24"/>
          <w:lang w:val="sq-AL"/>
        </w:rPr>
        <w:t xml:space="preserve"> në flagrancë </w:t>
      </w:r>
      <w:r w:rsidR="006A4889" w:rsidRPr="000473F9">
        <w:rPr>
          <w:rFonts w:ascii="Times New Roman" w:hAnsi="Times New Roman"/>
          <w:sz w:val="24"/>
          <w:szCs w:val="24"/>
          <w:lang w:val="sq-AL"/>
        </w:rPr>
        <w:t>të</w:t>
      </w:r>
      <w:r w:rsidR="00052E75" w:rsidRPr="000473F9">
        <w:rPr>
          <w:rFonts w:ascii="Times New Roman" w:hAnsi="Times New Roman"/>
          <w:sz w:val="24"/>
          <w:szCs w:val="24"/>
          <w:lang w:val="sq-AL"/>
        </w:rPr>
        <w:t xml:space="preserve"> shtetasit J.X. dhe kanë nisur hetimet për kryerjen </w:t>
      </w:r>
      <w:r w:rsidR="006A4889" w:rsidRPr="000473F9">
        <w:rPr>
          <w:rFonts w:ascii="Times New Roman" w:hAnsi="Times New Roman"/>
          <w:sz w:val="24"/>
          <w:szCs w:val="24"/>
          <w:lang w:val="sq-AL"/>
        </w:rPr>
        <w:t>prej tij të</w:t>
      </w:r>
      <w:r w:rsidR="00052E75" w:rsidRPr="000473F9">
        <w:rPr>
          <w:rFonts w:ascii="Times New Roman" w:hAnsi="Times New Roman"/>
          <w:sz w:val="24"/>
          <w:szCs w:val="24"/>
          <w:lang w:val="sq-AL"/>
        </w:rPr>
        <w:t xml:space="preserve"> veprës penale “Korrupsioni aktiv i personave që ushtrojnë funksione publike”, të parashikuar nga neni 244 i Kodit Penal </w:t>
      </w:r>
      <w:r w:rsidR="00052E75" w:rsidRPr="000473F9">
        <w:rPr>
          <w:rFonts w:ascii="Times New Roman" w:hAnsi="Times New Roman"/>
          <w:i/>
          <w:sz w:val="24"/>
          <w:szCs w:val="24"/>
          <w:lang w:val="sq-AL"/>
        </w:rPr>
        <w:t>(KP)</w:t>
      </w:r>
      <w:r w:rsidR="00052E75" w:rsidRPr="000473F9">
        <w:rPr>
          <w:rFonts w:ascii="Times New Roman" w:hAnsi="Times New Roman"/>
          <w:sz w:val="24"/>
          <w:szCs w:val="24"/>
          <w:lang w:val="sq-AL"/>
        </w:rPr>
        <w:t>.</w:t>
      </w:r>
    </w:p>
    <w:p w:rsidR="00052E75" w:rsidRPr="000473F9" w:rsidRDefault="003422E5"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Në datën 25.10.2021 Prokuroria pranë Gjykatës së Rrethit Gjyqësor Korçë i është drejtuar Gjykatës së Rrethit Gjyqësor Korçë me kërkesë për dërgimin në gjyq të çështjes penale nr. 626 të vitit 2021, në ngarkim të shtetasit J.X.</w:t>
      </w:r>
    </w:p>
    <w:p w:rsidR="003422E5" w:rsidRPr="000473F9" w:rsidRDefault="00A75711"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Gjatë shqyrtimit të çështjes në seancën e datës 22.11.2021, </w:t>
      </w:r>
      <w:r w:rsidR="00931F03" w:rsidRPr="000473F9">
        <w:rPr>
          <w:rFonts w:ascii="Times New Roman" w:hAnsi="Times New Roman"/>
          <w:sz w:val="24"/>
          <w:szCs w:val="24"/>
          <w:lang w:val="sq-AL"/>
        </w:rPr>
        <w:t>gjykata referuese</w:t>
      </w:r>
      <w:r w:rsidRPr="000473F9">
        <w:rPr>
          <w:rFonts w:ascii="Times New Roman" w:hAnsi="Times New Roman"/>
          <w:sz w:val="24"/>
          <w:szCs w:val="24"/>
          <w:lang w:val="sq-AL"/>
        </w:rPr>
        <w:t xml:space="preserve"> ka shtruar për diskutim çështjen e kushtetutshmërisë së </w:t>
      </w:r>
      <w:r w:rsidR="00CF2BFC" w:rsidRPr="000473F9">
        <w:rPr>
          <w:rFonts w:ascii="Times New Roman" w:hAnsi="Times New Roman"/>
          <w:sz w:val="24"/>
          <w:szCs w:val="24"/>
          <w:lang w:val="sq-AL"/>
        </w:rPr>
        <w:t>togfjalëshit</w:t>
      </w:r>
      <w:r w:rsidR="00980DB8" w:rsidRPr="000473F9">
        <w:rPr>
          <w:rFonts w:ascii="Times New Roman" w:hAnsi="Times New Roman"/>
          <w:sz w:val="24"/>
          <w:szCs w:val="24"/>
          <w:lang w:val="sq-AL"/>
        </w:rPr>
        <w:t xml:space="preserve"> </w:t>
      </w:r>
      <w:r w:rsidRPr="000473F9">
        <w:rPr>
          <w:rFonts w:ascii="Times New Roman" w:hAnsi="Times New Roman"/>
          <w:sz w:val="24"/>
          <w:szCs w:val="24"/>
          <w:lang w:val="sq-AL"/>
        </w:rPr>
        <w:t>“paragrafi 2”, pas “244”</w:t>
      </w:r>
      <w:r w:rsidR="0003172B" w:rsidRPr="000473F9">
        <w:rPr>
          <w:rFonts w:ascii="Times New Roman" w:hAnsi="Times New Roman"/>
          <w:sz w:val="24"/>
          <w:szCs w:val="24"/>
          <w:lang w:val="sq-AL"/>
        </w:rPr>
        <w:t xml:space="preserve">, </w:t>
      </w:r>
      <w:r w:rsidRPr="000473F9">
        <w:rPr>
          <w:rFonts w:ascii="Times New Roman" w:hAnsi="Times New Roman"/>
          <w:sz w:val="24"/>
          <w:szCs w:val="24"/>
          <w:lang w:val="sq-AL"/>
        </w:rPr>
        <w:t xml:space="preserve">në shkronjën “a” të nenit 7 </w:t>
      </w:r>
      <w:r w:rsidR="0027011F" w:rsidRPr="000473F9">
        <w:rPr>
          <w:rFonts w:ascii="Times New Roman" w:hAnsi="Times New Roman"/>
          <w:i/>
          <w:sz w:val="24"/>
          <w:szCs w:val="24"/>
          <w:lang w:val="sq-AL"/>
        </w:rPr>
        <w:t>(dispozita e kundërshtuar)</w:t>
      </w:r>
      <w:r w:rsidR="0027011F" w:rsidRPr="000473F9">
        <w:rPr>
          <w:rFonts w:ascii="Times New Roman" w:hAnsi="Times New Roman"/>
          <w:sz w:val="24"/>
          <w:szCs w:val="24"/>
          <w:lang w:val="sq-AL"/>
        </w:rPr>
        <w:t xml:space="preserve"> </w:t>
      </w:r>
      <w:r w:rsidRPr="000473F9">
        <w:rPr>
          <w:rFonts w:ascii="Times New Roman" w:hAnsi="Times New Roman"/>
          <w:sz w:val="24"/>
          <w:szCs w:val="24"/>
          <w:lang w:val="sq-AL"/>
        </w:rPr>
        <w:t>të ligjit nr. 41/2021, datë 23.03.2021 “Për disa shtesa dhe ndryshime në l</w:t>
      </w:r>
      <w:r w:rsidR="00725199" w:rsidRPr="000473F9">
        <w:rPr>
          <w:rFonts w:ascii="Times New Roman" w:hAnsi="Times New Roman"/>
          <w:sz w:val="24"/>
          <w:szCs w:val="24"/>
          <w:lang w:val="sq-AL"/>
        </w:rPr>
        <w:t>igjin nr. 7905, datë 21.03.1995</w:t>
      </w:r>
      <w:r w:rsidRPr="000473F9">
        <w:rPr>
          <w:rFonts w:ascii="Times New Roman" w:hAnsi="Times New Roman"/>
          <w:sz w:val="24"/>
          <w:szCs w:val="24"/>
          <w:lang w:val="sq-AL"/>
        </w:rPr>
        <w:t xml:space="preserve"> “Kodi i Procedurës Penale të Republikës së Shqipërisë”, të ndryshuar” </w:t>
      </w:r>
      <w:r w:rsidRPr="000473F9">
        <w:rPr>
          <w:rFonts w:ascii="Times New Roman" w:hAnsi="Times New Roman"/>
          <w:i/>
          <w:sz w:val="24"/>
          <w:szCs w:val="24"/>
          <w:lang w:val="sq-AL"/>
        </w:rPr>
        <w:t>(ligji nr. 41/2021)</w:t>
      </w:r>
      <w:r w:rsidRPr="000473F9">
        <w:rPr>
          <w:rFonts w:ascii="Times New Roman" w:hAnsi="Times New Roman"/>
          <w:sz w:val="24"/>
          <w:szCs w:val="24"/>
          <w:lang w:val="sq-AL"/>
        </w:rPr>
        <w:t xml:space="preserve">. Në </w:t>
      </w:r>
      <w:r w:rsidR="00770FA3" w:rsidRPr="000473F9">
        <w:rPr>
          <w:rFonts w:ascii="Times New Roman" w:hAnsi="Times New Roman"/>
          <w:sz w:val="24"/>
          <w:szCs w:val="24"/>
          <w:lang w:val="sq-AL"/>
        </w:rPr>
        <w:t>përfundim</w:t>
      </w:r>
      <w:r w:rsidRPr="000473F9">
        <w:rPr>
          <w:rFonts w:ascii="Times New Roman" w:hAnsi="Times New Roman"/>
          <w:sz w:val="24"/>
          <w:szCs w:val="24"/>
          <w:lang w:val="sq-AL"/>
        </w:rPr>
        <w:t>, me vendimin e ndërmjetëm nr. 520005-01735-41</w:t>
      </w:r>
      <w:r w:rsidR="00791B95" w:rsidRPr="000473F9">
        <w:rPr>
          <w:rFonts w:ascii="Times New Roman" w:hAnsi="Times New Roman"/>
          <w:sz w:val="24"/>
          <w:szCs w:val="24"/>
          <w:lang w:val="sq-AL"/>
        </w:rPr>
        <w:t xml:space="preserve">-2021, datë 22.11.2021, gjykata referuese ka vendosur pezullimin e gjykimit të çështjes dhe dërgimin e saj Gjykatës Kushtetuese </w:t>
      </w:r>
      <w:r w:rsidR="00791B95" w:rsidRPr="000473F9">
        <w:rPr>
          <w:rFonts w:ascii="Times New Roman" w:hAnsi="Times New Roman"/>
          <w:i/>
          <w:sz w:val="24"/>
          <w:szCs w:val="24"/>
          <w:lang w:val="sq-AL"/>
        </w:rPr>
        <w:t>(Gjykata)</w:t>
      </w:r>
      <w:r w:rsidR="00791B95" w:rsidRPr="000473F9">
        <w:rPr>
          <w:rFonts w:ascii="Times New Roman" w:hAnsi="Times New Roman"/>
          <w:sz w:val="24"/>
          <w:szCs w:val="24"/>
          <w:lang w:val="sq-AL"/>
        </w:rPr>
        <w:t xml:space="preserve"> për shfuqizimin si antikushtetues të këtij </w:t>
      </w:r>
      <w:r w:rsidR="00CF2BFC" w:rsidRPr="000473F9">
        <w:rPr>
          <w:rFonts w:ascii="Times New Roman" w:hAnsi="Times New Roman"/>
          <w:sz w:val="24"/>
          <w:szCs w:val="24"/>
          <w:lang w:val="sq-AL"/>
        </w:rPr>
        <w:t>togfjalëshi</w:t>
      </w:r>
      <w:r w:rsidR="00791B95" w:rsidRPr="000473F9">
        <w:rPr>
          <w:rFonts w:ascii="Times New Roman" w:hAnsi="Times New Roman"/>
          <w:sz w:val="24"/>
          <w:szCs w:val="24"/>
          <w:lang w:val="sq-AL"/>
        </w:rPr>
        <w:t>. Ky vendim, së bashku me dosjen gjyqësore, i janë përcjellë kësaj Gjykate me shkresën nr.</w:t>
      </w:r>
      <w:r w:rsidR="00550E48" w:rsidRPr="000473F9">
        <w:rPr>
          <w:rFonts w:ascii="Times New Roman" w:hAnsi="Times New Roman"/>
          <w:sz w:val="24"/>
          <w:szCs w:val="24"/>
          <w:lang w:val="sq-AL"/>
        </w:rPr>
        <w:t xml:space="preserve"> 1 prot., datë 21.01.2022 të gjykatës referuese.</w:t>
      </w:r>
    </w:p>
    <w:p w:rsidR="009D4258" w:rsidRPr="000473F9" w:rsidRDefault="00CA4453"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Neni 75/a i Kodit të Procedurës Penale </w:t>
      </w:r>
      <w:r w:rsidRPr="000473F9">
        <w:rPr>
          <w:rFonts w:ascii="Times New Roman" w:hAnsi="Times New Roman"/>
          <w:i/>
          <w:sz w:val="24"/>
          <w:szCs w:val="24"/>
          <w:lang w:val="sq-AL"/>
        </w:rPr>
        <w:t xml:space="preserve">(KPP) </w:t>
      </w:r>
      <w:r w:rsidRPr="000473F9">
        <w:rPr>
          <w:rFonts w:ascii="Times New Roman" w:hAnsi="Times New Roman"/>
          <w:sz w:val="24"/>
          <w:szCs w:val="24"/>
          <w:lang w:val="sq-AL"/>
        </w:rPr>
        <w:t>ka përcaktuar llojet e veprave penale</w:t>
      </w:r>
      <w:r w:rsidR="00117522" w:rsidRPr="000473F9">
        <w:rPr>
          <w:rFonts w:ascii="Times New Roman" w:hAnsi="Times New Roman"/>
          <w:sz w:val="24"/>
          <w:szCs w:val="24"/>
          <w:lang w:val="sq-AL"/>
        </w:rPr>
        <w:t>,</w:t>
      </w:r>
      <w:r w:rsidRPr="000473F9">
        <w:rPr>
          <w:rFonts w:ascii="Times New Roman" w:hAnsi="Times New Roman"/>
          <w:sz w:val="24"/>
          <w:szCs w:val="24"/>
          <w:lang w:val="sq-AL"/>
        </w:rPr>
        <w:t xml:space="preserve"> gjykimi i të cilave përfshihet në kompetencat e Gjykatës së Posaçme kundër Korrupsionit dhe Krimit të Organizuar </w:t>
      </w:r>
      <w:r w:rsidRPr="000473F9">
        <w:rPr>
          <w:rFonts w:ascii="Times New Roman" w:hAnsi="Times New Roman"/>
          <w:i/>
          <w:sz w:val="24"/>
          <w:szCs w:val="24"/>
          <w:lang w:val="sq-AL"/>
        </w:rPr>
        <w:t>(Gjykata e Posaçme)</w:t>
      </w:r>
      <w:r w:rsidRPr="000473F9">
        <w:rPr>
          <w:rFonts w:ascii="Times New Roman" w:hAnsi="Times New Roman"/>
          <w:sz w:val="24"/>
          <w:szCs w:val="24"/>
          <w:lang w:val="sq-AL"/>
        </w:rPr>
        <w:t>, ndërsa n</w:t>
      </w:r>
      <w:r w:rsidR="00550E48" w:rsidRPr="000473F9">
        <w:rPr>
          <w:rFonts w:ascii="Times New Roman" w:hAnsi="Times New Roman"/>
          <w:sz w:val="24"/>
          <w:szCs w:val="24"/>
          <w:lang w:val="sq-AL"/>
        </w:rPr>
        <w:t xml:space="preserve">eni </w:t>
      </w:r>
      <w:r w:rsidR="00770FA3" w:rsidRPr="000473F9">
        <w:rPr>
          <w:rFonts w:ascii="Times New Roman" w:hAnsi="Times New Roman"/>
          <w:sz w:val="24"/>
          <w:szCs w:val="24"/>
          <w:lang w:val="sq-AL"/>
        </w:rPr>
        <w:t xml:space="preserve">7 i ligjit nr. 41/2021 parashikon: </w:t>
      </w:r>
      <w:r w:rsidR="00770FA3" w:rsidRPr="000473F9">
        <w:rPr>
          <w:rFonts w:ascii="Times New Roman" w:hAnsi="Times New Roman"/>
          <w:i/>
          <w:sz w:val="24"/>
          <w:szCs w:val="24"/>
          <w:lang w:val="sq-AL"/>
        </w:rPr>
        <w:t xml:space="preserve">“Në nenin 75/a shkronja “a” ndryshohet si më poshtë: “a) krimet e parashikuara nga nenet 230, 230/a, 230/b, 230/c, 230/ç, 231, 232, 232/a, 232/b, 233, 234, 234/a, 234/b, 244, </w:t>
      </w:r>
      <w:r w:rsidR="00770FA3" w:rsidRPr="000473F9">
        <w:rPr>
          <w:rFonts w:ascii="Times New Roman" w:hAnsi="Times New Roman"/>
          <w:i/>
          <w:sz w:val="24"/>
          <w:szCs w:val="24"/>
          <w:u w:val="single"/>
          <w:lang w:val="sq-AL"/>
        </w:rPr>
        <w:t>paragrafi 2</w:t>
      </w:r>
      <w:r w:rsidR="00770FA3" w:rsidRPr="000473F9">
        <w:rPr>
          <w:rFonts w:ascii="Times New Roman" w:hAnsi="Times New Roman"/>
          <w:i/>
          <w:sz w:val="24"/>
          <w:szCs w:val="24"/>
          <w:lang w:val="sq-AL"/>
        </w:rPr>
        <w:t xml:space="preserve">, </w:t>
      </w:r>
      <w:r w:rsidR="00770FA3" w:rsidRPr="000473F9">
        <w:rPr>
          <w:rFonts w:ascii="Times New Roman" w:hAnsi="Times New Roman"/>
          <w:i/>
          <w:sz w:val="24"/>
          <w:szCs w:val="24"/>
          <w:lang w:val="sq-AL"/>
        </w:rPr>
        <w:lastRenderedPageBreak/>
        <w:t>244/a, 245, 245/1, paragrafët 2 dhe 4, 257, 258, paragrafi 2, 259, paragrafi 2, 259/a, 260, 312, 319, 319/a, 319/b, 319/c, 319/ç, 319/d, 319/dh, 319/e</w:t>
      </w:r>
      <w:r w:rsidR="00123DFF" w:rsidRPr="000473F9">
        <w:rPr>
          <w:rFonts w:ascii="Times New Roman" w:hAnsi="Times New Roman"/>
          <w:i/>
          <w:sz w:val="24"/>
          <w:szCs w:val="24"/>
          <w:lang w:val="sq-AL"/>
        </w:rPr>
        <w:t>, 328 dhe 328/b të Kodit Penal.</w:t>
      </w:r>
      <w:r w:rsidR="00770FA3" w:rsidRPr="000473F9">
        <w:rPr>
          <w:rFonts w:ascii="Times New Roman" w:hAnsi="Times New Roman"/>
          <w:i/>
          <w:sz w:val="24"/>
          <w:szCs w:val="24"/>
          <w:lang w:val="sq-AL"/>
        </w:rPr>
        <w:t>”</w:t>
      </w:r>
      <w:r w:rsidR="00123DFF" w:rsidRPr="000473F9">
        <w:rPr>
          <w:rFonts w:ascii="Times New Roman" w:hAnsi="Times New Roman"/>
          <w:i/>
          <w:sz w:val="24"/>
          <w:szCs w:val="24"/>
          <w:lang w:val="sq-AL"/>
        </w:rPr>
        <w:t>.</w:t>
      </w:r>
    </w:p>
    <w:p w:rsidR="00123DFF" w:rsidRPr="000473F9" w:rsidRDefault="00A07A4B" w:rsidP="00123DFF">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Ligji nr.</w:t>
      </w:r>
      <w:r w:rsidR="002D1F99" w:rsidRPr="000473F9">
        <w:rPr>
          <w:rFonts w:ascii="Times New Roman" w:hAnsi="Times New Roman"/>
          <w:sz w:val="24"/>
          <w:szCs w:val="24"/>
          <w:lang w:val="sq-AL"/>
        </w:rPr>
        <w:t xml:space="preserve"> </w:t>
      </w:r>
      <w:r w:rsidR="00123DFF" w:rsidRPr="000473F9">
        <w:rPr>
          <w:rFonts w:ascii="Times New Roman" w:hAnsi="Times New Roman"/>
          <w:sz w:val="24"/>
          <w:szCs w:val="24"/>
          <w:lang w:val="sq-AL"/>
        </w:rPr>
        <w:t xml:space="preserve">43/2021, datë 23.03.2021 “Për disa ndryshime në ligjin nr. 7895, datë 27.01.1995 “Kodi Penal i Republikës së Shqipërisë”, të ndryshuar” </w:t>
      </w:r>
      <w:r w:rsidR="00123DFF" w:rsidRPr="000473F9">
        <w:rPr>
          <w:rFonts w:ascii="Times New Roman" w:hAnsi="Times New Roman"/>
          <w:i/>
          <w:sz w:val="24"/>
          <w:szCs w:val="24"/>
          <w:lang w:val="sq-AL"/>
        </w:rPr>
        <w:t>(ligji nr. 43/2021)</w:t>
      </w:r>
      <w:r w:rsidR="00123DFF" w:rsidRPr="000473F9">
        <w:rPr>
          <w:rFonts w:ascii="Times New Roman" w:hAnsi="Times New Roman"/>
          <w:sz w:val="24"/>
          <w:szCs w:val="24"/>
          <w:lang w:val="sq-AL"/>
        </w:rPr>
        <w:t xml:space="preserve">, </w:t>
      </w:r>
      <w:r w:rsidR="0086266B" w:rsidRPr="000473F9">
        <w:rPr>
          <w:rFonts w:ascii="Times New Roman" w:hAnsi="Times New Roman"/>
          <w:sz w:val="24"/>
          <w:szCs w:val="24"/>
          <w:lang w:val="sq-AL"/>
        </w:rPr>
        <w:t>përcakton</w:t>
      </w:r>
      <w:r w:rsidR="00123DFF" w:rsidRPr="000473F9">
        <w:rPr>
          <w:rFonts w:ascii="Times New Roman" w:hAnsi="Times New Roman"/>
          <w:sz w:val="24"/>
          <w:szCs w:val="24"/>
          <w:lang w:val="sq-AL"/>
        </w:rPr>
        <w:t xml:space="preserve"> </w:t>
      </w:r>
      <w:r w:rsidR="0086266B" w:rsidRPr="000473F9">
        <w:rPr>
          <w:rFonts w:ascii="Times New Roman" w:hAnsi="Times New Roman"/>
          <w:sz w:val="24"/>
          <w:szCs w:val="24"/>
          <w:lang w:val="sq-AL"/>
        </w:rPr>
        <w:t>në nenin 244, p</w:t>
      </w:r>
      <w:r w:rsidRPr="000473F9">
        <w:rPr>
          <w:rFonts w:ascii="Times New Roman" w:hAnsi="Times New Roman"/>
          <w:sz w:val="24"/>
          <w:szCs w:val="24"/>
          <w:lang w:val="sq-AL"/>
        </w:rPr>
        <w:t>aragrafi i</w:t>
      </w:r>
      <w:r w:rsidR="00A53161" w:rsidRPr="000473F9">
        <w:rPr>
          <w:rFonts w:ascii="Times New Roman" w:hAnsi="Times New Roman"/>
          <w:sz w:val="24"/>
          <w:szCs w:val="24"/>
          <w:lang w:val="sq-AL"/>
        </w:rPr>
        <w:t xml:space="preserve"> parë</w:t>
      </w:r>
      <w:r w:rsidR="0086266B" w:rsidRPr="000473F9">
        <w:rPr>
          <w:rFonts w:ascii="Times New Roman" w:hAnsi="Times New Roman"/>
          <w:sz w:val="24"/>
          <w:szCs w:val="24"/>
          <w:lang w:val="sq-AL"/>
        </w:rPr>
        <w:t>,</w:t>
      </w:r>
      <w:r w:rsidR="00A53161" w:rsidRPr="000473F9">
        <w:rPr>
          <w:rFonts w:ascii="Times New Roman" w:hAnsi="Times New Roman"/>
          <w:sz w:val="24"/>
          <w:szCs w:val="24"/>
          <w:lang w:val="sq-AL"/>
        </w:rPr>
        <w:t xml:space="preserve"> se</w:t>
      </w:r>
      <w:r w:rsidR="00123DFF" w:rsidRPr="000473F9">
        <w:rPr>
          <w:rFonts w:ascii="Times New Roman" w:hAnsi="Times New Roman"/>
          <w:sz w:val="24"/>
          <w:szCs w:val="24"/>
          <w:lang w:val="sq-AL"/>
        </w:rPr>
        <w:t xml:space="preserve">: </w:t>
      </w:r>
      <w:r w:rsidR="00123DFF" w:rsidRPr="000473F9">
        <w:rPr>
          <w:rFonts w:ascii="Times New Roman" w:hAnsi="Times New Roman"/>
          <w:i/>
          <w:sz w:val="24"/>
          <w:szCs w:val="24"/>
          <w:lang w:val="sq-AL"/>
        </w:rPr>
        <w:t>“Premtimi, propozimi ose dhënia, drejtpërdrejt ose tërthorazi, i çfarëdo përfitimi të parregullt deri në vlerën 50.000 lekë ose ekuivalencën në monedhë të huaj personit që ushtron funksionin publik, për vete ose për persona të tjerë për të kryer ose mos kryer një veprim, që lidhet me detyrën ose funksionin e tij, dënohen me burgim n</w:t>
      </w:r>
      <w:r w:rsidR="009F3592" w:rsidRPr="000473F9">
        <w:rPr>
          <w:rFonts w:ascii="Times New Roman" w:hAnsi="Times New Roman"/>
          <w:i/>
          <w:sz w:val="24"/>
          <w:szCs w:val="24"/>
          <w:lang w:val="sq-AL"/>
        </w:rPr>
        <w:t>ga gjashtë muaj deri në një vit</w:t>
      </w:r>
      <w:r w:rsidR="00123DFF" w:rsidRPr="000473F9">
        <w:rPr>
          <w:rFonts w:ascii="Times New Roman" w:hAnsi="Times New Roman"/>
          <w:i/>
          <w:sz w:val="24"/>
          <w:szCs w:val="24"/>
          <w:lang w:val="sq-AL"/>
        </w:rPr>
        <w:t>”</w:t>
      </w:r>
      <w:r w:rsidR="00123DFF" w:rsidRPr="000473F9">
        <w:rPr>
          <w:rFonts w:ascii="Times New Roman" w:hAnsi="Times New Roman"/>
          <w:sz w:val="24"/>
          <w:szCs w:val="24"/>
          <w:lang w:val="sq-AL"/>
        </w:rPr>
        <w:t xml:space="preserve">, ndërsa </w:t>
      </w:r>
      <w:r w:rsidR="00A53161" w:rsidRPr="000473F9">
        <w:rPr>
          <w:rFonts w:ascii="Times New Roman" w:hAnsi="Times New Roman"/>
          <w:sz w:val="24"/>
          <w:szCs w:val="24"/>
          <w:lang w:val="sq-AL"/>
        </w:rPr>
        <w:t>paragrafi i</w:t>
      </w:r>
      <w:r w:rsidR="00D15185" w:rsidRPr="000473F9">
        <w:rPr>
          <w:rFonts w:ascii="Times New Roman" w:hAnsi="Times New Roman"/>
          <w:sz w:val="24"/>
          <w:szCs w:val="24"/>
          <w:lang w:val="sq-AL"/>
        </w:rPr>
        <w:t xml:space="preserve"> dytë</w:t>
      </w:r>
      <w:r w:rsidR="009D0E8D" w:rsidRPr="000473F9">
        <w:rPr>
          <w:rFonts w:ascii="Times New Roman" w:hAnsi="Times New Roman"/>
          <w:sz w:val="24"/>
          <w:szCs w:val="24"/>
          <w:lang w:val="sq-AL"/>
        </w:rPr>
        <w:t xml:space="preserve"> </w:t>
      </w:r>
      <w:r w:rsidR="008351A6" w:rsidRPr="000473F9">
        <w:rPr>
          <w:rFonts w:ascii="Times New Roman" w:hAnsi="Times New Roman"/>
          <w:sz w:val="24"/>
          <w:szCs w:val="24"/>
          <w:lang w:val="sq-AL"/>
        </w:rPr>
        <w:t>i po kë</w:t>
      </w:r>
      <w:r w:rsidR="0013228D" w:rsidRPr="000473F9">
        <w:rPr>
          <w:rFonts w:ascii="Times New Roman" w:hAnsi="Times New Roman"/>
          <w:sz w:val="24"/>
          <w:szCs w:val="24"/>
          <w:lang w:val="sq-AL"/>
        </w:rPr>
        <w:t>tij neni</w:t>
      </w:r>
      <w:r w:rsidR="008351A6" w:rsidRPr="000473F9">
        <w:rPr>
          <w:rFonts w:ascii="Times New Roman" w:hAnsi="Times New Roman"/>
          <w:sz w:val="24"/>
          <w:szCs w:val="24"/>
          <w:lang w:val="sq-AL"/>
        </w:rPr>
        <w:t xml:space="preserve"> </w:t>
      </w:r>
      <w:r w:rsidR="00A53161" w:rsidRPr="000473F9">
        <w:rPr>
          <w:rFonts w:ascii="Times New Roman" w:hAnsi="Times New Roman"/>
          <w:sz w:val="24"/>
          <w:szCs w:val="24"/>
          <w:lang w:val="sq-AL"/>
        </w:rPr>
        <w:t>parashikon se</w:t>
      </w:r>
      <w:r w:rsidR="00123DFF" w:rsidRPr="000473F9">
        <w:rPr>
          <w:rFonts w:ascii="Times New Roman" w:hAnsi="Times New Roman"/>
          <w:sz w:val="24"/>
          <w:szCs w:val="24"/>
          <w:lang w:val="sq-AL"/>
        </w:rPr>
        <w:t xml:space="preserve">: </w:t>
      </w:r>
      <w:r w:rsidR="00123DFF" w:rsidRPr="000473F9">
        <w:rPr>
          <w:rFonts w:ascii="Times New Roman" w:hAnsi="Times New Roman"/>
          <w:i/>
          <w:sz w:val="24"/>
          <w:szCs w:val="24"/>
          <w:lang w:val="sq-AL"/>
        </w:rPr>
        <w:t>“Po kjo vepër, kur përfitimi i parregullt i personit që ushtron funksionin publik, për vete ose për persona të tjerë, është mbi vlerën 50.000 lekë, ose ekuivalencën në monedhë të huaj, dënohet me burgim nga një deri në tre vjet.”</w:t>
      </w:r>
      <w:r w:rsidR="00123DFF" w:rsidRPr="000473F9">
        <w:rPr>
          <w:rFonts w:ascii="Times New Roman" w:hAnsi="Times New Roman"/>
          <w:sz w:val="24"/>
          <w:szCs w:val="24"/>
          <w:lang w:val="sq-AL"/>
        </w:rPr>
        <w:t xml:space="preserve">. </w:t>
      </w:r>
    </w:p>
    <w:p w:rsidR="003B7614" w:rsidRPr="000473F9" w:rsidRDefault="003B7614"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Me vendimin e datës 04.03.2022, Kolegji i Gjykatës Kushtetuese ka vendosur kalimin e kërkesës për shqyrtim paraprak në Mbledhjen e Gjyqtarëve. Kjo e fundit, me vendimin e datës 28.03.2022, ka vendosur kalimin e çështjes për shqyrtim në seancë plenare mbi bazë dokumentesh.</w:t>
      </w:r>
    </w:p>
    <w:p w:rsidR="00FC0A04" w:rsidRPr="000473F9" w:rsidRDefault="00FC0A04" w:rsidP="009B5EB3">
      <w:pPr>
        <w:pStyle w:val="ListParagraph"/>
        <w:tabs>
          <w:tab w:val="left" w:pos="1080"/>
        </w:tabs>
        <w:spacing w:after="0" w:line="360" w:lineRule="auto"/>
        <w:jc w:val="both"/>
        <w:rPr>
          <w:rFonts w:ascii="Times New Roman" w:hAnsi="Times New Roman"/>
          <w:i/>
          <w:sz w:val="24"/>
          <w:szCs w:val="24"/>
          <w:lang w:val="sq-AL"/>
        </w:rPr>
      </w:pPr>
    </w:p>
    <w:p w:rsidR="00FC0A04" w:rsidRPr="000473F9" w:rsidRDefault="00FC0A04" w:rsidP="009B5EB3">
      <w:pPr>
        <w:tabs>
          <w:tab w:val="left" w:pos="1080"/>
        </w:tabs>
        <w:spacing w:after="0" w:line="360" w:lineRule="auto"/>
        <w:jc w:val="center"/>
        <w:rPr>
          <w:rFonts w:ascii="Times New Roman" w:hAnsi="Times New Roman"/>
          <w:b/>
          <w:sz w:val="24"/>
          <w:szCs w:val="24"/>
          <w:lang w:val="sq-AL"/>
        </w:rPr>
      </w:pPr>
      <w:r w:rsidRPr="000473F9">
        <w:rPr>
          <w:rFonts w:ascii="Times New Roman" w:hAnsi="Times New Roman"/>
          <w:b/>
          <w:sz w:val="24"/>
          <w:szCs w:val="24"/>
          <w:lang w:val="sq-AL"/>
        </w:rPr>
        <w:t>II</w:t>
      </w:r>
    </w:p>
    <w:p w:rsidR="00FC0A04" w:rsidRPr="000473F9" w:rsidRDefault="00FC0A04" w:rsidP="009B5EB3">
      <w:pPr>
        <w:tabs>
          <w:tab w:val="left" w:pos="1080"/>
        </w:tabs>
        <w:spacing w:after="0" w:line="360" w:lineRule="auto"/>
        <w:jc w:val="center"/>
        <w:rPr>
          <w:rFonts w:ascii="Times New Roman" w:hAnsi="Times New Roman"/>
          <w:b/>
          <w:sz w:val="24"/>
          <w:szCs w:val="24"/>
          <w:lang w:val="sq-AL"/>
        </w:rPr>
      </w:pPr>
      <w:r w:rsidRPr="000473F9">
        <w:rPr>
          <w:rFonts w:ascii="Times New Roman" w:hAnsi="Times New Roman"/>
          <w:b/>
          <w:sz w:val="24"/>
          <w:szCs w:val="24"/>
          <w:lang w:val="sq-AL"/>
        </w:rPr>
        <w:t xml:space="preserve">Pretendimet </w:t>
      </w:r>
      <w:r w:rsidR="003B7614" w:rsidRPr="000473F9">
        <w:rPr>
          <w:rFonts w:ascii="Times New Roman" w:hAnsi="Times New Roman"/>
          <w:b/>
          <w:sz w:val="24"/>
          <w:szCs w:val="24"/>
          <w:lang w:val="sq-AL"/>
        </w:rPr>
        <w:t>në Gjykatën Kushtetuese</w:t>
      </w:r>
    </w:p>
    <w:p w:rsidR="00C31511" w:rsidRPr="000473F9" w:rsidRDefault="00FC0A04"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
          <w:i/>
          <w:sz w:val="24"/>
          <w:szCs w:val="24"/>
          <w:lang w:val="sq-AL"/>
        </w:rPr>
        <w:t>Gjykata referuese</w:t>
      </w:r>
      <w:r w:rsidRPr="000473F9">
        <w:rPr>
          <w:rFonts w:ascii="Times New Roman" w:hAnsi="Times New Roman"/>
          <w:sz w:val="24"/>
          <w:szCs w:val="24"/>
          <w:lang w:val="sq-AL"/>
        </w:rPr>
        <w:t>, në mbështetje të kërkesës së saj për inicimin e kontrollit incidental të normës ligjore, ka parashtruar si vijon</w:t>
      </w:r>
      <w:r w:rsidR="00C31511" w:rsidRPr="000473F9">
        <w:rPr>
          <w:rFonts w:ascii="Times New Roman" w:hAnsi="Times New Roman"/>
          <w:sz w:val="24"/>
          <w:szCs w:val="24"/>
          <w:lang w:val="sq-AL"/>
        </w:rPr>
        <w:t>:</w:t>
      </w:r>
    </w:p>
    <w:p w:rsidR="00C31511" w:rsidRPr="000473F9" w:rsidRDefault="00C31511" w:rsidP="009B5EB3">
      <w:pPr>
        <w:pStyle w:val="ListParagraph"/>
        <w:numPr>
          <w:ilvl w:val="0"/>
          <w:numId w:val="2"/>
        </w:numPr>
        <w:tabs>
          <w:tab w:val="left" w:pos="1080"/>
        </w:tabs>
        <w:spacing w:after="0" w:line="360" w:lineRule="auto"/>
        <w:ind w:left="1170" w:hanging="450"/>
        <w:jc w:val="both"/>
        <w:rPr>
          <w:rFonts w:ascii="Times New Roman" w:hAnsi="Times New Roman"/>
          <w:sz w:val="24"/>
          <w:szCs w:val="24"/>
          <w:lang w:val="sq-AL"/>
        </w:rPr>
      </w:pPr>
      <w:r w:rsidRPr="000473F9">
        <w:rPr>
          <w:rFonts w:ascii="Times New Roman" w:hAnsi="Times New Roman"/>
          <w:sz w:val="24"/>
          <w:szCs w:val="24"/>
          <w:lang w:val="sq-AL"/>
        </w:rPr>
        <w:t xml:space="preserve">  Për sa i përket </w:t>
      </w:r>
      <w:r w:rsidRPr="000473F9">
        <w:rPr>
          <w:rFonts w:ascii="Times New Roman" w:hAnsi="Times New Roman"/>
          <w:i/>
          <w:sz w:val="24"/>
          <w:szCs w:val="24"/>
          <w:lang w:val="sq-AL"/>
        </w:rPr>
        <w:t>legjitimimit si gjykatë referuese</w:t>
      </w:r>
      <w:r w:rsidRPr="000473F9">
        <w:rPr>
          <w:rFonts w:ascii="Times New Roman" w:hAnsi="Times New Roman"/>
          <w:sz w:val="24"/>
          <w:szCs w:val="24"/>
          <w:lang w:val="sq-AL"/>
        </w:rPr>
        <w:t>, ajo përmbush kriteret e vendosura nga jurisprudenca kushtetuese në drejtim të identifikimit të ligjit ose normës që do të zbatohet në çështjen konkrete për shqyrtim para saj; parashtrimit të arsyeve serioze për antikushtetutshmërinë e dispozitës ligjore, referuar në normat ose parimet konkrete të Kushtetutës; lidhjes së drejtpërdrejtë mes ligjit të dyshuar si antikushtetues dhe zgjidhjes së çështjes konkrete; pamundësisë për të kryer interpretim pajtues të ligjit, pasi nuk ekziston asnjë dispozitë tjetër</w:t>
      </w:r>
      <w:r w:rsidR="005E2A17" w:rsidRPr="000473F9">
        <w:rPr>
          <w:rFonts w:ascii="Times New Roman" w:hAnsi="Times New Roman"/>
          <w:sz w:val="24"/>
          <w:szCs w:val="24"/>
          <w:lang w:val="sq-AL"/>
        </w:rPr>
        <w:t>,</w:t>
      </w:r>
      <w:r w:rsidRPr="000473F9">
        <w:rPr>
          <w:rFonts w:ascii="Times New Roman" w:hAnsi="Times New Roman"/>
          <w:sz w:val="24"/>
          <w:szCs w:val="24"/>
          <w:lang w:val="sq-AL"/>
        </w:rPr>
        <w:t xml:space="preserve"> e cila mund të zbatohet për çështjen objekt gjykimi</w:t>
      </w:r>
      <w:r w:rsidR="00CD6CEA" w:rsidRPr="000473F9">
        <w:rPr>
          <w:rFonts w:ascii="Times New Roman" w:hAnsi="Times New Roman"/>
          <w:sz w:val="24"/>
          <w:szCs w:val="24"/>
          <w:lang w:val="sq-AL"/>
        </w:rPr>
        <w:t xml:space="preserve"> dhe parashikimi ligjor i kundërshtuar nuk mund të interpretohet në më shumë se një mënyrë</w:t>
      </w:r>
      <w:r w:rsidRPr="000473F9">
        <w:rPr>
          <w:rFonts w:ascii="Times New Roman" w:hAnsi="Times New Roman"/>
          <w:sz w:val="24"/>
          <w:szCs w:val="24"/>
          <w:lang w:val="sq-AL"/>
        </w:rPr>
        <w:t>.</w:t>
      </w:r>
    </w:p>
    <w:p w:rsidR="002F4388" w:rsidRPr="000473F9" w:rsidRDefault="00C31511" w:rsidP="009B5EB3">
      <w:pPr>
        <w:pStyle w:val="ListParagraph"/>
        <w:numPr>
          <w:ilvl w:val="0"/>
          <w:numId w:val="2"/>
        </w:numPr>
        <w:tabs>
          <w:tab w:val="left" w:pos="1080"/>
        </w:tabs>
        <w:spacing w:after="0" w:line="360" w:lineRule="auto"/>
        <w:ind w:left="1170" w:hanging="450"/>
        <w:jc w:val="both"/>
        <w:rPr>
          <w:rFonts w:ascii="Times New Roman" w:hAnsi="Times New Roman"/>
          <w:sz w:val="24"/>
          <w:szCs w:val="24"/>
          <w:lang w:val="sq-AL"/>
        </w:rPr>
      </w:pPr>
      <w:r w:rsidRPr="000473F9">
        <w:rPr>
          <w:rFonts w:ascii="Times New Roman" w:hAnsi="Times New Roman"/>
          <w:sz w:val="24"/>
          <w:szCs w:val="24"/>
          <w:lang w:val="sq-AL"/>
        </w:rPr>
        <w:t xml:space="preserve"> </w:t>
      </w:r>
      <w:r w:rsidR="002F4388" w:rsidRPr="000473F9">
        <w:rPr>
          <w:rFonts w:ascii="Times New Roman" w:hAnsi="Times New Roman"/>
          <w:sz w:val="24"/>
          <w:szCs w:val="24"/>
          <w:lang w:val="sq-AL"/>
        </w:rPr>
        <w:t xml:space="preserve">Dispozita e kundërshtuar cenon </w:t>
      </w:r>
      <w:r w:rsidR="002F4388" w:rsidRPr="000473F9">
        <w:rPr>
          <w:rFonts w:ascii="Times New Roman" w:hAnsi="Times New Roman"/>
          <w:i/>
          <w:sz w:val="24"/>
          <w:szCs w:val="24"/>
          <w:lang w:val="sq-AL"/>
        </w:rPr>
        <w:t>parimin e gjykatës së caktuar me ligj</w:t>
      </w:r>
      <w:r w:rsidR="002F4388" w:rsidRPr="000473F9">
        <w:rPr>
          <w:rFonts w:ascii="Times New Roman" w:hAnsi="Times New Roman"/>
          <w:sz w:val="24"/>
          <w:szCs w:val="24"/>
          <w:lang w:val="sq-AL"/>
        </w:rPr>
        <w:t xml:space="preserve">, pasi </w:t>
      </w:r>
      <w:r w:rsidR="00135E58" w:rsidRPr="000473F9">
        <w:rPr>
          <w:rFonts w:ascii="Times New Roman" w:hAnsi="Times New Roman"/>
          <w:sz w:val="24"/>
          <w:szCs w:val="24"/>
          <w:lang w:val="sq-AL"/>
        </w:rPr>
        <w:t>ngusht</w:t>
      </w:r>
      <w:r w:rsidR="00C757D7" w:rsidRPr="000473F9">
        <w:rPr>
          <w:rFonts w:ascii="Times New Roman" w:hAnsi="Times New Roman"/>
          <w:sz w:val="24"/>
          <w:szCs w:val="24"/>
          <w:lang w:val="sq-AL"/>
        </w:rPr>
        <w:t>on kompetencën lëndore të</w:t>
      </w:r>
      <w:r w:rsidR="00135E58" w:rsidRPr="000473F9">
        <w:rPr>
          <w:rFonts w:ascii="Times New Roman" w:hAnsi="Times New Roman"/>
          <w:sz w:val="24"/>
          <w:szCs w:val="24"/>
          <w:lang w:val="sq-AL"/>
        </w:rPr>
        <w:t xml:space="preserve"> </w:t>
      </w:r>
      <w:r w:rsidR="004868F5" w:rsidRPr="000473F9">
        <w:rPr>
          <w:rFonts w:ascii="Times New Roman" w:hAnsi="Times New Roman"/>
          <w:sz w:val="24"/>
          <w:szCs w:val="24"/>
          <w:lang w:val="sq-AL"/>
        </w:rPr>
        <w:t>g</w:t>
      </w:r>
      <w:r w:rsidR="005F4270" w:rsidRPr="000473F9">
        <w:rPr>
          <w:rFonts w:ascii="Times New Roman" w:hAnsi="Times New Roman"/>
          <w:sz w:val="24"/>
          <w:szCs w:val="24"/>
          <w:lang w:val="sq-AL"/>
        </w:rPr>
        <w:t xml:space="preserve">jykatave të </w:t>
      </w:r>
      <w:r w:rsidR="004868F5" w:rsidRPr="000473F9">
        <w:rPr>
          <w:rFonts w:ascii="Times New Roman" w:hAnsi="Times New Roman"/>
          <w:sz w:val="24"/>
          <w:szCs w:val="24"/>
          <w:lang w:val="sq-AL"/>
        </w:rPr>
        <w:t>p</w:t>
      </w:r>
      <w:r w:rsidR="005F4270" w:rsidRPr="000473F9">
        <w:rPr>
          <w:rFonts w:ascii="Times New Roman" w:hAnsi="Times New Roman"/>
          <w:sz w:val="24"/>
          <w:szCs w:val="24"/>
          <w:lang w:val="sq-AL"/>
        </w:rPr>
        <w:t>osaçme</w:t>
      </w:r>
      <w:r w:rsidR="00135E58" w:rsidRPr="000473F9">
        <w:rPr>
          <w:rFonts w:ascii="Times New Roman" w:hAnsi="Times New Roman"/>
          <w:sz w:val="24"/>
          <w:szCs w:val="24"/>
          <w:lang w:val="sq-AL"/>
        </w:rPr>
        <w:t xml:space="preserve">, duke zgjeruar kompetencën e gjykatave të juridiksionit të zakonshëm, në </w:t>
      </w:r>
      <w:r w:rsidR="00C757D7" w:rsidRPr="000473F9">
        <w:rPr>
          <w:rFonts w:ascii="Times New Roman" w:hAnsi="Times New Roman"/>
          <w:sz w:val="24"/>
          <w:szCs w:val="24"/>
          <w:lang w:val="sq-AL"/>
        </w:rPr>
        <w:t>kundërshtim me</w:t>
      </w:r>
      <w:r w:rsidR="00135E58" w:rsidRPr="000473F9">
        <w:rPr>
          <w:rFonts w:ascii="Times New Roman" w:hAnsi="Times New Roman"/>
          <w:sz w:val="24"/>
          <w:szCs w:val="24"/>
          <w:lang w:val="sq-AL"/>
        </w:rPr>
        <w:t xml:space="preserve"> nenin 135, pika 2, të Kushtetutës. Kjo dispozitë përcakton kompetencën lëndore për gjykimin e çështjes nga gjykatat </w:t>
      </w:r>
      <w:r w:rsidR="00990FCC" w:rsidRPr="000473F9">
        <w:rPr>
          <w:rFonts w:ascii="Times New Roman" w:hAnsi="Times New Roman"/>
          <w:sz w:val="24"/>
          <w:szCs w:val="24"/>
          <w:lang w:val="sq-AL"/>
        </w:rPr>
        <w:t>e zakonshme, kompetencë e cila</w:t>
      </w:r>
      <w:r w:rsidR="00135E58" w:rsidRPr="000473F9">
        <w:rPr>
          <w:rFonts w:ascii="Times New Roman" w:hAnsi="Times New Roman"/>
          <w:sz w:val="24"/>
          <w:szCs w:val="24"/>
          <w:lang w:val="sq-AL"/>
        </w:rPr>
        <w:t xml:space="preserve"> sipas nenit 74 të </w:t>
      </w:r>
      <w:r w:rsidR="00990FCC" w:rsidRPr="000473F9">
        <w:rPr>
          <w:rFonts w:ascii="Times New Roman" w:hAnsi="Times New Roman"/>
          <w:sz w:val="24"/>
          <w:szCs w:val="24"/>
          <w:lang w:val="sq-AL"/>
        </w:rPr>
        <w:t>KPP-së</w:t>
      </w:r>
      <w:r w:rsidR="00135E58" w:rsidRPr="000473F9">
        <w:rPr>
          <w:rFonts w:ascii="Times New Roman" w:hAnsi="Times New Roman"/>
          <w:sz w:val="24"/>
          <w:szCs w:val="24"/>
          <w:lang w:val="sq-AL"/>
        </w:rPr>
        <w:t xml:space="preserve"> është </w:t>
      </w:r>
      <w:r w:rsidR="00135E58" w:rsidRPr="000473F9">
        <w:rPr>
          <w:rFonts w:ascii="Times New Roman" w:hAnsi="Times New Roman"/>
          <w:sz w:val="24"/>
          <w:szCs w:val="24"/>
          <w:lang w:val="sq-AL"/>
        </w:rPr>
        <w:lastRenderedPageBreak/>
        <w:t>mbetëse e asaj të caktuar posaçërisht gjykatave të posaçme sipas nenit 135, pika 2, të Kushtetutës dhe nenit 75/a të KPP-së. Kompetenca lëndore e gjykatave të posaçme që gjykojnë veprat penale të korrupsionit dhe krimit të organizuar është rregulluar drejtpërsëdrejti nga Kushtetuta, e cila nuk ka deleguar mundësinë e rregullimit të saj me ligj. Në referim të dispozitës së kundërshtuar, gjykatat e posaçme do të shqyrtojnë vetëm veprat penale të parashikuara në paragrafin e dytë të nenit 244 të KP-së, ndërsa gjykatat e juridiksionit të zakonshëm krimet e parashikuara në paragrafin 1 të këtij neni</w:t>
      </w:r>
      <w:r w:rsidR="002F4388" w:rsidRPr="000473F9">
        <w:rPr>
          <w:rFonts w:ascii="Times New Roman" w:hAnsi="Times New Roman"/>
          <w:sz w:val="24"/>
          <w:szCs w:val="24"/>
          <w:lang w:val="sq-AL"/>
        </w:rPr>
        <w:t xml:space="preserve">. </w:t>
      </w:r>
    </w:p>
    <w:p w:rsidR="00154F20" w:rsidRPr="000473F9" w:rsidRDefault="002F4388" w:rsidP="009B5EB3">
      <w:pPr>
        <w:pStyle w:val="ListParagraph"/>
        <w:numPr>
          <w:ilvl w:val="0"/>
          <w:numId w:val="2"/>
        </w:numPr>
        <w:tabs>
          <w:tab w:val="left" w:pos="1080"/>
        </w:tabs>
        <w:spacing w:after="0" w:line="360" w:lineRule="auto"/>
        <w:ind w:left="1170" w:hanging="450"/>
        <w:jc w:val="both"/>
        <w:rPr>
          <w:rFonts w:ascii="Times New Roman" w:hAnsi="Times New Roman"/>
          <w:sz w:val="24"/>
          <w:szCs w:val="24"/>
          <w:lang w:val="sq-AL"/>
        </w:rPr>
      </w:pPr>
      <w:r w:rsidRPr="000473F9">
        <w:rPr>
          <w:rFonts w:ascii="Times New Roman" w:hAnsi="Times New Roman"/>
          <w:sz w:val="24"/>
          <w:szCs w:val="24"/>
          <w:lang w:val="sq-AL"/>
        </w:rPr>
        <w:t xml:space="preserve"> </w:t>
      </w:r>
      <w:r w:rsidR="00154F20" w:rsidRPr="000473F9">
        <w:rPr>
          <w:rFonts w:ascii="Times New Roman" w:hAnsi="Times New Roman"/>
          <w:sz w:val="24"/>
          <w:szCs w:val="24"/>
          <w:lang w:val="sq-AL"/>
        </w:rPr>
        <w:t xml:space="preserve">Dispozita e kundërshtuar cenon </w:t>
      </w:r>
      <w:r w:rsidR="000C00C9" w:rsidRPr="000473F9">
        <w:rPr>
          <w:rFonts w:ascii="Times New Roman" w:hAnsi="Times New Roman"/>
          <w:i/>
          <w:sz w:val="24"/>
          <w:szCs w:val="24"/>
          <w:lang w:val="sq-AL"/>
        </w:rPr>
        <w:t>parimin e hierarkisë së normave</w:t>
      </w:r>
      <w:r w:rsidR="00B04D2D" w:rsidRPr="000473F9">
        <w:rPr>
          <w:rFonts w:ascii="Times New Roman" w:hAnsi="Times New Roman"/>
          <w:sz w:val="24"/>
          <w:szCs w:val="24"/>
          <w:lang w:val="sq-AL"/>
        </w:rPr>
        <w:t xml:space="preserve">, pasi </w:t>
      </w:r>
      <w:r w:rsidR="00C3415A" w:rsidRPr="000473F9">
        <w:rPr>
          <w:rFonts w:ascii="Times New Roman" w:hAnsi="Times New Roman"/>
          <w:sz w:val="24"/>
          <w:szCs w:val="24"/>
          <w:lang w:val="sq-AL"/>
        </w:rPr>
        <w:t>atë që nuk ka dashur ta bëjë Kushtetuta</w:t>
      </w:r>
      <w:r w:rsidR="003A1BD9" w:rsidRPr="000473F9">
        <w:rPr>
          <w:rFonts w:ascii="Times New Roman" w:hAnsi="Times New Roman"/>
          <w:sz w:val="24"/>
          <w:szCs w:val="24"/>
          <w:lang w:val="sq-AL"/>
        </w:rPr>
        <w:t>,</w:t>
      </w:r>
      <w:r w:rsidR="00C3415A" w:rsidRPr="000473F9">
        <w:rPr>
          <w:rFonts w:ascii="Times New Roman" w:hAnsi="Times New Roman"/>
          <w:sz w:val="24"/>
          <w:szCs w:val="24"/>
          <w:lang w:val="sq-AL"/>
        </w:rPr>
        <w:t xml:space="preserve"> nuk mund ta bëjë ligji. </w:t>
      </w:r>
      <w:r w:rsidR="00143BBE" w:rsidRPr="000473F9">
        <w:rPr>
          <w:rFonts w:ascii="Times New Roman" w:hAnsi="Times New Roman"/>
          <w:sz w:val="24"/>
          <w:szCs w:val="24"/>
          <w:lang w:val="sq-AL"/>
        </w:rPr>
        <w:t xml:space="preserve">Përmbajtja e </w:t>
      </w:r>
      <w:r w:rsidR="00206AB4" w:rsidRPr="000473F9">
        <w:rPr>
          <w:rFonts w:ascii="Times New Roman" w:hAnsi="Times New Roman"/>
          <w:sz w:val="24"/>
          <w:szCs w:val="24"/>
          <w:lang w:val="sq-AL"/>
        </w:rPr>
        <w:t>pikës 2 të nenit 135</w:t>
      </w:r>
      <w:r w:rsidR="00143BBE" w:rsidRPr="000473F9">
        <w:rPr>
          <w:rFonts w:ascii="Times New Roman" w:hAnsi="Times New Roman"/>
          <w:sz w:val="24"/>
          <w:szCs w:val="24"/>
          <w:lang w:val="sq-AL"/>
        </w:rPr>
        <w:t xml:space="preserve"> të Kushtetutës, që përcakton gjykatat e posaçme si gjykata kompetente për gjykimin e veprave penale të korrupsionit, nuk mund të mënjanohet ose të tejkalohet, duke u dhënë përparësi akteve juridike që dalin në bazë dhe për zbatim të </w:t>
      </w:r>
      <w:r w:rsidR="00206AB4" w:rsidRPr="000473F9">
        <w:rPr>
          <w:rFonts w:ascii="Times New Roman" w:hAnsi="Times New Roman"/>
          <w:sz w:val="24"/>
          <w:szCs w:val="24"/>
          <w:lang w:val="sq-AL"/>
        </w:rPr>
        <w:t>saj</w:t>
      </w:r>
      <w:r w:rsidR="00143BBE" w:rsidRPr="000473F9">
        <w:rPr>
          <w:rFonts w:ascii="Times New Roman" w:hAnsi="Times New Roman"/>
          <w:sz w:val="24"/>
          <w:szCs w:val="24"/>
          <w:lang w:val="sq-AL"/>
        </w:rPr>
        <w:t xml:space="preserve">, konkretisht parashikimeve të ligjit nr. 41/2021. </w:t>
      </w:r>
    </w:p>
    <w:p w:rsidR="00E47ED8" w:rsidRPr="000473F9" w:rsidRDefault="00B04D2D" w:rsidP="009B5EB3">
      <w:pPr>
        <w:pStyle w:val="ListParagraph"/>
        <w:numPr>
          <w:ilvl w:val="0"/>
          <w:numId w:val="2"/>
        </w:numPr>
        <w:tabs>
          <w:tab w:val="left" w:pos="1080"/>
        </w:tabs>
        <w:spacing w:after="0" w:line="360" w:lineRule="auto"/>
        <w:ind w:left="1170" w:hanging="450"/>
        <w:jc w:val="both"/>
        <w:rPr>
          <w:rFonts w:ascii="Times New Roman" w:hAnsi="Times New Roman"/>
          <w:sz w:val="24"/>
          <w:szCs w:val="24"/>
          <w:lang w:val="sq-AL"/>
        </w:rPr>
      </w:pPr>
      <w:r w:rsidRPr="000473F9">
        <w:rPr>
          <w:rFonts w:ascii="Times New Roman" w:hAnsi="Times New Roman"/>
          <w:sz w:val="24"/>
          <w:szCs w:val="24"/>
          <w:lang w:val="sq-AL"/>
        </w:rPr>
        <w:t xml:space="preserve"> </w:t>
      </w:r>
      <w:r w:rsidR="00C3415A" w:rsidRPr="000473F9">
        <w:rPr>
          <w:rFonts w:ascii="Times New Roman" w:hAnsi="Times New Roman"/>
          <w:sz w:val="24"/>
          <w:szCs w:val="24"/>
          <w:lang w:val="sq-AL"/>
        </w:rPr>
        <w:t>Dispozita e kundërshtuar cenon p</w:t>
      </w:r>
      <w:r w:rsidRPr="000473F9">
        <w:rPr>
          <w:rFonts w:ascii="Times New Roman" w:hAnsi="Times New Roman"/>
          <w:sz w:val="24"/>
          <w:szCs w:val="24"/>
          <w:lang w:val="sq-AL"/>
        </w:rPr>
        <w:t xml:space="preserve">arimin e </w:t>
      </w:r>
      <w:r w:rsidRPr="000473F9">
        <w:rPr>
          <w:rFonts w:ascii="Times New Roman" w:hAnsi="Times New Roman"/>
          <w:i/>
          <w:sz w:val="24"/>
          <w:szCs w:val="24"/>
          <w:lang w:val="sq-AL"/>
        </w:rPr>
        <w:t>ndarjes dhe balancimit të pushteteve</w:t>
      </w:r>
      <w:r w:rsidRPr="000473F9">
        <w:rPr>
          <w:rFonts w:ascii="Times New Roman" w:hAnsi="Times New Roman"/>
          <w:sz w:val="24"/>
          <w:szCs w:val="24"/>
          <w:lang w:val="sq-AL"/>
        </w:rPr>
        <w:t xml:space="preserve">, për sa i përket shpërndarjes së kompetencës legjislative, si dhe </w:t>
      </w:r>
      <w:r w:rsidR="001F7278" w:rsidRPr="000473F9">
        <w:rPr>
          <w:rFonts w:ascii="Times New Roman" w:hAnsi="Times New Roman"/>
          <w:sz w:val="24"/>
          <w:szCs w:val="24"/>
          <w:lang w:val="sq-AL"/>
        </w:rPr>
        <w:t xml:space="preserve">parimin e </w:t>
      </w:r>
      <w:r w:rsidRPr="000473F9">
        <w:rPr>
          <w:rFonts w:ascii="Times New Roman" w:hAnsi="Times New Roman"/>
          <w:i/>
          <w:sz w:val="24"/>
          <w:szCs w:val="24"/>
          <w:lang w:val="sq-AL"/>
        </w:rPr>
        <w:t>siguri</w:t>
      </w:r>
      <w:r w:rsidR="001F7278" w:rsidRPr="000473F9">
        <w:rPr>
          <w:rFonts w:ascii="Times New Roman" w:hAnsi="Times New Roman"/>
          <w:i/>
          <w:sz w:val="24"/>
          <w:szCs w:val="24"/>
          <w:lang w:val="sq-AL"/>
        </w:rPr>
        <w:t>s</w:t>
      </w:r>
      <w:r w:rsidRPr="000473F9">
        <w:rPr>
          <w:rFonts w:ascii="Times New Roman" w:hAnsi="Times New Roman"/>
          <w:i/>
          <w:sz w:val="24"/>
          <w:szCs w:val="24"/>
          <w:lang w:val="sq-AL"/>
        </w:rPr>
        <w:t>ë juridike</w:t>
      </w:r>
      <w:r w:rsidRPr="000473F9">
        <w:rPr>
          <w:rFonts w:ascii="Times New Roman" w:hAnsi="Times New Roman"/>
          <w:sz w:val="24"/>
          <w:szCs w:val="24"/>
          <w:lang w:val="sq-AL"/>
        </w:rPr>
        <w:t>, si element</w:t>
      </w:r>
      <w:r w:rsidR="005212E0" w:rsidRPr="000473F9">
        <w:rPr>
          <w:rFonts w:ascii="Times New Roman" w:hAnsi="Times New Roman"/>
          <w:sz w:val="24"/>
          <w:szCs w:val="24"/>
          <w:lang w:val="sq-AL"/>
        </w:rPr>
        <w:t>e</w:t>
      </w:r>
      <w:r w:rsidRPr="000473F9">
        <w:rPr>
          <w:rFonts w:ascii="Times New Roman" w:hAnsi="Times New Roman"/>
          <w:sz w:val="24"/>
          <w:szCs w:val="24"/>
          <w:lang w:val="sq-AL"/>
        </w:rPr>
        <w:t xml:space="preserve"> të shtetit të së drejtës,</w:t>
      </w:r>
      <w:r w:rsidR="00C10D70" w:rsidRPr="000473F9">
        <w:rPr>
          <w:rFonts w:ascii="Times New Roman" w:hAnsi="Times New Roman"/>
          <w:sz w:val="24"/>
          <w:szCs w:val="24"/>
          <w:lang w:val="sq-AL"/>
        </w:rPr>
        <w:t xml:space="preserve"> pasi dispozita e kundërshtuar ngushton </w:t>
      </w:r>
      <w:r w:rsidR="00DC78A9" w:rsidRPr="000473F9">
        <w:rPr>
          <w:rFonts w:ascii="Times New Roman" w:hAnsi="Times New Roman"/>
          <w:sz w:val="24"/>
          <w:szCs w:val="24"/>
          <w:lang w:val="sq-AL"/>
        </w:rPr>
        <w:t>kompetencën</w:t>
      </w:r>
      <w:r w:rsidR="00C10D70" w:rsidRPr="000473F9">
        <w:rPr>
          <w:rFonts w:ascii="Times New Roman" w:hAnsi="Times New Roman"/>
          <w:sz w:val="24"/>
          <w:szCs w:val="24"/>
          <w:lang w:val="sq-AL"/>
        </w:rPr>
        <w:t xml:space="preserve"> lëndore </w:t>
      </w:r>
      <w:r w:rsidR="00DC78A9" w:rsidRPr="000473F9">
        <w:rPr>
          <w:rFonts w:ascii="Times New Roman" w:hAnsi="Times New Roman"/>
          <w:sz w:val="24"/>
          <w:szCs w:val="24"/>
          <w:lang w:val="sq-AL"/>
        </w:rPr>
        <w:t>të</w:t>
      </w:r>
      <w:r w:rsidR="00C10D70" w:rsidRPr="000473F9">
        <w:rPr>
          <w:rFonts w:ascii="Times New Roman" w:hAnsi="Times New Roman"/>
          <w:sz w:val="24"/>
          <w:szCs w:val="24"/>
          <w:lang w:val="sq-AL"/>
        </w:rPr>
        <w:t xml:space="preserve"> gjykatave të posaçme, duke zgjeruar kompetencën e gjykatave të juridiksionit të zakonshëm, në tejkalim të rregullimit kushtetues të parashikuar në nenin 135, pika 2, të Kushtetutës, sipas të cilit veprat penale të korrupsionit gjykohen nga gjykatat e posaçme.</w:t>
      </w:r>
    </w:p>
    <w:p w:rsidR="009076C6" w:rsidRPr="000473F9" w:rsidRDefault="009076C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
          <w:i/>
          <w:sz w:val="24"/>
          <w:szCs w:val="24"/>
          <w:lang w:val="sq-AL"/>
        </w:rPr>
        <w:t>Subjekti i interesuar, Kuvendi,</w:t>
      </w:r>
      <w:r w:rsidRPr="000473F9">
        <w:rPr>
          <w:rFonts w:ascii="Times New Roman" w:hAnsi="Times New Roman"/>
          <w:sz w:val="24"/>
          <w:szCs w:val="24"/>
          <w:lang w:val="sq-AL"/>
        </w:rPr>
        <w:t xml:space="preserve"> </w:t>
      </w:r>
      <w:r w:rsidR="008C00B7" w:rsidRPr="000473F9">
        <w:rPr>
          <w:rFonts w:ascii="Times New Roman" w:hAnsi="Times New Roman"/>
          <w:sz w:val="24"/>
          <w:szCs w:val="24"/>
          <w:lang w:val="sq-AL"/>
        </w:rPr>
        <w:t>ka parashtruar, në mënyrë të përmbledhur, si vijon:</w:t>
      </w:r>
    </w:p>
    <w:p w:rsidR="008C00B7" w:rsidRPr="000473F9" w:rsidRDefault="008C00B7" w:rsidP="009B5EB3">
      <w:pPr>
        <w:pStyle w:val="ListParagraph"/>
        <w:numPr>
          <w:ilvl w:val="0"/>
          <w:numId w:val="8"/>
        </w:numPr>
        <w:tabs>
          <w:tab w:val="left" w:pos="153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Gjykata referuese nuk përmbush kriteret e legjitimimit për inicimin e kontrollit kushtetues të dispozitës, pasi nuk ka arritur të analizojë dhe vërtetojë lidhjen e drejtpërdrejtë të </w:t>
      </w:r>
      <w:r w:rsidR="00CF2BFC" w:rsidRPr="000473F9">
        <w:rPr>
          <w:rFonts w:ascii="Times New Roman" w:hAnsi="Times New Roman"/>
          <w:sz w:val="24"/>
          <w:szCs w:val="24"/>
          <w:lang w:val="sq-AL"/>
        </w:rPr>
        <w:t>saj</w:t>
      </w:r>
      <w:r w:rsidRPr="000473F9">
        <w:rPr>
          <w:rFonts w:ascii="Times New Roman" w:hAnsi="Times New Roman"/>
          <w:sz w:val="24"/>
          <w:szCs w:val="24"/>
          <w:lang w:val="sq-AL"/>
        </w:rPr>
        <w:t xml:space="preserve"> me zgjidhjen e çështjes konkrete. Dispozita e kundërshtuar parashikon kompetencën lëndore të </w:t>
      </w:r>
      <w:r w:rsidR="00D72DA8" w:rsidRPr="000473F9">
        <w:rPr>
          <w:rFonts w:ascii="Times New Roman" w:hAnsi="Times New Roman"/>
          <w:sz w:val="24"/>
          <w:szCs w:val="24"/>
          <w:lang w:val="sq-AL"/>
        </w:rPr>
        <w:t>G</w:t>
      </w:r>
      <w:r w:rsidRPr="000473F9">
        <w:rPr>
          <w:rFonts w:ascii="Times New Roman" w:hAnsi="Times New Roman"/>
          <w:sz w:val="24"/>
          <w:szCs w:val="24"/>
          <w:lang w:val="sq-AL"/>
        </w:rPr>
        <w:t xml:space="preserve">jykatës së </w:t>
      </w:r>
      <w:r w:rsidR="00D72DA8" w:rsidRPr="000473F9">
        <w:rPr>
          <w:rFonts w:ascii="Times New Roman" w:hAnsi="Times New Roman"/>
          <w:sz w:val="24"/>
          <w:szCs w:val="24"/>
          <w:lang w:val="sq-AL"/>
        </w:rPr>
        <w:t>P</w:t>
      </w:r>
      <w:r w:rsidRPr="000473F9">
        <w:rPr>
          <w:rFonts w:ascii="Times New Roman" w:hAnsi="Times New Roman"/>
          <w:sz w:val="24"/>
          <w:szCs w:val="24"/>
          <w:lang w:val="sq-AL"/>
        </w:rPr>
        <w:t>osaçme, për rrjedhojë kompetente për ushtrimin e kontrollit kushtetues të normës në kuptim të nenit 145, pika 2, të Kushtetutës</w:t>
      </w:r>
      <w:r w:rsidR="00BD67EF" w:rsidRPr="000473F9">
        <w:rPr>
          <w:rFonts w:ascii="Times New Roman" w:hAnsi="Times New Roman"/>
          <w:sz w:val="24"/>
          <w:szCs w:val="24"/>
          <w:lang w:val="sq-AL"/>
        </w:rPr>
        <w:t>,</w:t>
      </w:r>
      <w:r w:rsidRPr="000473F9">
        <w:rPr>
          <w:rFonts w:ascii="Times New Roman" w:hAnsi="Times New Roman"/>
          <w:sz w:val="24"/>
          <w:szCs w:val="24"/>
          <w:lang w:val="sq-AL"/>
        </w:rPr>
        <w:t xml:space="preserve"> do të ishte ajo gjykatë.</w:t>
      </w:r>
      <w:r w:rsidR="00F04ECA" w:rsidRPr="000473F9">
        <w:rPr>
          <w:rFonts w:ascii="Times New Roman" w:hAnsi="Times New Roman"/>
          <w:sz w:val="24"/>
          <w:szCs w:val="24"/>
          <w:lang w:val="sq-AL"/>
        </w:rPr>
        <w:t xml:space="preserve"> Po kë</w:t>
      </w:r>
      <w:r w:rsidR="00DE61DE" w:rsidRPr="000473F9">
        <w:rPr>
          <w:rFonts w:ascii="Times New Roman" w:hAnsi="Times New Roman"/>
          <w:sz w:val="24"/>
          <w:szCs w:val="24"/>
          <w:lang w:val="sq-AL"/>
        </w:rPr>
        <w:t>shtu</w:t>
      </w:r>
      <w:r w:rsidR="00341504" w:rsidRPr="000473F9">
        <w:rPr>
          <w:rFonts w:ascii="Times New Roman" w:hAnsi="Times New Roman"/>
          <w:sz w:val="24"/>
          <w:szCs w:val="24"/>
          <w:lang w:val="sq-AL"/>
        </w:rPr>
        <w:t>,</w:t>
      </w:r>
      <w:r w:rsidR="00DE61DE" w:rsidRPr="000473F9">
        <w:rPr>
          <w:rFonts w:ascii="Times New Roman" w:hAnsi="Times New Roman"/>
          <w:sz w:val="24"/>
          <w:szCs w:val="24"/>
          <w:lang w:val="sq-AL"/>
        </w:rPr>
        <w:t xml:space="preserve"> kjo gjykatë </w:t>
      </w:r>
      <w:r w:rsidRPr="000473F9">
        <w:rPr>
          <w:rFonts w:ascii="Times New Roman" w:hAnsi="Times New Roman"/>
          <w:sz w:val="24"/>
          <w:szCs w:val="24"/>
          <w:lang w:val="sq-AL"/>
        </w:rPr>
        <w:t>nuk ka parashtruar arsye serioze për antikushtetutshmëri</w:t>
      </w:r>
      <w:r w:rsidR="00DE61DE" w:rsidRPr="000473F9">
        <w:rPr>
          <w:rFonts w:ascii="Times New Roman" w:hAnsi="Times New Roman"/>
          <w:sz w:val="24"/>
          <w:szCs w:val="24"/>
          <w:lang w:val="sq-AL"/>
        </w:rPr>
        <w:t>në e dispozitës së kundërshtuar.</w:t>
      </w:r>
      <w:r w:rsidRPr="000473F9">
        <w:rPr>
          <w:rFonts w:ascii="Times New Roman" w:hAnsi="Times New Roman"/>
          <w:sz w:val="24"/>
          <w:szCs w:val="24"/>
          <w:lang w:val="sq-AL"/>
        </w:rPr>
        <w:t xml:space="preserve"> </w:t>
      </w:r>
      <w:r w:rsidR="00DE61DE" w:rsidRPr="000473F9">
        <w:rPr>
          <w:rFonts w:ascii="Times New Roman" w:hAnsi="Times New Roman"/>
          <w:sz w:val="24"/>
          <w:szCs w:val="24"/>
          <w:lang w:val="sq-AL"/>
        </w:rPr>
        <w:t xml:space="preserve"> </w:t>
      </w:r>
    </w:p>
    <w:p w:rsidR="008C00B7" w:rsidRPr="000473F9" w:rsidRDefault="008C00B7" w:rsidP="009B5EB3">
      <w:pPr>
        <w:pStyle w:val="ListParagraph"/>
        <w:numPr>
          <w:ilvl w:val="0"/>
          <w:numId w:val="8"/>
        </w:numPr>
        <w:tabs>
          <w:tab w:val="left" w:pos="153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Rregullimi kushtetues i nenit 135, pika 2, të Kushtetutës nuk mund të zbatohet në mënyrë të drejtpërdrejtë. Ai nuk është i plotë dhe shterues, pasi nuk përmban element</w:t>
      </w:r>
      <w:r w:rsidR="00074BCD" w:rsidRPr="000473F9">
        <w:rPr>
          <w:rFonts w:ascii="Times New Roman" w:hAnsi="Times New Roman"/>
          <w:sz w:val="24"/>
          <w:szCs w:val="24"/>
          <w:lang w:val="sq-AL"/>
        </w:rPr>
        <w:t>et e domosdosh</w:t>
      </w:r>
      <w:r w:rsidRPr="000473F9">
        <w:rPr>
          <w:rFonts w:ascii="Times New Roman" w:hAnsi="Times New Roman"/>
          <w:sz w:val="24"/>
          <w:szCs w:val="24"/>
          <w:lang w:val="sq-AL"/>
        </w:rPr>
        <w:t>m</w:t>
      </w:r>
      <w:r w:rsidR="00074BCD" w:rsidRPr="000473F9">
        <w:rPr>
          <w:rFonts w:ascii="Times New Roman" w:hAnsi="Times New Roman"/>
          <w:sz w:val="24"/>
          <w:szCs w:val="24"/>
          <w:lang w:val="sq-AL"/>
        </w:rPr>
        <w:t>e</w:t>
      </w:r>
      <w:r w:rsidRPr="000473F9">
        <w:rPr>
          <w:rFonts w:ascii="Times New Roman" w:hAnsi="Times New Roman"/>
          <w:sz w:val="24"/>
          <w:szCs w:val="24"/>
          <w:lang w:val="sq-AL"/>
        </w:rPr>
        <w:t xml:space="preserve"> që lidhen me ushtrimin efektiv dhe real të kompetencës lëndore nga gjykatat e posaçme. </w:t>
      </w:r>
      <w:r w:rsidR="0073656C" w:rsidRPr="000473F9">
        <w:rPr>
          <w:rFonts w:ascii="Times New Roman" w:hAnsi="Times New Roman"/>
          <w:sz w:val="24"/>
          <w:szCs w:val="24"/>
          <w:lang w:val="sq-AL"/>
        </w:rPr>
        <w:t xml:space="preserve">Ky nen përbën një dispozitë me karakter lejues, pasi ndërkohë që përcakton kompetencën lëndore të gjykatave të posaçme, nuk parashikon asnjë ndalim që gjykatat e juridiksionit të zakonshëm të gjykojnë </w:t>
      </w:r>
      <w:r w:rsidR="0073656C" w:rsidRPr="000473F9">
        <w:rPr>
          <w:rFonts w:ascii="Times New Roman" w:hAnsi="Times New Roman"/>
          <w:sz w:val="24"/>
          <w:szCs w:val="24"/>
          <w:lang w:val="sq-AL"/>
        </w:rPr>
        <w:lastRenderedPageBreak/>
        <w:t xml:space="preserve">veprat penale që lidhen me korrupsionin dhe krimin e organizuar. </w:t>
      </w:r>
      <w:r w:rsidRPr="000473F9">
        <w:rPr>
          <w:rFonts w:ascii="Times New Roman" w:hAnsi="Times New Roman"/>
          <w:sz w:val="24"/>
          <w:szCs w:val="24"/>
          <w:lang w:val="sq-AL"/>
        </w:rPr>
        <w:t>Kushtetut</w:t>
      </w:r>
      <w:r w:rsidR="00165692" w:rsidRPr="000473F9">
        <w:rPr>
          <w:rFonts w:ascii="Times New Roman" w:hAnsi="Times New Roman"/>
          <w:sz w:val="24"/>
          <w:szCs w:val="24"/>
          <w:lang w:val="sq-AL"/>
        </w:rPr>
        <w:t>ë</w:t>
      </w:r>
      <w:r w:rsidRPr="000473F9">
        <w:rPr>
          <w:rFonts w:ascii="Times New Roman" w:hAnsi="Times New Roman"/>
          <w:sz w:val="24"/>
          <w:szCs w:val="24"/>
          <w:lang w:val="sq-AL"/>
        </w:rPr>
        <w:t xml:space="preserve">bërësi nuk ka përcaktuar në mënyrë shteruese veprat penale kundër korrupsionit dhe krimit të organizuar që do të jenë në kompetencën e </w:t>
      </w:r>
      <w:r w:rsidR="00D72DA8" w:rsidRPr="000473F9">
        <w:rPr>
          <w:rFonts w:ascii="Times New Roman" w:hAnsi="Times New Roman"/>
          <w:sz w:val="24"/>
          <w:szCs w:val="24"/>
          <w:lang w:val="sq-AL"/>
        </w:rPr>
        <w:t>Gjykatës së P</w:t>
      </w:r>
      <w:r w:rsidRPr="000473F9">
        <w:rPr>
          <w:rFonts w:ascii="Times New Roman" w:hAnsi="Times New Roman"/>
          <w:sz w:val="24"/>
          <w:szCs w:val="24"/>
          <w:lang w:val="sq-AL"/>
        </w:rPr>
        <w:t xml:space="preserve">osaçme. </w:t>
      </w:r>
    </w:p>
    <w:p w:rsidR="00913DF5" w:rsidRPr="000473F9" w:rsidRDefault="0073656C" w:rsidP="009B5EB3">
      <w:pPr>
        <w:pStyle w:val="ListParagraph"/>
        <w:numPr>
          <w:ilvl w:val="0"/>
          <w:numId w:val="8"/>
        </w:numPr>
        <w:tabs>
          <w:tab w:val="left" w:pos="153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Ndryshimet në nenin 75/a të KPP-së kanë ardhur paralelisht me ndryshimet në nenin 244 të KP-së. Ligjvënësi ka ushtruar pushtetin dhe diskrecionin e tij për krijimin e një mekanizmi efikas të hetimit </w:t>
      </w:r>
      <w:r w:rsidR="0070725C" w:rsidRPr="000473F9">
        <w:rPr>
          <w:rFonts w:ascii="Times New Roman" w:hAnsi="Times New Roman"/>
          <w:sz w:val="24"/>
          <w:szCs w:val="24"/>
          <w:lang w:val="sq-AL"/>
        </w:rPr>
        <w:t>(përmes SPAK</w:t>
      </w:r>
      <w:r w:rsidR="00366040" w:rsidRPr="000473F9">
        <w:rPr>
          <w:rFonts w:ascii="Times New Roman" w:hAnsi="Times New Roman"/>
          <w:sz w:val="24"/>
          <w:szCs w:val="24"/>
          <w:lang w:val="sq-AL"/>
        </w:rPr>
        <w:t>-ut</w:t>
      </w:r>
      <w:r w:rsidR="0070725C" w:rsidRPr="000473F9">
        <w:rPr>
          <w:rFonts w:ascii="Times New Roman" w:hAnsi="Times New Roman"/>
          <w:sz w:val="24"/>
          <w:szCs w:val="24"/>
          <w:lang w:val="sq-AL"/>
        </w:rPr>
        <w:t xml:space="preserve">) </w:t>
      </w:r>
      <w:r w:rsidRPr="000473F9">
        <w:rPr>
          <w:rFonts w:ascii="Times New Roman" w:hAnsi="Times New Roman"/>
          <w:sz w:val="24"/>
          <w:szCs w:val="24"/>
          <w:lang w:val="sq-AL"/>
        </w:rPr>
        <w:t xml:space="preserve">dhe gjykimit penal </w:t>
      </w:r>
      <w:r w:rsidR="0070725C" w:rsidRPr="000473F9">
        <w:rPr>
          <w:rFonts w:ascii="Times New Roman" w:hAnsi="Times New Roman"/>
          <w:sz w:val="24"/>
          <w:szCs w:val="24"/>
          <w:lang w:val="sq-AL"/>
        </w:rPr>
        <w:t xml:space="preserve">(përmes </w:t>
      </w:r>
      <w:r w:rsidR="00D72DA8" w:rsidRPr="000473F9">
        <w:rPr>
          <w:rFonts w:ascii="Times New Roman" w:hAnsi="Times New Roman"/>
          <w:sz w:val="24"/>
          <w:szCs w:val="24"/>
          <w:lang w:val="sq-AL"/>
        </w:rPr>
        <w:t>G</w:t>
      </w:r>
      <w:r w:rsidR="0070725C" w:rsidRPr="000473F9">
        <w:rPr>
          <w:rFonts w:ascii="Times New Roman" w:hAnsi="Times New Roman"/>
          <w:sz w:val="24"/>
          <w:szCs w:val="24"/>
          <w:lang w:val="sq-AL"/>
        </w:rPr>
        <w:t xml:space="preserve">jykatës së </w:t>
      </w:r>
      <w:r w:rsidR="00D72DA8" w:rsidRPr="000473F9">
        <w:rPr>
          <w:rFonts w:ascii="Times New Roman" w:hAnsi="Times New Roman"/>
          <w:sz w:val="24"/>
          <w:szCs w:val="24"/>
          <w:lang w:val="sq-AL"/>
        </w:rPr>
        <w:t>P</w:t>
      </w:r>
      <w:r w:rsidR="0070725C" w:rsidRPr="000473F9">
        <w:rPr>
          <w:rFonts w:ascii="Times New Roman" w:hAnsi="Times New Roman"/>
          <w:sz w:val="24"/>
          <w:szCs w:val="24"/>
          <w:lang w:val="sq-AL"/>
        </w:rPr>
        <w:t xml:space="preserve">osaçme) </w:t>
      </w:r>
      <w:r w:rsidRPr="000473F9">
        <w:rPr>
          <w:rFonts w:ascii="Times New Roman" w:hAnsi="Times New Roman"/>
          <w:sz w:val="24"/>
          <w:szCs w:val="24"/>
          <w:lang w:val="sq-AL"/>
        </w:rPr>
        <w:t>për të goditur veprimtarinë kriminale në nivele të larta</w:t>
      </w:r>
      <w:r w:rsidR="0070725C" w:rsidRPr="000473F9">
        <w:rPr>
          <w:rFonts w:ascii="Times New Roman" w:hAnsi="Times New Roman"/>
          <w:sz w:val="24"/>
          <w:szCs w:val="24"/>
          <w:lang w:val="sq-AL"/>
        </w:rPr>
        <w:t xml:space="preserve">, duke </w:t>
      </w:r>
      <w:r w:rsidR="00366040" w:rsidRPr="000473F9">
        <w:rPr>
          <w:rFonts w:ascii="Times New Roman" w:hAnsi="Times New Roman"/>
          <w:sz w:val="24"/>
          <w:szCs w:val="24"/>
          <w:lang w:val="sq-AL"/>
        </w:rPr>
        <w:t xml:space="preserve">e </w:t>
      </w:r>
      <w:r w:rsidR="0070725C" w:rsidRPr="000473F9">
        <w:rPr>
          <w:rFonts w:ascii="Times New Roman" w:hAnsi="Times New Roman"/>
          <w:sz w:val="24"/>
          <w:szCs w:val="24"/>
          <w:lang w:val="sq-AL"/>
        </w:rPr>
        <w:t xml:space="preserve">përqendruar veprimtarinë e </w:t>
      </w:r>
      <w:r w:rsidR="006C1F2C" w:rsidRPr="000473F9">
        <w:rPr>
          <w:rFonts w:ascii="Times New Roman" w:hAnsi="Times New Roman"/>
          <w:sz w:val="24"/>
          <w:szCs w:val="24"/>
          <w:lang w:val="sq-AL"/>
        </w:rPr>
        <w:t>këtyre organeve</w:t>
      </w:r>
      <w:r w:rsidR="0070725C" w:rsidRPr="000473F9">
        <w:rPr>
          <w:rFonts w:ascii="Times New Roman" w:hAnsi="Times New Roman"/>
          <w:sz w:val="24"/>
          <w:szCs w:val="24"/>
          <w:lang w:val="sq-AL"/>
        </w:rPr>
        <w:t xml:space="preserve"> </w:t>
      </w:r>
      <w:r w:rsidR="00CF2BFC" w:rsidRPr="000473F9">
        <w:rPr>
          <w:rFonts w:ascii="Times New Roman" w:hAnsi="Times New Roman"/>
          <w:sz w:val="24"/>
          <w:szCs w:val="24"/>
          <w:lang w:val="sq-AL"/>
        </w:rPr>
        <w:t>në</w:t>
      </w:r>
      <w:r w:rsidR="0070725C" w:rsidRPr="000473F9">
        <w:rPr>
          <w:rFonts w:ascii="Times New Roman" w:hAnsi="Times New Roman"/>
          <w:sz w:val="24"/>
          <w:szCs w:val="24"/>
          <w:lang w:val="sq-AL"/>
        </w:rPr>
        <w:t xml:space="preserve"> veprat penale që sjellin pasoja të rënda dhe serioze</w:t>
      </w:r>
      <w:r w:rsidR="003B08B1" w:rsidRPr="000473F9">
        <w:rPr>
          <w:rFonts w:ascii="Times New Roman" w:hAnsi="Times New Roman"/>
          <w:sz w:val="24"/>
          <w:szCs w:val="24"/>
          <w:lang w:val="sq-AL"/>
        </w:rPr>
        <w:t xml:space="preserve"> në shoqëri</w:t>
      </w:r>
      <w:r w:rsidRPr="000473F9">
        <w:rPr>
          <w:rFonts w:ascii="Times New Roman" w:hAnsi="Times New Roman"/>
          <w:sz w:val="24"/>
          <w:szCs w:val="24"/>
          <w:lang w:val="sq-AL"/>
        </w:rPr>
        <w:t xml:space="preserve">. Kjo veprimtari dhe politikë legjislative e Kuvendit do të cenohej nëse </w:t>
      </w:r>
      <w:r w:rsidR="00CF2BFC" w:rsidRPr="000473F9">
        <w:rPr>
          <w:rFonts w:ascii="Times New Roman" w:hAnsi="Times New Roman"/>
          <w:sz w:val="24"/>
          <w:szCs w:val="24"/>
          <w:lang w:val="sq-AL"/>
        </w:rPr>
        <w:t>këto organe</w:t>
      </w:r>
      <w:r w:rsidRPr="000473F9">
        <w:rPr>
          <w:rFonts w:ascii="Times New Roman" w:hAnsi="Times New Roman"/>
          <w:sz w:val="24"/>
          <w:szCs w:val="24"/>
          <w:lang w:val="sq-AL"/>
        </w:rPr>
        <w:t xml:space="preserve"> do të mbingarkoheshin me çështje.</w:t>
      </w:r>
      <w:r w:rsidR="0070725C" w:rsidRPr="000473F9">
        <w:rPr>
          <w:rFonts w:ascii="Times New Roman" w:hAnsi="Times New Roman"/>
          <w:sz w:val="24"/>
          <w:szCs w:val="24"/>
          <w:lang w:val="sq-AL"/>
        </w:rPr>
        <w:t xml:space="preserve"> </w:t>
      </w:r>
      <w:r w:rsidR="003B08B1" w:rsidRPr="000473F9">
        <w:rPr>
          <w:rFonts w:ascii="Times New Roman" w:hAnsi="Times New Roman"/>
          <w:sz w:val="24"/>
          <w:szCs w:val="24"/>
          <w:lang w:val="sq-AL"/>
        </w:rPr>
        <w:t xml:space="preserve">Zbatimi i dispozitës së kundërshtuar nuk sjell asnjë ndikim negativ, përveç riorganizimit procedural të kompetencës së gjykatave të posaçme. </w:t>
      </w:r>
      <w:r w:rsidR="00913DF5" w:rsidRPr="000473F9">
        <w:rPr>
          <w:rFonts w:ascii="Times New Roman" w:hAnsi="Times New Roman"/>
          <w:sz w:val="24"/>
          <w:szCs w:val="24"/>
          <w:lang w:val="sq-AL"/>
        </w:rPr>
        <w:t>Ajo ndi</w:t>
      </w:r>
      <w:r w:rsidR="003B08B1" w:rsidRPr="000473F9">
        <w:rPr>
          <w:rFonts w:ascii="Times New Roman" w:hAnsi="Times New Roman"/>
          <w:sz w:val="24"/>
          <w:szCs w:val="24"/>
          <w:lang w:val="sq-AL"/>
        </w:rPr>
        <w:t xml:space="preserve">kon në mënyrë indirekte edhe në garantimin e </w:t>
      </w:r>
      <w:r w:rsidR="00913DF5" w:rsidRPr="000473F9">
        <w:rPr>
          <w:rFonts w:ascii="Times New Roman" w:hAnsi="Times New Roman"/>
          <w:sz w:val="24"/>
          <w:szCs w:val="24"/>
          <w:lang w:val="sq-AL"/>
        </w:rPr>
        <w:t xml:space="preserve">standardeve të procesit të rregullt ligjor, përfshirë edhe atë të gjykimit brenda një afati të arsyeshëm. </w:t>
      </w:r>
    </w:p>
    <w:p w:rsidR="003B08B1" w:rsidRPr="000473F9" w:rsidRDefault="004912CD" w:rsidP="009B5EB3">
      <w:pPr>
        <w:pStyle w:val="ListParagraph"/>
        <w:numPr>
          <w:ilvl w:val="0"/>
          <w:numId w:val="8"/>
        </w:numPr>
        <w:tabs>
          <w:tab w:val="left" w:pos="153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Prokuroria </w:t>
      </w:r>
      <w:r w:rsidR="00D72DA8" w:rsidRPr="000473F9">
        <w:rPr>
          <w:rFonts w:ascii="Times New Roman" w:hAnsi="Times New Roman"/>
          <w:sz w:val="24"/>
          <w:szCs w:val="24"/>
          <w:lang w:val="sq-AL"/>
        </w:rPr>
        <w:t>e P</w:t>
      </w:r>
      <w:r w:rsidR="008A3730" w:rsidRPr="000473F9">
        <w:rPr>
          <w:rFonts w:ascii="Times New Roman" w:hAnsi="Times New Roman"/>
          <w:sz w:val="24"/>
          <w:szCs w:val="24"/>
          <w:lang w:val="sq-AL"/>
        </w:rPr>
        <w:t xml:space="preserve">osaçme </w:t>
      </w:r>
      <w:r w:rsidRPr="000473F9">
        <w:rPr>
          <w:rFonts w:ascii="Times New Roman" w:hAnsi="Times New Roman"/>
          <w:sz w:val="24"/>
          <w:szCs w:val="24"/>
          <w:lang w:val="sq-AL"/>
        </w:rPr>
        <w:t>dhe gjykatat e posaçme e kanë pranuar kompetencën e tyre lëndore për gjykimin e çështjeve sipas përcaktimit të nenit 75/a të KPP-së</w:t>
      </w:r>
      <w:r w:rsidR="00606B8F" w:rsidRPr="000473F9">
        <w:rPr>
          <w:rFonts w:ascii="Times New Roman" w:hAnsi="Times New Roman"/>
          <w:sz w:val="24"/>
          <w:szCs w:val="24"/>
          <w:lang w:val="sq-AL"/>
        </w:rPr>
        <w:t xml:space="preserve"> dhe nuk kanë ngritur pretendime për ndryshimin ligjor të bërë përmes ligjit nr. 41/2021 në raport me nenin 135, pika 2, të Kushtetutës. Në rast se norma juridike do të kishte hasur problematika të natyrës kushtetues</w:t>
      </w:r>
      <w:r w:rsidR="006714CC" w:rsidRPr="000473F9">
        <w:rPr>
          <w:rFonts w:ascii="Times New Roman" w:hAnsi="Times New Roman"/>
          <w:sz w:val="24"/>
          <w:szCs w:val="24"/>
          <w:lang w:val="sq-AL"/>
        </w:rPr>
        <w:t>e</w:t>
      </w:r>
      <w:r w:rsidR="00606B8F" w:rsidRPr="000473F9">
        <w:rPr>
          <w:rFonts w:ascii="Times New Roman" w:hAnsi="Times New Roman"/>
          <w:sz w:val="24"/>
          <w:szCs w:val="24"/>
          <w:lang w:val="sq-AL"/>
        </w:rPr>
        <w:t xml:space="preserve"> për kompetencën, këto organe do të ishin të parat që do t’i </w:t>
      </w:r>
      <w:r w:rsidR="006714CC" w:rsidRPr="000473F9">
        <w:rPr>
          <w:rFonts w:ascii="Times New Roman" w:hAnsi="Times New Roman"/>
          <w:sz w:val="24"/>
          <w:szCs w:val="24"/>
          <w:lang w:val="sq-AL"/>
        </w:rPr>
        <w:t>kishin paraqitur ato në Gjykatë</w:t>
      </w:r>
      <w:r w:rsidR="00CF2BFC" w:rsidRPr="000473F9">
        <w:rPr>
          <w:rFonts w:ascii="Times New Roman" w:hAnsi="Times New Roman"/>
          <w:sz w:val="24"/>
          <w:szCs w:val="24"/>
          <w:lang w:val="sq-AL"/>
        </w:rPr>
        <w:t>,</w:t>
      </w:r>
      <w:r w:rsidR="00606B8F" w:rsidRPr="000473F9">
        <w:rPr>
          <w:rFonts w:ascii="Times New Roman" w:hAnsi="Times New Roman"/>
          <w:sz w:val="24"/>
          <w:szCs w:val="24"/>
          <w:lang w:val="sq-AL"/>
        </w:rPr>
        <w:t xml:space="preserve"> përmes kontrollit incidental.</w:t>
      </w:r>
    </w:p>
    <w:p w:rsidR="00312E3F" w:rsidRPr="000473F9" w:rsidRDefault="00312E3F" w:rsidP="009B5EB3">
      <w:pPr>
        <w:pStyle w:val="ListParagraph"/>
        <w:numPr>
          <w:ilvl w:val="0"/>
          <w:numId w:val="8"/>
        </w:numPr>
        <w:tabs>
          <w:tab w:val="left" w:pos="153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Pretendimi për cenimin e parimit të ndarjes dhe balancimit të pushteteve nuk është ngritur në nivel kushtetues. Gjykata referuese nuk ka dhënë asnjë argument në mbështetje të tij.</w:t>
      </w:r>
    </w:p>
    <w:p w:rsidR="008775B0" w:rsidRPr="000473F9" w:rsidRDefault="009076C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
          <w:i/>
          <w:sz w:val="24"/>
          <w:szCs w:val="24"/>
          <w:lang w:val="sq-AL"/>
        </w:rPr>
        <w:t>Subjekti i interesuar, Këshilli i Ministrave,</w:t>
      </w:r>
      <w:r w:rsidRPr="000473F9">
        <w:rPr>
          <w:rFonts w:ascii="Times New Roman" w:hAnsi="Times New Roman"/>
          <w:sz w:val="24"/>
          <w:szCs w:val="24"/>
          <w:lang w:val="sq-AL"/>
        </w:rPr>
        <w:t xml:space="preserve"> ka parashtruar, në mënyrë të përmbledhur, si vijon:</w:t>
      </w:r>
    </w:p>
    <w:p w:rsidR="008775B0" w:rsidRPr="000473F9" w:rsidRDefault="00027DAC" w:rsidP="00265825">
      <w:pPr>
        <w:pStyle w:val="ListParagraph"/>
        <w:numPr>
          <w:ilvl w:val="1"/>
          <w:numId w:val="1"/>
        </w:numPr>
        <w:tabs>
          <w:tab w:val="left" w:pos="126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Gjykata referuese nuk përmbush kriteret e legjitimimit për inicimin e kontrollit kushtetues të dispozitës, pasi nuk ka arritur të analizojë dhe vërtetojë lidhjen e drejtpërdrejtë të </w:t>
      </w:r>
      <w:r w:rsidR="00CF2BFC" w:rsidRPr="000473F9">
        <w:rPr>
          <w:rFonts w:ascii="Times New Roman" w:hAnsi="Times New Roman"/>
          <w:sz w:val="24"/>
          <w:szCs w:val="24"/>
          <w:lang w:val="sq-AL"/>
        </w:rPr>
        <w:t>saj</w:t>
      </w:r>
      <w:r w:rsidRPr="000473F9">
        <w:rPr>
          <w:rFonts w:ascii="Times New Roman" w:hAnsi="Times New Roman"/>
          <w:sz w:val="24"/>
          <w:szCs w:val="24"/>
          <w:lang w:val="sq-AL"/>
        </w:rPr>
        <w:t xml:space="preserve"> me zgjidhjen e çështjes konkrete.</w:t>
      </w:r>
      <w:r w:rsidR="00112A63" w:rsidRPr="000473F9">
        <w:rPr>
          <w:rFonts w:ascii="Times New Roman" w:hAnsi="Times New Roman"/>
          <w:sz w:val="24"/>
          <w:szCs w:val="24"/>
          <w:lang w:val="sq-AL"/>
        </w:rPr>
        <w:t xml:space="preserve"> </w:t>
      </w:r>
      <w:r w:rsidRPr="000473F9">
        <w:rPr>
          <w:rFonts w:ascii="Times New Roman" w:hAnsi="Times New Roman"/>
          <w:sz w:val="24"/>
          <w:szCs w:val="24"/>
          <w:lang w:val="sq-AL"/>
        </w:rPr>
        <w:t xml:space="preserve">Dispozita e kundërshtuar parashikon </w:t>
      </w:r>
      <w:r w:rsidR="002A314C" w:rsidRPr="000473F9">
        <w:rPr>
          <w:rFonts w:ascii="Times New Roman" w:hAnsi="Times New Roman"/>
          <w:sz w:val="24"/>
          <w:szCs w:val="24"/>
          <w:lang w:val="sq-AL"/>
        </w:rPr>
        <w:t xml:space="preserve">kompetencën lëndore të </w:t>
      </w:r>
      <w:r w:rsidR="00B80A3D" w:rsidRPr="000473F9">
        <w:rPr>
          <w:rFonts w:ascii="Times New Roman" w:hAnsi="Times New Roman"/>
          <w:sz w:val="24"/>
          <w:szCs w:val="24"/>
          <w:lang w:val="sq-AL"/>
        </w:rPr>
        <w:t>G</w:t>
      </w:r>
      <w:r w:rsidR="002A314C" w:rsidRPr="000473F9">
        <w:rPr>
          <w:rFonts w:ascii="Times New Roman" w:hAnsi="Times New Roman"/>
          <w:sz w:val="24"/>
          <w:szCs w:val="24"/>
          <w:lang w:val="sq-AL"/>
        </w:rPr>
        <w:t xml:space="preserve">jykatës së </w:t>
      </w:r>
      <w:r w:rsidR="00B80A3D" w:rsidRPr="000473F9">
        <w:rPr>
          <w:rFonts w:ascii="Times New Roman" w:hAnsi="Times New Roman"/>
          <w:sz w:val="24"/>
          <w:szCs w:val="24"/>
          <w:lang w:val="sq-AL"/>
        </w:rPr>
        <w:t>P</w:t>
      </w:r>
      <w:r w:rsidR="002A314C" w:rsidRPr="000473F9">
        <w:rPr>
          <w:rFonts w:ascii="Times New Roman" w:hAnsi="Times New Roman"/>
          <w:sz w:val="24"/>
          <w:szCs w:val="24"/>
          <w:lang w:val="sq-AL"/>
        </w:rPr>
        <w:t>osaçme</w:t>
      </w:r>
      <w:r w:rsidR="00465EA5" w:rsidRPr="000473F9">
        <w:rPr>
          <w:rFonts w:ascii="Times New Roman" w:hAnsi="Times New Roman"/>
          <w:sz w:val="24"/>
          <w:szCs w:val="24"/>
          <w:lang w:val="sq-AL"/>
        </w:rPr>
        <w:t>, p</w:t>
      </w:r>
      <w:r w:rsidR="002A314C" w:rsidRPr="000473F9">
        <w:rPr>
          <w:rFonts w:ascii="Times New Roman" w:hAnsi="Times New Roman"/>
          <w:sz w:val="24"/>
          <w:szCs w:val="24"/>
          <w:lang w:val="sq-AL"/>
        </w:rPr>
        <w:t xml:space="preserve">ër rrjedhojë kompetente për ushtrimin e kontrollit kushtetues të normës </w:t>
      </w:r>
      <w:r w:rsidR="008C00B7" w:rsidRPr="000473F9">
        <w:rPr>
          <w:rFonts w:ascii="Times New Roman" w:hAnsi="Times New Roman"/>
          <w:sz w:val="24"/>
          <w:szCs w:val="24"/>
          <w:lang w:val="sq-AL"/>
        </w:rPr>
        <w:t>në kuptim të nenit 145, pika 2, të Kushtetutës</w:t>
      </w:r>
      <w:r w:rsidR="000318FD" w:rsidRPr="000473F9">
        <w:rPr>
          <w:rFonts w:ascii="Times New Roman" w:hAnsi="Times New Roman"/>
          <w:sz w:val="24"/>
          <w:szCs w:val="24"/>
          <w:lang w:val="sq-AL"/>
        </w:rPr>
        <w:t>,</w:t>
      </w:r>
      <w:r w:rsidR="008C00B7" w:rsidRPr="000473F9">
        <w:rPr>
          <w:rFonts w:ascii="Times New Roman" w:hAnsi="Times New Roman"/>
          <w:sz w:val="24"/>
          <w:szCs w:val="24"/>
          <w:lang w:val="sq-AL"/>
        </w:rPr>
        <w:t xml:space="preserve"> </w:t>
      </w:r>
      <w:r w:rsidR="002A314C" w:rsidRPr="000473F9">
        <w:rPr>
          <w:rFonts w:ascii="Times New Roman" w:hAnsi="Times New Roman"/>
          <w:sz w:val="24"/>
          <w:szCs w:val="24"/>
          <w:lang w:val="sq-AL"/>
        </w:rPr>
        <w:t xml:space="preserve">do të ishte </w:t>
      </w:r>
      <w:r w:rsidR="00465EA5" w:rsidRPr="000473F9">
        <w:rPr>
          <w:rFonts w:ascii="Times New Roman" w:hAnsi="Times New Roman"/>
          <w:sz w:val="24"/>
          <w:szCs w:val="24"/>
          <w:lang w:val="sq-AL"/>
        </w:rPr>
        <w:t>ajo gjykatë</w:t>
      </w:r>
      <w:r w:rsidR="002A314C" w:rsidRPr="000473F9">
        <w:rPr>
          <w:rFonts w:ascii="Times New Roman" w:hAnsi="Times New Roman"/>
          <w:sz w:val="24"/>
          <w:szCs w:val="24"/>
          <w:lang w:val="sq-AL"/>
        </w:rPr>
        <w:t xml:space="preserve">. </w:t>
      </w:r>
      <w:r w:rsidR="008775B0" w:rsidRPr="000473F9">
        <w:rPr>
          <w:rFonts w:ascii="Times New Roman" w:hAnsi="Times New Roman"/>
          <w:sz w:val="24"/>
          <w:szCs w:val="24"/>
          <w:lang w:val="sq-AL"/>
        </w:rPr>
        <w:t>Po</w:t>
      </w:r>
      <w:r w:rsidR="000318FD" w:rsidRPr="000473F9">
        <w:rPr>
          <w:rFonts w:ascii="Times New Roman" w:hAnsi="Times New Roman"/>
          <w:sz w:val="24"/>
          <w:szCs w:val="24"/>
          <w:lang w:val="sq-AL"/>
        </w:rPr>
        <w:t xml:space="preserve"> kë</w:t>
      </w:r>
      <w:r w:rsidR="008775B0" w:rsidRPr="000473F9">
        <w:rPr>
          <w:rFonts w:ascii="Times New Roman" w:hAnsi="Times New Roman"/>
          <w:sz w:val="24"/>
          <w:szCs w:val="24"/>
          <w:lang w:val="sq-AL"/>
        </w:rPr>
        <w:t>shtu</w:t>
      </w:r>
      <w:r w:rsidR="00A35361" w:rsidRPr="000473F9">
        <w:rPr>
          <w:rFonts w:ascii="Times New Roman" w:hAnsi="Times New Roman"/>
          <w:sz w:val="24"/>
          <w:szCs w:val="24"/>
          <w:lang w:val="sq-AL"/>
        </w:rPr>
        <w:t>,</w:t>
      </w:r>
      <w:r w:rsidR="008775B0" w:rsidRPr="000473F9">
        <w:rPr>
          <w:rFonts w:ascii="Times New Roman" w:hAnsi="Times New Roman"/>
          <w:sz w:val="24"/>
          <w:szCs w:val="24"/>
          <w:lang w:val="sq-AL"/>
        </w:rPr>
        <w:t xml:space="preserve"> kjo gjykatë nuk ka parashtruar arsye serioze për antikushtetutshmërinë e dispozitës së kundërshtuar.  </w:t>
      </w:r>
    </w:p>
    <w:p w:rsidR="008775B0" w:rsidRPr="000473F9" w:rsidRDefault="00032C4F" w:rsidP="00265825">
      <w:pPr>
        <w:pStyle w:val="ListParagraph"/>
        <w:numPr>
          <w:ilvl w:val="1"/>
          <w:numId w:val="1"/>
        </w:numPr>
        <w:tabs>
          <w:tab w:val="left" w:pos="1260"/>
          <w:tab w:val="left" w:pos="135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Rregullimi kushtetues i n</w:t>
      </w:r>
      <w:r w:rsidR="00883AE0" w:rsidRPr="000473F9">
        <w:rPr>
          <w:rFonts w:ascii="Times New Roman" w:hAnsi="Times New Roman"/>
          <w:sz w:val="24"/>
          <w:szCs w:val="24"/>
          <w:lang w:val="sq-AL"/>
        </w:rPr>
        <w:t>eni</w:t>
      </w:r>
      <w:r w:rsidRPr="000473F9">
        <w:rPr>
          <w:rFonts w:ascii="Times New Roman" w:hAnsi="Times New Roman"/>
          <w:sz w:val="24"/>
          <w:szCs w:val="24"/>
          <w:lang w:val="sq-AL"/>
        </w:rPr>
        <w:t>t</w:t>
      </w:r>
      <w:r w:rsidR="00883AE0" w:rsidRPr="000473F9">
        <w:rPr>
          <w:rFonts w:ascii="Times New Roman" w:hAnsi="Times New Roman"/>
          <w:sz w:val="24"/>
          <w:szCs w:val="24"/>
          <w:lang w:val="sq-AL"/>
        </w:rPr>
        <w:t xml:space="preserve"> 135, pika 2, </w:t>
      </w:r>
      <w:r w:rsidRPr="000473F9">
        <w:rPr>
          <w:rFonts w:ascii="Times New Roman" w:hAnsi="Times New Roman"/>
          <w:sz w:val="24"/>
          <w:szCs w:val="24"/>
          <w:lang w:val="sq-AL"/>
        </w:rPr>
        <w:t>të</w:t>
      </w:r>
      <w:r w:rsidR="00883AE0" w:rsidRPr="000473F9">
        <w:rPr>
          <w:rFonts w:ascii="Times New Roman" w:hAnsi="Times New Roman"/>
          <w:sz w:val="24"/>
          <w:szCs w:val="24"/>
          <w:lang w:val="sq-AL"/>
        </w:rPr>
        <w:t xml:space="preserve"> Kushtetutës </w:t>
      </w:r>
      <w:r w:rsidR="00AE3F65" w:rsidRPr="000473F9">
        <w:rPr>
          <w:rFonts w:ascii="Times New Roman" w:hAnsi="Times New Roman"/>
          <w:sz w:val="24"/>
          <w:szCs w:val="24"/>
          <w:lang w:val="sq-AL"/>
        </w:rPr>
        <w:t xml:space="preserve">nuk mund të zbatohet në mënyrë të drejtpërdrejtë. Ai </w:t>
      </w:r>
      <w:r w:rsidRPr="000473F9">
        <w:rPr>
          <w:rFonts w:ascii="Times New Roman" w:hAnsi="Times New Roman"/>
          <w:sz w:val="24"/>
          <w:szCs w:val="24"/>
          <w:lang w:val="sq-AL"/>
        </w:rPr>
        <w:t xml:space="preserve">nuk është i plotë dhe shterues, pasi </w:t>
      </w:r>
      <w:r w:rsidR="00883AE0" w:rsidRPr="000473F9">
        <w:rPr>
          <w:rFonts w:ascii="Times New Roman" w:hAnsi="Times New Roman"/>
          <w:sz w:val="24"/>
          <w:szCs w:val="24"/>
          <w:lang w:val="sq-AL"/>
        </w:rPr>
        <w:t>nuk përmban element</w:t>
      </w:r>
      <w:r w:rsidR="00AF17AA" w:rsidRPr="000473F9">
        <w:rPr>
          <w:rFonts w:ascii="Times New Roman" w:hAnsi="Times New Roman"/>
          <w:sz w:val="24"/>
          <w:szCs w:val="24"/>
          <w:lang w:val="sq-AL"/>
        </w:rPr>
        <w:t>e</w:t>
      </w:r>
      <w:r w:rsidR="00883AE0" w:rsidRPr="000473F9">
        <w:rPr>
          <w:rFonts w:ascii="Times New Roman" w:hAnsi="Times New Roman"/>
          <w:sz w:val="24"/>
          <w:szCs w:val="24"/>
          <w:lang w:val="sq-AL"/>
        </w:rPr>
        <w:t>t</w:t>
      </w:r>
      <w:r w:rsidRPr="000473F9">
        <w:rPr>
          <w:rFonts w:ascii="Times New Roman" w:hAnsi="Times New Roman"/>
          <w:sz w:val="24"/>
          <w:szCs w:val="24"/>
          <w:lang w:val="sq-AL"/>
        </w:rPr>
        <w:t xml:space="preserve"> e</w:t>
      </w:r>
      <w:r w:rsidR="00AF17AA" w:rsidRPr="000473F9">
        <w:rPr>
          <w:rFonts w:ascii="Times New Roman" w:hAnsi="Times New Roman"/>
          <w:sz w:val="24"/>
          <w:szCs w:val="24"/>
          <w:lang w:val="sq-AL"/>
        </w:rPr>
        <w:t xml:space="preserve"> domosdosh</w:t>
      </w:r>
      <w:r w:rsidR="00883AE0" w:rsidRPr="000473F9">
        <w:rPr>
          <w:rFonts w:ascii="Times New Roman" w:hAnsi="Times New Roman"/>
          <w:sz w:val="24"/>
          <w:szCs w:val="24"/>
          <w:lang w:val="sq-AL"/>
        </w:rPr>
        <w:t>m</w:t>
      </w:r>
      <w:r w:rsidR="00AF17AA" w:rsidRPr="000473F9">
        <w:rPr>
          <w:rFonts w:ascii="Times New Roman" w:hAnsi="Times New Roman"/>
          <w:sz w:val="24"/>
          <w:szCs w:val="24"/>
          <w:lang w:val="sq-AL"/>
        </w:rPr>
        <w:t>e</w:t>
      </w:r>
      <w:r w:rsidR="00883AE0" w:rsidRPr="000473F9">
        <w:rPr>
          <w:rFonts w:ascii="Times New Roman" w:hAnsi="Times New Roman"/>
          <w:sz w:val="24"/>
          <w:szCs w:val="24"/>
          <w:lang w:val="sq-AL"/>
        </w:rPr>
        <w:t xml:space="preserve"> që lidhen me ushtrimin efektiv dhe real të kompetencës </w:t>
      </w:r>
      <w:r w:rsidR="00883AE0" w:rsidRPr="000473F9">
        <w:rPr>
          <w:rFonts w:ascii="Times New Roman" w:hAnsi="Times New Roman"/>
          <w:sz w:val="24"/>
          <w:szCs w:val="24"/>
          <w:lang w:val="sq-AL"/>
        </w:rPr>
        <w:lastRenderedPageBreak/>
        <w:t xml:space="preserve">lëndore nga gjykatat e posaçme. </w:t>
      </w:r>
      <w:r w:rsidR="00631178" w:rsidRPr="000473F9">
        <w:rPr>
          <w:rFonts w:ascii="Times New Roman" w:hAnsi="Times New Roman"/>
          <w:sz w:val="24"/>
          <w:szCs w:val="24"/>
          <w:lang w:val="sq-AL"/>
        </w:rPr>
        <w:t>Ky nen përbën një dispozitë me karakter lejues, pasi</w:t>
      </w:r>
      <w:r w:rsidR="00092F4F" w:rsidRPr="000473F9">
        <w:rPr>
          <w:rFonts w:ascii="Times New Roman" w:hAnsi="Times New Roman"/>
          <w:sz w:val="24"/>
          <w:szCs w:val="24"/>
          <w:lang w:val="sq-AL"/>
        </w:rPr>
        <w:t>,</w:t>
      </w:r>
      <w:r w:rsidR="00631178" w:rsidRPr="000473F9">
        <w:rPr>
          <w:rFonts w:ascii="Times New Roman" w:hAnsi="Times New Roman"/>
          <w:sz w:val="24"/>
          <w:szCs w:val="24"/>
          <w:lang w:val="sq-AL"/>
        </w:rPr>
        <w:t xml:space="preserve"> ndërkohë që përcakton kompetencën lëndore të gjykatave të posaçme, nuk parashikon asnjë ndalim që gjykatat e juridiksionit të zakonshëm të gjykojnë veprat penale që lidhen me korrupsionin dhe krimin e organizuar. </w:t>
      </w:r>
      <w:r w:rsidR="00831CCA" w:rsidRPr="000473F9">
        <w:rPr>
          <w:rFonts w:ascii="Times New Roman" w:hAnsi="Times New Roman"/>
          <w:sz w:val="24"/>
          <w:szCs w:val="24"/>
          <w:lang w:val="sq-AL"/>
        </w:rPr>
        <w:t>Kushtetut</w:t>
      </w:r>
      <w:r w:rsidR="00694A36" w:rsidRPr="000473F9">
        <w:rPr>
          <w:rFonts w:ascii="Times New Roman" w:hAnsi="Times New Roman"/>
          <w:sz w:val="24"/>
          <w:szCs w:val="24"/>
          <w:lang w:val="sq-AL"/>
        </w:rPr>
        <w:t>ë</w:t>
      </w:r>
      <w:r w:rsidR="00831CCA" w:rsidRPr="000473F9">
        <w:rPr>
          <w:rFonts w:ascii="Times New Roman" w:hAnsi="Times New Roman"/>
          <w:sz w:val="24"/>
          <w:szCs w:val="24"/>
          <w:lang w:val="sq-AL"/>
        </w:rPr>
        <w:t xml:space="preserve">bërësi nuk ka përcaktuar në mënyrë shteruese veprat penale kundër korrupsionit dhe krimit të organizuar që do të jenë në kompetencën e </w:t>
      </w:r>
      <w:r w:rsidR="00B80A3D" w:rsidRPr="000473F9">
        <w:rPr>
          <w:rFonts w:ascii="Times New Roman" w:hAnsi="Times New Roman"/>
          <w:sz w:val="24"/>
          <w:szCs w:val="24"/>
          <w:lang w:val="sq-AL"/>
        </w:rPr>
        <w:t>Gjykatës së P</w:t>
      </w:r>
      <w:r w:rsidR="00831CCA" w:rsidRPr="000473F9">
        <w:rPr>
          <w:rFonts w:ascii="Times New Roman" w:hAnsi="Times New Roman"/>
          <w:sz w:val="24"/>
          <w:szCs w:val="24"/>
          <w:lang w:val="sq-AL"/>
        </w:rPr>
        <w:t xml:space="preserve">osaçme. </w:t>
      </w:r>
    </w:p>
    <w:p w:rsidR="005F2683" w:rsidRPr="000473F9" w:rsidRDefault="00D15DD4" w:rsidP="00265825">
      <w:pPr>
        <w:pStyle w:val="ListParagraph"/>
        <w:numPr>
          <w:ilvl w:val="1"/>
          <w:numId w:val="1"/>
        </w:numPr>
        <w:tabs>
          <w:tab w:val="left" w:pos="126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Ndryshimet në nenin 75/a të KPP-së kanë ardhur paralelisht me ndryshimet në nenin 244 të KP-së. Përcaktimi i kompetencës lëndore të gjykatës që do </w:t>
      </w:r>
      <w:r w:rsidR="00694A36" w:rsidRPr="000473F9">
        <w:rPr>
          <w:rFonts w:ascii="Times New Roman" w:hAnsi="Times New Roman"/>
          <w:sz w:val="24"/>
          <w:szCs w:val="24"/>
          <w:lang w:val="sq-AL"/>
        </w:rPr>
        <w:t xml:space="preserve">të </w:t>
      </w:r>
      <w:r w:rsidRPr="000473F9">
        <w:rPr>
          <w:rFonts w:ascii="Times New Roman" w:hAnsi="Times New Roman"/>
          <w:sz w:val="24"/>
          <w:szCs w:val="24"/>
          <w:lang w:val="sq-AL"/>
        </w:rPr>
        <w:t>shqyrtojë çështjen në varësi të vlerës së përfitimit</w:t>
      </w:r>
      <w:r w:rsidR="00856D4A" w:rsidRPr="000473F9">
        <w:rPr>
          <w:rFonts w:ascii="Times New Roman" w:hAnsi="Times New Roman"/>
          <w:sz w:val="24"/>
          <w:szCs w:val="24"/>
          <w:lang w:val="sq-AL"/>
        </w:rPr>
        <w:t>,</w:t>
      </w:r>
      <w:r w:rsidRPr="000473F9">
        <w:rPr>
          <w:rFonts w:ascii="Times New Roman" w:hAnsi="Times New Roman"/>
          <w:sz w:val="24"/>
          <w:szCs w:val="24"/>
          <w:lang w:val="sq-AL"/>
        </w:rPr>
        <w:t xml:space="preserve"> krijon mundësi reale që </w:t>
      </w:r>
      <w:r w:rsidR="00B42541" w:rsidRPr="000473F9">
        <w:rPr>
          <w:rFonts w:ascii="Times New Roman" w:hAnsi="Times New Roman"/>
          <w:sz w:val="24"/>
          <w:szCs w:val="24"/>
          <w:lang w:val="sq-AL"/>
        </w:rPr>
        <w:t>Prokuroria e Posaçme</w:t>
      </w:r>
      <w:r w:rsidR="00831CCA" w:rsidRPr="000473F9">
        <w:rPr>
          <w:rFonts w:ascii="Times New Roman" w:hAnsi="Times New Roman"/>
          <w:i/>
          <w:sz w:val="24"/>
          <w:szCs w:val="24"/>
          <w:lang w:val="sq-AL"/>
        </w:rPr>
        <w:t xml:space="preserve"> </w:t>
      </w:r>
      <w:r w:rsidRPr="000473F9">
        <w:rPr>
          <w:rFonts w:ascii="Times New Roman" w:hAnsi="Times New Roman"/>
          <w:sz w:val="24"/>
          <w:szCs w:val="24"/>
          <w:lang w:val="sq-AL"/>
        </w:rPr>
        <w:t>të fokusohet në ato çështje penale</w:t>
      </w:r>
      <w:r w:rsidR="00856D4A" w:rsidRPr="000473F9">
        <w:rPr>
          <w:rFonts w:ascii="Times New Roman" w:hAnsi="Times New Roman"/>
          <w:sz w:val="24"/>
          <w:szCs w:val="24"/>
          <w:lang w:val="sq-AL"/>
        </w:rPr>
        <w:t>,</w:t>
      </w:r>
      <w:r w:rsidRPr="000473F9">
        <w:rPr>
          <w:rFonts w:ascii="Times New Roman" w:hAnsi="Times New Roman"/>
          <w:sz w:val="24"/>
          <w:szCs w:val="24"/>
          <w:lang w:val="sq-AL"/>
        </w:rPr>
        <w:t xml:space="preserve"> të cilat kanë rëndësi të veçantë për shkak të natyrës së tyre, rrezikshmërisë së lartë shoqë</w:t>
      </w:r>
      <w:r w:rsidR="00831CCA" w:rsidRPr="000473F9">
        <w:rPr>
          <w:rFonts w:ascii="Times New Roman" w:hAnsi="Times New Roman"/>
          <w:sz w:val="24"/>
          <w:szCs w:val="24"/>
          <w:lang w:val="sq-AL"/>
        </w:rPr>
        <w:t>rore</w:t>
      </w:r>
      <w:r w:rsidR="00D62B92" w:rsidRPr="000473F9">
        <w:rPr>
          <w:rFonts w:ascii="Times New Roman" w:hAnsi="Times New Roman"/>
          <w:sz w:val="24"/>
          <w:szCs w:val="24"/>
          <w:lang w:val="sq-AL"/>
        </w:rPr>
        <w:t>,</w:t>
      </w:r>
      <w:r w:rsidR="00831CCA" w:rsidRPr="000473F9">
        <w:rPr>
          <w:rFonts w:ascii="Times New Roman" w:hAnsi="Times New Roman"/>
          <w:sz w:val="24"/>
          <w:szCs w:val="24"/>
          <w:lang w:val="sq-AL"/>
        </w:rPr>
        <w:t xml:space="preserve"> </w:t>
      </w:r>
      <w:r w:rsidRPr="000473F9">
        <w:rPr>
          <w:rFonts w:ascii="Times New Roman" w:hAnsi="Times New Roman"/>
          <w:sz w:val="24"/>
          <w:szCs w:val="24"/>
          <w:lang w:val="sq-AL"/>
        </w:rPr>
        <w:t>ndikimit të pasojave që sjellin në shoqëri</w:t>
      </w:r>
      <w:r w:rsidR="00831CCA" w:rsidRPr="000473F9">
        <w:rPr>
          <w:rFonts w:ascii="Times New Roman" w:hAnsi="Times New Roman"/>
          <w:sz w:val="24"/>
          <w:szCs w:val="24"/>
          <w:lang w:val="sq-AL"/>
        </w:rPr>
        <w:t>, si dhe niveli</w:t>
      </w:r>
      <w:r w:rsidR="00D62B92" w:rsidRPr="000473F9">
        <w:rPr>
          <w:rFonts w:ascii="Times New Roman" w:hAnsi="Times New Roman"/>
          <w:sz w:val="24"/>
          <w:szCs w:val="24"/>
          <w:lang w:val="sq-AL"/>
        </w:rPr>
        <w:t>t</w:t>
      </w:r>
      <w:r w:rsidR="00831CCA" w:rsidRPr="000473F9">
        <w:rPr>
          <w:rFonts w:ascii="Times New Roman" w:hAnsi="Times New Roman"/>
          <w:sz w:val="24"/>
          <w:szCs w:val="24"/>
          <w:lang w:val="sq-AL"/>
        </w:rPr>
        <w:t xml:space="preserve"> </w:t>
      </w:r>
      <w:r w:rsidR="00D62B92" w:rsidRPr="000473F9">
        <w:rPr>
          <w:rFonts w:ascii="Times New Roman" w:hAnsi="Times New Roman"/>
          <w:sz w:val="24"/>
          <w:szCs w:val="24"/>
          <w:lang w:val="sq-AL"/>
        </w:rPr>
        <w:t>të</w:t>
      </w:r>
      <w:r w:rsidR="00831CCA" w:rsidRPr="000473F9">
        <w:rPr>
          <w:rFonts w:ascii="Times New Roman" w:hAnsi="Times New Roman"/>
          <w:sz w:val="24"/>
          <w:szCs w:val="24"/>
          <w:lang w:val="sq-AL"/>
        </w:rPr>
        <w:t xml:space="preserve"> korrupsionit.</w:t>
      </w:r>
      <w:r w:rsidR="00D62B92" w:rsidRPr="000473F9">
        <w:rPr>
          <w:rFonts w:ascii="Times New Roman" w:hAnsi="Times New Roman"/>
          <w:sz w:val="24"/>
          <w:szCs w:val="24"/>
          <w:lang w:val="sq-AL"/>
        </w:rPr>
        <w:t xml:space="preserve"> </w:t>
      </w:r>
      <w:r w:rsidR="00CA255F" w:rsidRPr="000473F9">
        <w:rPr>
          <w:rFonts w:ascii="Times New Roman" w:hAnsi="Times New Roman"/>
          <w:sz w:val="24"/>
          <w:szCs w:val="24"/>
          <w:lang w:val="sq-AL"/>
        </w:rPr>
        <w:t>Përcaktimi i kufijve monetarë për cilësimin e kësaj vepre penale, duke përshtatur edhe masat e dënimit, ka synuar përmirësimin e zbatimit të këtyre dispozitave nga organet proceduese në funksion të qëllimit primar</w:t>
      </w:r>
      <w:r w:rsidR="000D219A" w:rsidRPr="000473F9">
        <w:rPr>
          <w:rFonts w:ascii="Times New Roman" w:hAnsi="Times New Roman"/>
          <w:sz w:val="24"/>
          <w:szCs w:val="24"/>
          <w:lang w:val="sq-AL"/>
        </w:rPr>
        <w:t>, atij të</w:t>
      </w:r>
      <w:r w:rsidR="00CA255F" w:rsidRPr="000473F9">
        <w:rPr>
          <w:rFonts w:ascii="Times New Roman" w:hAnsi="Times New Roman"/>
          <w:sz w:val="24"/>
          <w:szCs w:val="24"/>
          <w:lang w:val="sq-AL"/>
        </w:rPr>
        <w:t xml:space="preserve"> </w:t>
      </w:r>
      <w:r w:rsidR="000D219A" w:rsidRPr="000473F9">
        <w:rPr>
          <w:rFonts w:ascii="Times New Roman" w:hAnsi="Times New Roman"/>
          <w:sz w:val="24"/>
          <w:szCs w:val="24"/>
          <w:lang w:val="sq-AL"/>
        </w:rPr>
        <w:t xml:space="preserve">parandalimit dhe </w:t>
      </w:r>
      <w:r w:rsidR="00A05157" w:rsidRPr="000473F9">
        <w:rPr>
          <w:rFonts w:ascii="Times New Roman" w:hAnsi="Times New Roman"/>
          <w:sz w:val="24"/>
          <w:szCs w:val="24"/>
          <w:lang w:val="sq-AL"/>
        </w:rPr>
        <w:t>luftimit të</w:t>
      </w:r>
      <w:r w:rsidR="00CA255F" w:rsidRPr="000473F9">
        <w:rPr>
          <w:rFonts w:ascii="Times New Roman" w:hAnsi="Times New Roman"/>
          <w:sz w:val="24"/>
          <w:szCs w:val="24"/>
          <w:lang w:val="sq-AL"/>
        </w:rPr>
        <w:t xml:space="preserve"> korrupsionit. </w:t>
      </w:r>
    </w:p>
    <w:p w:rsidR="000931DE" w:rsidRPr="000473F9" w:rsidRDefault="00D62B92" w:rsidP="00265825">
      <w:pPr>
        <w:pStyle w:val="ListParagraph"/>
        <w:numPr>
          <w:ilvl w:val="1"/>
          <w:numId w:val="1"/>
        </w:numPr>
        <w:tabs>
          <w:tab w:val="left" w:pos="126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Dispozita objekt gjykimi kushtetues synon, gjithashtu, edhe garantimin e standardit të procesit të rregullt ligjor, duke përfshirë edhe atë të gjykimit brenda një afati të arsyeshëm.</w:t>
      </w:r>
      <w:r w:rsidR="00F51BE6" w:rsidRPr="000473F9">
        <w:rPr>
          <w:rFonts w:ascii="Times New Roman" w:hAnsi="Times New Roman"/>
          <w:sz w:val="24"/>
          <w:szCs w:val="24"/>
          <w:lang w:val="sq-AL"/>
        </w:rPr>
        <w:t xml:space="preserve"> </w:t>
      </w:r>
      <w:r w:rsidR="000931DE" w:rsidRPr="000473F9">
        <w:rPr>
          <w:rFonts w:ascii="Times New Roman" w:hAnsi="Times New Roman"/>
          <w:sz w:val="24"/>
          <w:szCs w:val="24"/>
          <w:lang w:val="sq-AL"/>
        </w:rPr>
        <w:t>Ndryshimet ligjore të vitit 2021 për ushtrimin në mënyrë efikase të ndjekjes penale janë vlerësuar edhe nga partnerët ndërkombëtarë, duke u konsideruar të rëndësishme për funksionimin eficient të sistemit gjyqësor dhe prokurorisë shqiptare, si dhe në përputhje me standardet ndërkombëtare.</w:t>
      </w:r>
    </w:p>
    <w:p w:rsidR="00312E3F" w:rsidRPr="000473F9" w:rsidRDefault="005F2683" w:rsidP="00265825">
      <w:pPr>
        <w:pStyle w:val="ListParagraph"/>
        <w:numPr>
          <w:ilvl w:val="1"/>
          <w:numId w:val="1"/>
        </w:numPr>
        <w:tabs>
          <w:tab w:val="left" w:pos="126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 </w:t>
      </w:r>
      <w:r w:rsidR="00D62B92" w:rsidRPr="000473F9">
        <w:rPr>
          <w:rFonts w:ascii="Times New Roman" w:hAnsi="Times New Roman"/>
          <w:sz w:val="24"/>
          <w:szCs w:val="24"/>
          <w:lang w:val="sq-AL"/>
        </w:rPr>
        <w:t>Pretendimi për cenimin e parimit të ndarjes dhe balancimit të pushteteve nuk është ngritur në nivel kushtetues.</w:t>
      </w:r>
      <w:r w:rsidR="00312E3F" w:rsidRPr="000473F9">
        <w:rPr>
          <w:rFonts w:ascii="Times New Roman" w:hAnsi="Times New Roman"/>
          <w:sz w:val="24"/>
          <w:szCs w:val="24"/>
          <w:lang w:val="sq-AL"/>
        </w:rPr>
        <w:t xml:space="preserve"> Gjykata referuese nuk ka dhënë asnjë argument në mbështetje të tij.</w:t>
      </w:r>
    </w:p>
    <w:p w:rsidR="009076C6" w:rsidRPr="000473F9" w:rsidRDefault="009076C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
          <w:i/>
          <w:sz w:val="24"/>
          <w:szCs w:val="24"/>
          <w:lang w:val="sq-AL"/>
        </w:rPr>
        <w:t xml:space="preserve">Subjekti i interesuar, Prokuroria e Përgjithshme, </w:t>
      </w:r>
      <w:r w:rsidR="00FE16FA" w:rsidRPr="000473F9">
        <w:rPr>
          <w:rFonts w:ascii="Times New Roman" w:hAnsi="Times New Roman"/>
          <w:sz w:val="24"/>
          <w:szCs w:val="24"/>
          <w:lang w:val="sq-AL"/>
        </w:rPr>
        <w:t>ka parashtruar</w:t>
      </w:r>
      <w:r w:rsidR="00AF2EC5" w:rsidRPr="000473F9">
        <w:rPr>
          <w:rFonts w:ascii="Times New Roman" w:hAnsi="Times New Roman"/>
          <w:sz w:val="24"/>
          <w:szCs w:val="24"/>
          <w:lang w:val="sq-AL"/>
        </w:rPr>
        <w:t>,</w:t>
      </w:r>
      <w:r w:rsidR="00FE16FA" w:rsidRPr="000473F9">
        <w:rPr>
          <w:rFonts w:ascii="Times New Roman" w:hAnsi="Times New Roman"/>
          <w:sz w:val="24"/>
          <w:szCs w:val="24"/>
          <w:lang w:val="sq-AL"/>
        </w:rPr>
        <w:t xml:space="preserve"> në mënyrë të përmbledhur</w:t>
      </w:r>
      <w:r w:rsidR="00AF2EC5" w:rsidRPr="000473F9">
        <w:rPr>
          <w:rFonts w:ascii="Times New Roman" w:hAnsi="Times New Roman"/>
          <w:sz w:val="24"/>
          <w:szCs w:val="24"/>
          <w:lang w:val="sq-AL"/>
        </w:rPr>
        <w:t>,</w:t>
      </w:r>
      <w:r w:rsidR="00FE16FA" w:rsidRPr="000473F9">
        <w:rPr>
          <w:rFonts w:ascii="Times New Roman" w:hAnsi="Times New Roman"/>
          <w:sz w:val="24"/>
          <w:szCs w:val="24"/>
          <w:lang w:val="sq-AL"/>
        </w:rPr>
        <w:t xml:space="preserve"> se</w:t>
      </w:r>
      <w:r w:rsidR="00027DAC" w:rsidRPr="000473F9">
        <w:rPr>
          <w:rFonts w:ascii="Times New Roman" w:hAnsi="Times New Roman"/>
          <w:sz w:val="24"/>
          <w:szCs w:val="24"/>
          <w:lang w:val="sq-AL"/>
        </w:rPr>
        <w:t xml:space="preserve"> norma juridike e pretenduar si antikushtetuese nga gjykata referuese nuk cenon bazat e funksionimit të shtetit dhe parimet bazë të organizmit shtetëror e shoqëror të mbrojtura nga Kushtetuta. Sipas tij</w:t>
      </w:r>
      <w:r w:rsidR="00FE16FA" w:rsidRPr="000473F9">
        <w:rPr>
          <w:rFonts w:ascii="Times New Roman" w:hAnsi="Times New Roman"/>
          <w:sz w:val="24"/>
          <w:szCs w:val="24"/>
          <w:lang w:val="sq-AL"/>
        </w:rPr>
        <w:t>:</w:t>
      </w:r>
    </w:p>
    <w:p w:rsidR="008643B2" w:rsidRPr="000473F9" w:rsidRDefault="008643B2" w:rsidP="009B5EB3">
      <w:pPr>
        <w:pStyle w:val="ListParagraph"/>
        <w:numPr>
          <w:ilvl w:val="0"/>
          <w:numId w:val="4"/>
        </w:numPr>
        <w:tabs>
          <w:tab w:val="left" w:pos="108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Gjykata referuese legjitimohet në kërkesën e saj për vënien në lëvizje të Gjykatës</w:t>
      </w:r>
      <w:r w:rsidR="003611F6" w:rsidRPr="000473F9">
        <w:rPr>
          <w:rFonts w:ascii="Times New Roman" w:hAnsi="Times New Roman"/>
          <w:sz w:val="24"/>
          <w:szCs w:val="24"/>
          <w:lang w:val="sq-AL"/>
        </w:rPr>
        <w:t>,</w:t>
      </w:r>
      <w:r w:rsidRPr="000473F9">
        <w:rPr>
          <w:rFonts w:ascii="Times New Roman" w:hAnsi="Times New Roman"/>
          <w:sz w:val="24"/>
          <w:szCs w:val="24"/>
          <w:lang w:val="sq-AL"/>
        </w:rPr>
        <w:t xml:space="preserve"> për shkak të parashikimit të neneve 134, pika 1, shkronja “dh” dh</w:t>
      </w:r>
      <w:r w:rsidR="00112A63" w:rsidRPr="000473F9">
        <w:rPr>
          <w:rFonts w:ascii="Times New Roman" w:hAnsi="Times New Roman"/>
          <w:sz w:val="24"/>
          <w:szCs w:val="24"/>
          <w:lang w:val="sq-AL"/>
        </w:rPr>
        <w:t>e</w:t>
      </w:r>
      <w:r w:rsidRPr="000473F9">
        <w:rPr>
          <w:rFonts w:ascii="Times New Roman" w:hAnsi="Times New Roman"/>
          <w:sz w:val="24"/>
          <w:szCs w:val="24"/>
          <w:lang w:val="sq-AL"/>
        </w:rPr>
        <w:t xml:space="preserve"> 145 të Kushtetutës.</w:t>
      </w:r>
    </w:p>
    <w:p w:rsidR="008643B2" w:rsidRPr="000473F9" w:rsidRDefault="00483B28" w:rsidP="009B5EB3">
      <w:pPr>
        <w:pStyle w:val="ListParagraph"/>
        <w:numPr>
          <w:ilvl w:val="0"/>
          <w:numId w:val="4"/>
        </w:numPr>
        <w:tabs>
          <w:tab w:val="left" w:pos="108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Për sa i përket pretendimit</w:t>
      </w:r>
      <w:r w:rsidR="008643B2" w:rsidRPr="000473F9">
        <w:rPr>
          <w:rFonts w:ascii="Times New Roman" w:hAnsi="Times New Roman"/>
          <w:sz w:val="24"/>
          <w:szCs w:val="24"/>
          <w:lang w:val="sq-AL"/>
        </w:rPr>
        <w:t xml:space="preserve"> për cenimin e parimit të hierarkisë së normave, gjykata referuese ka bërë interpretim formal gjuhësor të nenit 135, pika 2, të Kushtetutës, duke arritur në konkluzione të gabuara për antikushtetutshmërinë e pretenduar të normës.</w:t>
      </w:r>
    </w:p>
    <w:p w:rsidR="00AC3596" w:rsidRPr="000473F9" w:rsidRDefault="008643B2" w:rsidP="009B5EB3">
      <w:pPr>
        <w:pStyle w:val="ListParagraph"/>
        <w:numPr>
          <w:ilvl w:val="0"/>
          <w:numId w:val="4"/>
        </w:numPr>
        <w:tabs>
          <w:tab w:val="left" w:pos="108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lastRenderedPageBreak/>
        <w:t xml:space="preserve">Ligji nr. 76/2016, datë 22.07.2016 “Për disa shtesa dhe ndryshime në ligjin nr. 8417, datë </w:t>
      </w:r>
      <w:r w:rsidR="00EF121B" w:rsidRPr="000473F9">
        <w:rPr>
          <w:rFonts w:ascii="Times New Roman" w:hAnsi="Times New Roman"/>
          <w:sz w:val="24"/>
          <w:szCs w:val="24"/>
          <w:lang w:val="sq-AL"/>
        </w:rPr>
        <w:t>21.10.1998</w:t>
      </w:r>
      <w:r w:rsidRPr="000473F9">
        <w:rPr>
          <w:rFonts w:ascii="Times New Roman" w:hAnsi="Times New Roman"/>
          <w:sz w:val="24"/>
          <w:szCs w:val="24"/>
          <w:lang w:val="sq-AL"/>
        </w:rPr>
        <w:t xml:space="preserve"> “Kushtetuta e Republikës së Shqipërisë”, të ndryshuar”, ligji nr. 95/2016, datë 06.10.2016 “Për organizimin dhe funksionimin e institucioneve për të luftuar korrupsionin dhe krimin e organizuar”</w:t>
      </w:r>
      <w:r w:rsidR="00361FCA" w:rsidRPr="000473F9">
        <w:rPr>
          <w:rFonts w:ascii="Times New Roman" w:hAnsi="Times New Roman"/>
          <w:sz w:val="24"/>
          <w:szCs w:val="24"/>
          <w:lang w:val="sq-AL"/>
        </w:rPr>
        <w:t xml:space="preserve"> </w:t>
      </w:r>
      <w:r w:rsidR="00361FCA" w:rsidRPr="000473F9">
        <w:rPr>
          <w:rFonts w:ascii="Times New Roman" w:hAnsi="Times New Roman"/>
          <w:i/>
          <w:sz w:val="24"/>
          <w:szCs w:val="24"/>
          <w:lang w:val="sq-AL"/>
        </w:rPr>
        <w:t>(ligji nr. 95/2016)</w:t>
      </w:r>
      <w:r w:rsidRPr="000473F9">
        <w:rPr>
          <w:rFonts w:ascii="Times New Roman" w:hAnsi="Times New Roman"/>
          <w:sz w:val="24"/>
          <w:szCs w:val="24"/>
          <w:lang w:val="sq-AL"/>
        </w:rPr>
        <w:t>, si dhe ligji nr. 35/2017, datë 30.03.2017 “Për disa shtesa dhe ndryshime në lig</w:t>
      </w:r>
      <w:r w:rsidR="00EF121B" w:rsidRPr="000473F9">
        <w:rPr>
          <w:rFonts w:ascii="Times New Roman" w:hAnsi="Times New Roman"/>
          <w:sz w:val="24"/>
          <w:szCs w:val="24"/>
          <w:lang w:val="sq-AL"/>
        </w:rPr>
        <w:t>jin nr. 7905, datë 21.</w:t>
      </w:r>
      <w:r w:rsidR="004D303C" w:rsidRPr="000473F9">
        <w:rPr>
          <w:rFonts w:ascii="Times New Roman" w:hAnsi="Times New Roman"/>
          <w:sz w:val="24"/>
          <w:szCs w:val="24"/>
          <w:lang w:val="sq-AL"/>
        </w:rPr>
        <w:t>0</w:t>
      </w:r>
      <w:r w:rsidR="00EF121B" w:rsidRPr="000473F9">
        <w:rPr>
          <w:rFonts w:ascii="Times New Roman" w:hAnsi="Times New Roman"/>
          <w:sz w:val="24"/>
          <w:szCs w:val="24"/>
          <w:lang w:val="sq-AL"/>
        </w:rPr>
        <w:t>3.1995</w:t>
      </w:r>
      <w:r w:rsidR="00AC3596" w:rsidRPr="000473F9">
        <w:rPr>
          <w:rFonts w:ascii="Times New Roman" w:hAnsi="Times New Roman"/>
          <w:sz w:val="24"/>
          <w:szCs w:val="24"/>
          <w:lang w:val="sq-AL"/>
        </w:rPr>
        <w:t xml:space="preserve"> “K</w:t>
      </w:r>
      <w:r w:rsidRPr="000473F9">
        <w:rPr>
          <w:rFonts w:ascii="Times New Roman" w:hAnsi="Times New Roman"/>
          <w:sz w:val="24"/>
          <w:szCs w:val="24"/>
          <w:lang w:val="sq-AL"/>
        </w:rPr>
        <w:t xml:space="preserve">odi i </w:t>
      </w:r>
      <w:r w:rsidR="00AC3596" w:rsidRPr="000473F9">
        <w:rPr>
          <w:rFonts w:ascii="Times New Roman" w:hAnsi="Times New Roman"/>
          <w:sz w:val="24"/>
          <w:szCs w:val="24"/>
          <w:lang w:val="sq-AL"/>
        </w:rPr>
        <w:t>P</w:t>
      </w:r>
      <w:r w:rsidRPr="000473F9">
        <w:rPr>
          <w:rFonts w:ascii="Times New Roman" w:hAnsi="Times New Roman"/>
          <w:sz w:val="24"/>
          <w:szCs w:val="24"/>
          <w:lang w:val="sq-AL"/>
        </w:rPr>
        <w:t xml:space="preserve">rocedurës </w:t>
      </w:r>
      <w:r w:rsidR="00AC3596" w:rsidRPr="000473F9">
        <w:rPr>
          <w:rFonts w:ascii="Times New Roman" w:hAnsi="Times New Roman"/>
          <w:sz w:val="24"/>
          <w:szCs w:val="24"/>
          <w:lang w:val="sq-AL"/>
        </w:rPr>
        <w:t>P</w:t>
      </w:r>
      <w:r w:rsidRPr="000473F9">
        <w:rPr>
          <w:rFonts w:ascii="Times New Roman" w:hAnsi="Times New Roman"/>
          <w:sz w:val="24"/>
          <w:szCs w:val="24"/>
          <w:lang w:val="sq-AL"/>
        </w:rPr>
        <w:t xml:space="preserve">enale  i </w:t>
      </w:r>
      <w:r w:rsidR="00AC3596" w:rsidRPr="000473F9">
        <w:rPr>
          <w:rFonts w:ascii="Times New Roman" w:hAnsi="Times New Roman"/>
          <w:sz w:val="24"/>
          <w:szCs w:val="24"/>
          <w:lang w:val="sq-AL"/>
        </w:rPr>
        <w:t>R</w:t>
      </w:r>
      <w:r w:rsidRPr="000473F9">
        <w:rPr>
          <w:rFonts w:ascii="Times New Roman" w:hAnsi="Times New Roman"/>
          <w:sz w:val="24"/>
          <w:szCs w:val="24"/>
          <w:lang w:val="sq-AL"/>
        </w:rPr>
        <w:t xml:space="preserve">epublikës së </w:t>
      </w:r>
      <w:r w:rsidR="00AC3596" w:rsidRPr="000473F9">
        <w:rPr>
          <w:rFonts w:ascii="Times New Roman" w:hAnsi="Times New Roman"/>
          <w:sz w:val="24"/>
          <w:szCs w:val="24"/>
          <w:lang w:val="sq-AL"/>
        </w:rPr>
        <w:t>S</w:t>
      </w:r>
      <w:r w:rsidRPr="000473F9">
        <w:rPr>
          <w:rFonts w:ascii="Times New Roman" w:hAnsi="Times New Roman"/>
          <w:sz w:val="24"/>
          <w:szCs w:val="24"/>
          <w:lang w:val="sq-AL"/>
        </w:rPr>
        <w:t>hqipërisë”, të ndryshuar</w:t>
      </w:r>
      <w:r w:rsidR="00AC3596" w:rsidRPr="000473F9">
        <w:rPr>
          <w:rFonts w:ascii="Times New Roman" w:hAnsi="Times New Roman"/>
          <w:sz w:val="24"/>
          <w:szCs w:val="24"/>
          <w:lang w:val="sq-AL"/>
        </w:rPr>
        <w:t xml:space="preserve">” janë pjesë e paketës së reformës në drejtësi, të miratuara nga ligjvënësi në të njëjtin kontekst historik. Përmes tyre ligjvënësi është kujdesur në mënyrë të veçantë për korrupsionin serioz, i cili krijon premisa të ndërlidhjes me krimin e organizuar, çka rrezikon bazat e shtetit dhe organizimin shoqëror. </w:t>
      </w:r>
    </w:p>
    <w:p w:rsidR="00AC3596" w:rsidRPr="000473F9" w:rsidRDefault="00872552" w:rsidP="009B5EB3">
      <w:pPr>
        <w:pStyle w:val="ListParagraph"/>
        <w:numPr>
          <w:ilvl w:val="0"/>
          <w:numId w:val="4"/>
        </w:numPr>
        <w:tabs>
          <w:tab w:val="left" w:pos="108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 xml:space="preserve">Përmes parashikimeve të nenit 135 të Kushtetutës ligjvënësi nuk ka pasur si qëllim përjashtimin kushtetues të gjykatave të juridiksionit të zakonshëm nga gjykimi i veprave penale të korrupsionit. Ky nen përcakton </w:t>
      </w:r>
      <w:r w:rsidR="00AC3596" w:rsidRPr="000473F9">
        <w:rPr>
          <w:rFonts w:ascii="Times New Roman" w:hAnsi="Times New Roman"/>
          <w:sz w:val="24"/>
          <w:szCs w:val="24"/>
          <w:lang w:val="sq-AL"/>
        </w:rPr>
        <w:t xml:space="preserve">juridiksionin lëndor të </w:t>
      </w:r>
      <w:r w:rsidR="00B80A3D" w:rsidRPr="000473F9">
        <w:rPr>
          <w:rFonts w:ascii="Times New Roman" w:hAnsi="Times New Roman"/>
          <w:sz w:val="24"/>
          <w:szCs w:val="24"/>
          <w:lang w:val="sq-AL"/>
        </w:rPr>
        <w:t>G</w:t>
      </w:r>
      <w:r w:rsidR="00AC3596" w:rsidRPr="000473F9">
        <w:rPr>
          <w:rFonts w:ascii="Times New Roman" w:hAnsi="Times New Roman"/>
          <w:sz w:val="24"/>
          <w:szCs w:val="24"/>
          <w:lang w:val="sq-AL"/>
        </w:rPr>
        <w:t xml:space="preserve">jykatës së </w:t>
      </w:r>
      <w:r w:rsidR="00B80A3D" w:rsidRPr="000473F9">
        <w:rPr>
          <w:rFonts w:ascii="Times New Roman" w:hAnsi="Times New Roman"/>
          <w:sz w:val="24"/>
          <w:szCs w:val="24"/>
          <w:lang w:val="sq-AL"/>
        </w:rPr>
        <w:t>P</w:t>
      </w:r>
      <w:r w:rsidR="00AC3596" w:rsidRPr="000473F9">
        <w:rPr>
          <w:rFonts w:ascii="Times New Roman" w:hAnsi="Times New Roman"/>
          <w:sz w:val="24"/>
          <w:szCs w:val="24"/>
          <w:lang w:val="sq-AL"/>
        </w:rPr>
        <w:t xml:space="preserve">osaçme në mënyrë të përgjithshme, ndërsa juridiksioni në kuptimin e ngushtë përcaktohet në nenin 75/a të KPP-së. Ndërkohë që këto kompetenca nuk mund të zgjerohen tej atyre të parashikuara në Kushtetutë, nuk ndalohet ngushtimi i tyre </w:t>
      </w:r>
      <w:r w:rsidR="008C274B" w:rsidRPr="000473F9">
        <w:rPr>
          <w:rFonts w:ascii="Times New Roman" w:hAnsi="Times New Roman"/>
          <w:sz w:val="24"/>
          <w:szCs w:val="24"/>
          <w:lang w:val="sq-AL"/>
        </w:rPr>
        <w:t>për një fokusim</w:t>
      </w:r>
      <w:r w:rsidR="00AC3596" w:rsidRPr="000473F9">
        <w:rPr>
          <w:rFonts w:ascii="Times New Roman" w:hAnsi="Times New Roman"/>
          <w:sz w:val="24"/>
          <w:szCs w:val="24"/>
          <w:lang w:val="sq-AL"/>
        </w:rPr>
        <w:t xml:space="preserve"> më të mirë në çështje</w:t>
      </w:r>
      <w:r w:rsidR="008C274B" w:rsidRPr="000473F9">
        <w:rPr>
          <w:rFonts w:ascii="Times New Roman" w:hAnsi="Times New Roman"/>
          <w:sz w:val="24"/>
          <w:szCs w:val="24"/>
          <w:lang w:val="sq-AL"/>
        </w:rPr>
        <w:t>t</w:t>
      </w:r>
      <w:r w:rsidR="00AC3596" w:rsidRPr="000473F9">
        <w:rPr>
          <w:rFonts w:ascii="Times New Roman" w:hAnsi="Times New Roman"/>
          <w:sz w:val="24"/>
          <w:szCs w:val="24"/>
          <w:lang w:val="sq-AL"/>
        </w:rPr>
        <w:t xml:space="preserve"> serioze të korrupsionit.</w:t>
      </w:r>
      <w:r w:rsidR="00CF2BFC" w:rsidRPr="000473F9">
        <w:rPr>
          <w:rFonts w:ascii="Times New Roman" w:hAnsi="Times New Roman"/>
          <w:sz w:val="24"/>
          <w:szCs w:val="24"/>
          <w:lang w:val="sq-AL"/>
        </w:rPr>
        <w:t xml:space="preserve"> </w:t>
      </w:r>
    </w:p>
    <w:p w:rsidR="00AC3596" w:rsidRPr="000473F9" w:rsidRDefault="006C1F2C" w:rsidP="009B5EB3">
      <w:pPr>
        <w:pStyle w:val="ListParagraph"/>
        <w:numPr>
          <w:ilvl w:val="0"/>
          <w:numId w:val="4"/>
        </w:numPr>
        <w:tabs>
          <w:tab w:val="left" w:pos="1080"/>
        </w:tabs>
        <w:spacing w:after="0" w:line="360" w:lineRule="auto"/>
        <w:ind w:left="1260" w:hanging="540"/>
        <w:jc w:val="both"/>
        <w:rPr>
          <w:rFonts w:ascii="Times New Roman" w:hAnsi="Times New Roman"/>
          <w:sz w:val="24"/>
          <w:szCs w:val="24"/>
          <w:lang w:val="sq-AL"/>
        </w:rPr>
      </w:pPr>
      <w:r w:rsidRPr="000473F9">
        <w:rPr>
          <w:rFonts w:ascii="Times New Roman" w:hAnsi="Times New Roman"/>
          <w:sz w:val="24"/>
          <w:szCs w:val="24"/>
          <w:lang w:val="sq-AL"/>
        </w:rPr>
        <w:t>G</w:t>
      </w:r>
      <w:r w:rsidR="00027DAC" w:rsidRPr="000473F9">
        <w:rPr>
          <w:rFonts w:ascii="Times New Roman" w:hAnsi="Times New Roman"/>
          <w:sz w:val="24"/>
          <w:szCs w:val="24"/>
          <w:lang w:val="sq-AL"/>
        </w:rPr>
        <w:t xml:space="preserve">jykata referuese nuk ka </w:t>
      </w:r>
      <w:r w:rsidR="00C704AD" w:rsidRPr="000473F9">
        <w:rPr>
          <w:rFonts w:ascii="Times New Roman" w:hAnsi="Times New Roman"/>
          <w:sz w:val="24"/>
          <w:szCs w:val="24"/>
          <w:lang w:val="sq-AL"/>
        </w:rPr>
        <w:t>bërë</w:t>
      </w:r>
      <w:r w:rsidR="00027DAC" w:rsidRPr="000473F9">
        <w:rPr>
          <w:rFonts w:ascii="Times New Roman" w:hAnsi="Times New Roman"/>
          <w:sz w:val="24"/>
          <w:szCs w:val="24"/>
          <w:lang w:val="sq-AL"/>
        </w:rPr>
        <w:t xml:space="preserve"> argumentim specifik për bazueshmërinë e </w:t>
      </w:r>
      <w:r w:rsidRPr="000473F9">
        <w:rPr>
          <w:rFonts w:ascii="Times New Roman" w:hAnsi="Times New Roman"/>
          <w:sz w:val="24"/>
          <w:szCs w:val="24"/>
          <w:lang w:val="sq-AL"/>
        </w:rPr>
        <w:t xml:space="preserve">pretendimeve për cenimin e parimit të ndarjes së pushteteve dhe </w:t>
      </w:r>
      <w:r w:rsidR="00081D75" w:rsidRPr="000473F9">
        <w:rPr>
          <w:rFonts w:ascii="Times New Roman" w:hAnsi="Times New Roman"/>
          <w:sz w:val="24"/>
          <w:szCs w:val="24"/>
          <w:lang w:val="sq-AL"/>
        </w:rPr>
        <w:t xml:space="preserve">të </w:t>
      </w:r>
      <w:r w:rsidRPr="000473F9">
        <w:rPr>
          <w:rFonts w:ascii="Times New Roman" w:hAnsi="Times New Roman"/>
          <w:sz w:val="24"/>
          <w:szCs w:val="24"/>
          <w:lang w:val="sq-AL"/>
        </w:rPr>
        <w:t>sigurisë juridike</w:t>
      </w:r>
      <w:r w:rsidR="00F450A3" w:rsidRPr="000473F9">
        <w:rPr>
          <w:rFonts w:ascii="Times New Roman" w:hAnsi="Times New Roman"/>
          <w:sz w:val="24"/>
          <w:szCs w:val="24"/>
          <w:lang w:val="sq-AL"/>
        </w:rPr>
        <w:t>. Këto pretendime janë rrjedhojë e atyre për cenimin e parimit të hierarkisë së normave, pra argumente të devijuara prej tyre dhe jo si të tilla në vetvete</w:t>
      </w:r>
      <w:r w:rsidR="00027DAC" w:rsidRPr="000473F9">
        <w:rPr>
          <w:rFonts w:ascii="Times New Roman" w:hAnsi="Times New Roman"/>
          <w:sz w:val="24"/>
          <w:szCs w:val="24"/>
          <w:lang w:val="sq-AL"/>
        </w:rPr>
        <w:t xml:space="preserve">. </w:t>
      </w:r>
    </w:p>
    <w:p w:rsidR="00047430" w:rsidRPr="000473F9" w:rsidRDefault="00047430"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
          <w:i/>
          <w:sz w:val="24"/>
          <w:szCs w:val="24"/>
          <w:lang w:val="sq-AL"/>
        </w:rPr>
        <w:t>Subjekti i interesuar, Prokuroria e Posaçme,</w:t>
      </w:r>
      <w:r w:rsidR="0054545B" w:rsidRPr="000473F9">
        <w:rPr>
          <w:rFonts w:ascii="Times New Roman" w:hAnsi="Times New Roman"/>
          <w:b/>
          <w:sz w:val="24"/>
          <w:szCs w:val="24"/>
          <w:lang w:val="sq-AL"/>
        </w:rPr>
        <w:t xml:space="preserve"> </w:t>
      </w:r>
      <w:r w:rsidR="0054545B" w:rsidRPr="000473F9">
        <w:rPr>
          <w:rFonts w:ascii="Times New Roman" w:hAnsi="Times New Roman"/>
          <w:sz w:val="24"/>
          <w:szCs w:val="24"/>
          <w:lang w:val="sq-AL"/>
        </w:rPr>
        <w:t>nuk ka paraqitur</w:t>
      </w:r>
      <w:r w:rsidR="0054545B" w:rsidRPr="000473F9">
        <w:rPr>
          <w:rFonts w:ascii="Times New Roman" w:hAnsi="Times New Roman"/>
          <w:b/>
          <w:sz w:val="24"/>
          <w:szCs w:val="24"/>
          <w:lang w:val="sq-AL"/>
        </w:rPr>
        <w:t xml:space="preserve"> </w:t>
      </w:r>
      <w:r w:rsidR="0054545B" w:rsidRPr="000473F9">
        <w:rPr>
          <w:rFonts w:ascii="Times New Roman" w:hAnsi="Times New Roman"/>
          <w:sz w:val="24"/>
          <w:szCs w:val="24"/>
          <w:lang w:val="sq-AL"/>
        </w:rPr>
        <w:t>parashtrime me shkrim</w:t>
      </w:r>
      <w:r w:rsidR="00661717" w:rsidRPr="000473F9">
        <w:rPr>
          <w:rFonts w:ascii="Times New Roman" w:hAnsi="Times New Roman"/>
          <w:sz w:val="24"/>
          <w:szCs w:val="24"/>
          <w:lang w:val="sq-AL"/>
        </w:rPr>
        <w:t>,</w:t>
      </w:r>
      <w:r w:rsidR="0054545B" w:rsidRPr="000473F9">
        <w:rPr>
          <w:rFonts w:ascii="Times New Roman" w:hAnsi="Times New Roman"/>
          <w:sz w:val="24"/>
          <w:szCs w:val="24"/>
          <w:lang w:val="sq-AL"/>
        </w:rPr>
        <w:t xml:space="preserve"> edhe pse është njoftuar rregullisht.</w:t>
      </w:r>
      <w:r w:rsidR="0054545B" w:rsidRPr="000473F9">
        <w:rPr>
          <w:rFonts w:ascii="Times New Roman" w:hAnsi="Times New Roman"/>
          <w:b/>
          <w:sz w:val="24"/>
          <w:szCs w:val="24"/>
          <w:lang w:val="sq-AL"/>
        </w:rPr>
        <w:t xml:space="preserve"> </w:t>
      </w:r>
    </w:p>
    <w:p w:rsidR="009076C6" w:rsidRPr="000473F9" w:rsidRDefault="009076C6" w:rsidP="009B5EB3">
      <w:pPr>
        <w:keepNext/>
        <w:tabs>
          <w:tab w:val="left" w:pos="1620"/>
        </w:tabs>
        <w:spacing w:after="0" w:line="360" w:lineRule="auto"/>
        <w:outlineLvl w:val="3"/>
        <w:rPr>
          <w:rFonts w:ascii="Times New Roman" w:hAnsi="Times New Roman"/>
          <w:b/>
          <w:sz w:val="24"/>
          <w:szCs w:val="24"/>
          <w:lang w:val="sq-AL"/>
        </w:rPr>
      </w:pPr>
    </w:p>
    <w:p w:rsidR="0047187B" w:rsidRPr="000473F9" w:rsidRDefault="0047187B" w:rsidP="009B5EB3">
      <w:pPr>
        <w:keepNext/>
        <w:tabs>
          <w:tab w:val="left" w:pos="1620"/>
        </w:tabs>
        <w:spacing w:after="0" w:line="360" w:lineRule="auto"/>
        <w:jc w:val="center"/>
        <w:outlineLvl w:val="3"/>
        <w:rPr>
          <w:rFonts w:ascii="Times New Roman" w:hAnsi="Times New Roman"/>
          <w:b/>
          <w:sz w:val="24"/>
          <w:szCs w:val="24"/>
          <w:lang w:val="sq-AL"/>
        </w:rPr>
      </w:pPr>
      <w:r w:rsidRPr="000473F9">
        <w:rPr>
          <w:rFonts w:ascii="Times New Roman" w:hAnsi="Times New Roman"/>
          <w:b/>
          <w:sz w:val="24"/>
          <w:szCs w:val="24"/>
          <w:lang w:val="sq-AL"/>
        </w:rPr>
        <w:t>III</w:t>
      </w:r>
    </w:p>
    <w:p w:rsidR="0047187B" w:rsidRPr="000473F9" w:rsidRDefault="0047187B" w:rsidP="009B5EB3">
      <w:pPr>
        <w:tabs>
          <w:tab w:val="left" w:pos="1620"/>
        </w:tabs>
        <w:spacing w:after="0" w:line="360" w:lineRule="auto"/>
        <w:jc w:val="center"/>
        <w:rPr>
          <w:rFonts w:ascii="Times New Roman" w:hAnsi="Times New Roman"/>
          <w:b/>
          <w:sz w:val="24"/>
          <w:szCs w:val="24"/>
          <w:lang w:val="sq-AL"/>
        </w:rPr>
      </w:pPr>
      <w:r w:rsidRPr="000473F9">
        <w:rPr>
          <w:rFonts w:ascii="Times New Roman" w:hAnsi="Times New Roman"/>
          <w:b/>
          <w:sz w:val="24"/>
          <w:szCs w:val="24"/>
          <w:lang w:val="sq-AL"/>
        </w:rPr>
        <w:t xml:space="preserve">Vlerësimi i </w:t>
      </w:r>
      <w:r w:rsidR="009076C6" w:rsidRPr="000473F9">
        <w:rPr>
          <w:rFonts w:ascii="Times New Roman" w:hAnsi="Times New Roman"/>
          <w:b/>
          <w:sz w:val="24"/>
          <w:szCs w:val="24"/>
          <w:lang w:val="sq-AL"/>
        </w:rPr>
        <w:t>Gjykatës Kushtetuese</w:t>
      </w:r>
    </w:p>
    <w:p w:rsidR="0047187B" w:rsidRPr="000473F9" w:rsidRDefault="0047187B" w:rsidP="009B5EB3">
      <w:pPr>
        <w:tabs>
          <w:tab w:val="left" w:pos="990"/>
        </w:tabs>
        <w:spacing w:after="0" w:line="360" w:lineRule="auto"/>
        <w:ind w:firstLine="720"/>
        <w:jc w:val="both"/>
        <w:rPr>
          <w:rFonts w:ascii="Times New Roman" w:hAnsi="Times New Roman"/>
          <w:i/>
          <w:sz w:val="24"/>
          <w:szCs w:val="24"/>
          <w:lang w:val="sq-AL"/>
        </w:rPr>
      </w:pPr>
      <w:r w:rsidRPr="000473F9">
        <w:rPr>
          <w:rFonts w:ascii="Times New Roman" w:hAnsi="Times New Roman"/>
          <w:i/>
          <w:sz w:val="24"/>
          <w:szCs w:val="24"/>
          <w:lang w:val="sq-AL"/>
        </w:rPr>
        <w:t>A. Për legjitimimin e gjykatës referuese</w:t>
      </w:r>
    </w:p>
    <w:p w:rsidR="00FC0A04" w:rsidRPr="000473F9" w:rsidRDefault="0047187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Çështja e legjitimimit të subjekteve që mund t’i drejtohen Gjykatës Kushtetuese ёshtё vlerësuar si një ndër aspektet kryesore që mundëson fillimin e procesit kushtetues. Kërkesa për kontroll incidental parashikohet në nenin 145, pika 2, të Kushtetutës, i cili u njeh të drejtën gjyqtarëve që në çdo fazë të gjykimit, kur çmojnë se ligjet bien në kundërshtim me Kushtetutën, të mos i zbatojnë ato, të vendosin pezullimin e gjykimit të çështjes dhe dërgimin e saj Gjykatës Kushtetuese për t’u shprehur për kushtetutshmërinë e normës. Kjo dispozitë, e konkretizuar edhe në nenin 68 të ligjit nr. 8577/2000, lidhet me kontrollin kushtetues të ligjeve nga Gjykata, kur ky kontroll kërkohet nga gjykatat e juridiksionit tё zakonshëm</w:t>
      </w:r>
      <w:r w:rsidR="00C31511" w:rsidRPr="000473F9">
        <w:rPr>
          <w:rFonts w:ascii="Times New Roman" w:hAnsi="Times New Roman"/>
          <w:sz w:val="24"/>
          <w:szCs w:val="24"/>
          <w:lang w:val="sq-AL"/>
        </w:rPr>
        <w:t>.</w:t>
      </w:r>
    </w:p>
    <w:p w:rsidR="0047187B" w:rsidRPr="000473F9" w:rsidRDefault="0047187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lastRenderedPageBreak/>
        <w:t xml:space="preserve">Gjykata në jurisprudencën e saj ka zhvilluar disa standarde për legjitimimin e gjykatës referuese për inicimin e kontrollit incidental të normës ligjore për pajtueshmërinë e saj me Kushtetutën. Sipas këtyre standardeve, gjykata referuese duhet që gjatë procesit gjyqësor: (i) </w:t>
      </w:r>
      <w:r w:rsidRPr="000473F9">
        <w:rPr>
          <w:rFonts w:ascii="Times New Roman" w:hAnsi="Times New Roman"/>
          <w:bCs/>
          <w:sz w:val="24"/>
          <w:szCs w:val="24"/>
          <w:lang w:val="sq-AL"/>
        </w:rPr>
        <w:t>të ketë përcaktuar/identifikuar ligjin që do të zbatohet për zgjidhjen e çështjes konkrete (lidhja e drejtpërdrejtë);</w:t>
      </w:r>
      <w:r w:rsidRPr="000473F9">
        <w:rPr>
          <w:rFonts w:ascii="Times New Roman" w:hAnsi="Times New Roman"/>
          <w:sz w:val="24"/>
          <w:szCs w:val="24"/>
          <w:lang w:val="sq-AL"/>
        </w:rPr>
        <w:t xml:space="preserve"> (ii) </w:t>
      </w:r>
      <w:r w:rsidRPr="000473F9">
        <w:rPr>
          <w:rFonts w:ascii="Times New Roman" w:hAnsi="Times New Roman"/>
          <w:bCs/>
          <w:sz w:val="24"/>
          <w:szCs w:val="24"/>
          <w:lang w:val="sq-AL"/>
        </w:rPr>
        <w:t xml:space="preserve">të parashtrojë arsye serioze për antikushtetutshmërinë e këtij ligji, duke referuar në normat ose parimet konkrete të Kushtetutës; (iii) </w:t>
      </w:r>
      <w:r w:rsidRPr="000473F9">
        <w:rPr>
          <w:rFonts w:ascii="Times New Roman" w:hAnsi="Times New Roman"/>
          <w:sz w:val="24"/>
          <w:szCs w:val="24"/>
          <w:lang w:val="sq-AL"/>
        </w:rPr>
        <w:t xml:space="preserve">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ketë bërë të gjitha përpjekjet për ta interpretuar atë në përputhje me Kushtetutën </w:t>
      </w:r>
      <w:r w:rsidRPr="000473F9">
        <w:rPr>
          <w:rFonts w:ascii="Times New Roman" w:hAnsi="Times New Roman"/>
          <w:i/>
          <w:sz w:val="24"/>
          <w:szCs w:val="24"/>
          <w:lang w:val="sq-AL"/>
        </w:rPr>
        <w:t>(shih vendimet nr. 24, datë 04.05.2021; nr. 7, datë 23.02.2021 t</w:t>
      </w:r>
      <w:r w:rsidRPr="000473F9">
        <w:rPr>
          <w:rFonts w:ascii="Times New Roman" w:hAnsi="Times New Roman"/>
          <w:bCs/>
          <w:i/>
          <w:sz w:val="24"/>
          <w:szCs w:val="24"/>
          <w:lang w:val="sq-AL"/>
        </w:rPr>
        <w:t>ë Gjykatës Kushtetuese)</w:t>
      </w:r>
      <w:r w:rsidRPr="000473F9">
        <w:rPr>
          <w:rFonts w:ascii="Times New Roman" w:hAnsi="Times New Roman"/>
          <w:bCs/>
          <w:sz w:val="24"/>
          <w:szCs w:val="24"/>
          <w:lang w:val="sq-AL"/>
        </w:rPr>
        <w:t>.</w:t>
      </w:r>
    </w:p>
    <w:p w:rsidR="0047187B" w:rsidRPr="000473F9" w:rsidRDefault="0047187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Kriteret e mësipërme janë kumulative dhe mjafton mosplotësimi i vetëm njërit prej </w:t>
      </w:r>
      <w:r w:rsidR="00F70CC8" w:rsidRPr="000473F9">
        <w:rPr>
          <w:rFonts w:ascii="Times New Roman" w:hAnsi="Times New Roman"/>
          <w:sz w:val="24"/>
          <w:szCs w:val="24"/>
          <w:lang w:val="sq-AL"/>
        </w:rPr>
        <w:t>tyre</w:t>
      </w:r>
      <w:r w:rsidRPr="000473F9">
        <w:rPr>
          <w:rFonts w:ascii="Times New Roman" w:hAnsi="Times New Roman"/>
          <w:sz w:val="24"/>
          <w:szCs w:val="24"/>
          <w:lang w:val="sq-AL"/>
        </w:rPr>
        <w:t xml:space="preserve"> që gjykata referuese të mos legjitimohet për vënien në lëvizje të gjykimit kushtetues</w:t>
      </w:r>
      <w:r w:rsidRPr="000473F9">
        <w:rPr>
          <w:rFonts w:ascii="Times New Roman" w:hAnsi="Times New Roman"/>
          <w:i/>
          <w:sz w:val="24"/>
          <w:szCs w:val="24"/>
          <w:lang w:val="sq-AL"/>
        </w:rPr>
        <w:t xml:space="preserve"> (shih vendimin nr. 8, datë 07.02.2017 të Gjykatës Kushtetuese)</w:t>
      </w:r>
      <w:r w:rsidRPr="000473F9">
        <w:rPr>
          <w:rFonts w:ascii="Times New Roman" w:hAnsi="Times New Roman"/>
          <w:sz w:val="24"/>
          <w:szCs w:val="24"/>
          <w:lang w:val="sq-AL"/>
        </w:rPr>
        <w:t>.</w:t>
      </w:r>
    </w:p>
    <w:p w:rsidR="008A2BD6" w:rsidRPr="000473F9" w:rsidRDefault="008A2BD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Cs/>
          <w:sz w:val="24"/>
          <w:szCs w:val="24"/>
          <w:lang w:val="sq-AL"/>
        </w:rPr>
        <w:t>Për</w:t>
      </w:r>
      <w:r w:rsidR="005F2683" w:rsidRPr="000473F9">
        <w:rPr>
          <w:rFonts w:ascii="Times New Roman" w:hAnsi="Times New Roman"/>
          <w:bCs/>
          <w:sz w:val="24"/>
          <w:szCs w:val="24"/>
          <w:lang w:val="sq-AL"/>
        </w:rPr>
        <w:t xml:space="preserve"> sa </w:t>
      </w:r>
      <w:r w:rsidR="006E4071" w:rsidRPr="000473F9">
        <w:rPr>
          <w:rFonts w:ascii="Times New Roman" w:hAnsi="Times New Roman"/>
          <w:bCs/>
          <w:sz w:val="24"/>
          <w:szCs w:val="24"/>
          <w:lang w:val="sq-AL"/>
        </w:rPr>
        <w:t>u</w:t>
      </w:r>
      <w:r w:rsidR="005F2683" w:rsidRPr="000473F9">
        <w:rPr>
          <w:rFonts w:ascii="Times New Roman" w:hAnsi="Times New Roman"/>
          <w:bCs/>
          <w:sz w:val="24"/>
          <w:szCs w:val="24"/>
          <w:lang w:val="sq-AL"/>
        </w:rPr>
        <w:t xml:space="preserve"> </w:t>
      </w:r>
      <w:r w:rsidR="006E4071" w:rsidRPr="000473F9">
        <w:rPr>
          <w:rFonts w:ascii="Times New Roman" w:hAnsi="Times New Roman"/>
          <w:bCs/>
          <w:sz w:val="24"/>
          <w:szCs w:val="24"/>
          <w:lang w:val="sq-AL"/>
        </w:rPr>
        <w:t>takon</w:t>
      </w:r>
      <w:r w:rsidR="005F2683" w:rsidRPr="000473F9">
        <w:rPr>
          <w:rFonts w:ascii="Times New Roman" w:hAnsi="Times New Roman"/>
          <w:bCs/>
          <w:sz w:val="24"/>
          <w:szCs w:val="24"/>
          <w:lang w:val="sq-AL"/>
        </w:rPr>
        <w:t xml:space="preserve"> kritereve të </w:t>
      </w:r>
      <w:r w:rsidRPr="000473F9">
        <w:rPr>
          <w:rFonts w:ascii="Times New Roman" w:hAnsi="Times New Roman"/>
          <w:bCs/>
          <w:sz w:val="24"/>
          <w:szCs w:val="24"/>
          <w:lang w:val="sq-AL"/>
        </w:rPr>
        <w:t>leg</w:t>
      </w:r>
      <w:r w:rsidR="006E4071" w:rsidRPr="000473F9">
        <w:rPr>
          <w:rFonts w:ascii="Times New Roman" w:hAnsi="Times New Roman"/>
          <w:bCs/>
          <w:sz w:val="24"/>
          <w:szCs w:val="24"/>
          <w:lang w:val="sq-AL"/>
        </w:rPr>
        <w:t>jitimimit të gjykatës referuese</w:t>
      </w:r>
      <w:r w:rsidRPr="000473F9">
        <w:rPr>
          <w:rFonts w:ascii="Times New Roman" w:hAnsi="Times New Roman"/>
          <w:bCs/>
          <w:sz w:val="24"/>
          <w:szCs w:val="24"/>
          <w:lang w:val="sq-AL"/>
        </w:rPr>
        <w:t xml:space="preserve"> </w:t>
      </w:r>
      <w:r w:rsidR="006E4071" w:rsidRPr="000473F9">
        <w:rPr>
          <w:rFonts w:ascii="Times New Roman" w:hAnsi="Times New Roman"/>
          <w:bCs/>
          <w:sz w:val="24"/>
          <w:szCs w:val="24"/>
          <w:lang w:val="sq-AL"/>
        </w:rPr>
        <w:t xml:space="preserve">për </w:t>
      </w:r>
      <w:r w:rsidR="005F2683" w:rsidRPr="000473F9">
        <w:rPr>
          <w:rFonts w:ascii="Times New Roman" w:hAnsi="Times New Roman"/>
          <w:bCs/>
          <w:sz w:val="24"/>
          <w:szCs w:val="24"/>
          <w:lang w:val="sq-AL"/>
        </w:rPr>
        <w:t>identifikimin e</w:t>
      </w:r>
      <w:r w:rsidRPr="000473F9">
        <w:rPr>
          <w:rFonts w:ascii="Times New Roman" w:hAnsi="Times New Roman"/>
          <w:bCs/>
          <w:sz w:val="24"/>
          <w:szCs w:val="24"/>
          <w:lang w:val="sq-AL"/>
        </w:rPr>
        <w:t xml:space="preserve"> ligjit </w:t>
      </w:r>
      <w:r w:rsidR="006E4071" w:rsidRPr="000473F9">
        <w:rPr>
          <w:rFonts w:ascii="Times New Roman" w:hAnsi="Times New Roman"/>
          <w:bCs/>
          <w:sz w:val="24"/>
          <w:szCs w:val="24"/>
          <w:lang w:val="sq-AL"/>
        </w:rPr>
        <w:t>të zbatueshëm</w:t>
      </w:r>
      <w:r w:rsidRPr="000473F9">
        <w:rPr>
          <w:rFonts w:ascii="Times New Roman" w:hAnsi="Times New Roman"/>
          <w:bCs/>
          <w:sz w:val="24"/>
          <w:szCs w:val="24"/>
          <w:lang w:val="sq-AL"/>
        </w:rPr>
        <w:t xml:space="preserve"> </w:t>
      </w:r>
      <w:r w:rsidR="00F21D40" w:rsidRPr="000473F9">
        <w:rPr>
          <w:rFonts w:ascii="Times New Roman" w:hAnsi="Times New Roman"/>
          <w:bCs/>
          <w:sz w:val="24"/>
          <w:szCs w:val="24"/>
          <w:lang w:val="sq-AL"/>
        </w:rPr>
        <w:t xml:space="preserve">dhe lidhjes së drejtpërdrejtë </w:t>
      </w:r>
      <w:r w:rsidR="001A686D" w:rsidRPr="000473F9">
        <w:rPr>
          <w:rFonts w:ascii="Times New Roman" w:hAnsi="Times New Roman"/>
          <w:bCs/>
          <w:sz w:val="24"/>
          <w:szCs w:val="24"/>
          <w:lang w:val="sq-AL"/>
        </w:rPr>
        <w:t>me zgjidhjen e çështjes</w:t>
      </w:r>
      <w:r w:rsidRPr="000473F9">
        <w:rPr>
          <w:rFonts w:ascii="Times New Roman" w:hAnsi="Times New Roman"/>
          <w:bCs/>
          <w:sz w:val="24"/>
          <w:szCs w:val="24"/>
          <w:lang w:val="sq-AL"/>
        </w:rPr>
        <w:t xml:space="preserve">, </w:t>
      </w:r>
      <w:r w:rsidRPr="000473F9">
        <w:rPr>
          <w:rFonts w:ascii="Times New Roman" w:hAnsi="Times New Roman"/>
          <w:sz w:val="24"/>
          <w:szCs w:val="24"/>
          <w:lang w:val="sq-AL"/>
        </w:rPr>
        <w:t xml:space="preserve">Gjykata ka theksuar se në kuptim të përmbajtjes së </w:t>
      </w:r>
      <w:r w:rsidRPr="000473F9">
        <w:rPr>
          <w:rFonts w:ascii="Times New Roman" w:eastAsia="Times New Roman" w:hAnsi="Times New Roman"/>
          <w:sz w:val="24"/>
          <w:szCs w:val="24"/>
          <w:lang w:val="sq-AL"/>
        </w:rPr>
        <w:t xml:space="preserve">nenit 145 të Kushtetutës dhe nenit 68, pika 2, të ligjit nr. 8577/2000, gjykata referuese në vendimin për pezullimin e gjykimit dhe inicimin e kontrollit kushtetues, është e detyruar të përcaktojë dispozitat e ligjit të zbatueshëm dhe të argumentojë ekzistencën e lidhjes së drejtpërdrejtë, pra që midis ligjit dhe zgjidhjes së çështjes konkrete ekziston një marrëdhënie juridike konkrete, reale dhe aktuale </w:t>
      </w:r>
      <w:r w:rsidR="001A686D" w:rsidRPr="000473F9">
        <w:rPr>
          <w:rFonts w:ascii="Times New Roman" w:eastAsia="Times New Roman" w:hAnsi="Times New Roman"/>
          <w:i/>
          <w:sz w:val="24"/>
          <w:szCs w:val="24"/>
          <w:lang w:val="sq-AL"/>
        </w:rPr>
        <w:t>(shih vendim</w:t>
      </w:r>
      <w:r w:rsidR="00311957" w:rsidRPr="000473F9">
        <w:rPr>
          <w:rFonts w:ascii="Times New Roman" w:eastAsia="Times New Roman" w:hAnsi="Times New Roman"/>
          <w:i/>
          <w:sz w:val="24"/>
          <w:szCs w:val="24"/>
          <w:lang w:val="sq-AL"/>
        </w:rPr>
        <w:t xml:space="preserve">in </w:t>
      </w:r>
      <w:r w:rsidRPr="000473F9">
        <w:rPr>
          <w:rFonts w:ascii="Times New Roman" w:eastAsia="Times New Roman" w:hAnsi="Times New Roman"/>
          <w:i/>
          <w:sz w:val="24"/>
          <w:szCs w:val="24"/>
          <w:lang w:val="sq-AL"/>
        </w:rPr>
        <w:t>nr. 7, datë 23.02.2021 të Gjykatës Kushtetuese)</w:t>
      </w:r>
      <w:r w:rsidRPr="000473F9">
        <w:rPr>
          <w:rFonts w:ascii="Times New Roman" w:hAnsi="Times New Roman"/>
          <w:sz w:val="24"/>
          <w:szCs w:val="24"/>
          <w:lang w:val="sq-AL"/>
        </w:rPr>
        <w:t xml:space="preserve">. </w:t>
      </w:r>
    </w:p>
    <w:p w:rsidR="00923D1B" w:rsidRPr="000473F9" w:rsidRDefault="00683E3F"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Në rastin konkret, g</w:t>
      </w:r>
      <w:r w:rsidR="00923D1B" w:rsidRPr="000473F9">
        <w:rPr>
          <w:rFonts w:ascii="Times New Roman" w:hAnsi="Times New Roman"/>
          <w:sz w:val="24"/>
          <w:szCs w:val="24"/>
          <w:lang w:val="sq-AL"/>
        </w:rPr>
        <w:t xml:space="preserve">jykata referuese parashtron se legjitimohet t’i drejtohet Gjykatës, pasi </w:t>
      </w:r>
      <w:r w:rsidR="00D557FA" w:rsidRPr="000473F9">
        <w:rPr>
          <w:rFonts w:ascii="Times New Roman" w:hAnsi="Times New Roman"/>
          <w:sz w:val="24"/>
          <w:szCs w:val="24"/>
          <w:lang w:val="sq-AL"/>
        </w:rPr>
        <w:t xml:space="preserve">ajo ka identifikuar dispozitën </w:t>
      </w:r>
      <w:r w:rsidR="00DE775A" w:rsidRPr="000473F9">
        <w:rPr>
          <w:rFonts w:ascii="Times New Roman" w:hAnsi="Times New Roman"/>
          <w:sz w:val="24"/>
          <w:szCs w:val="24"/>
          <w:lang w:val="sq-AL"/>
        </w:rPr>
        <w:t xml:space="preserve">që çmohet si antikushtetuese, konkretisht togfjalëshin “paragrafi 2”, pas “244”, në shkronjën “a” të nenit 7 të ligjit nr. 41/2021, </w:t>
      </w:r>
      <w:r w:rsidR="00D557FA" w:rsidRPr="000473F9">
        <w:rPr>
          <w:rFonts w:ascii="Times New Roman" w:hAnsi="Times New Roman"/>
          <w:sz w:val="24"/>
          <w:szCs w:val="24"/>
          <w:lang w:val="sq-AL"/>
        </w:rPr>
        <w:t>si dhe ekzistencën e lidhjes së</w:t>
      </w:r>
      <w:r w:rsidR="00923D1B" w:rsidRPr="000473F9">
        <w:rPr>
          <w:rFonts w:ascii="Times New Roman" w:hAnsi="Times New Roman"/>
          <w:sz w:val="24"/>
          <w:szCs w:val="24"/>
          <w:lang w:val="sq-AL"/>
        </w:rPr>
        <w:t xml:space="preserve"> drejtpërdrejtë midis </w:t>
      </w:r>
      <w:r w:rsidR="00DE775A" w:rsidRPr="000473F9">
        <w:rPr>
          <w:rFonts w:ascii="Times New Roman" w:hAnsi="Times New Roman"/>
          <w:sz w:val="24"/>
          <w:szCs w:val="24"/>
          <w:lang w:val="sq-AL"/>
        </w:rPr>
        <w:t>saj</w:t>
      </w:r>
      <w:r w:rsidR="00923D1B" w:rsidRPr="000473F9">
        <w:rPr>
          <w:rFonts w:ascii="Times New Roman" w:hAnsi="Times New Roman"/>
          <w:sz w:val="24"/>
          <w:szCs w:val="24"/>
          <w:lang w:val="sq-AL"/>
        </w:rPr>
        <w:t xml:space="preserve"> dhe zgjidhjes së çështjes </w:t>
      </w:r>
      <w:r w:rsidR="00DE775A" w:rsidRPr="000473F9">
        <w:rPr>
          <w:rFonts w:ascii="Times New Roman" w:hAnsi="Times New Roman"/>
          <w:sz w:val="24"/>
          <w:szCs w:val="24"/>
          <w:lang w:val="sq-AL"/>
        </w:rPr>
        <w:t>konkrete</w:t>
      </w:r>
      <w:r w:rsidR="00923D1B" w:rsidRPr="000473F9">
        <w:rPr>
          <w:rFonts w:ascii="Times New Roman" w:hAnsi="Times New Roman"/>
          <w:sz w:val="24"/>
          <w:szCs w:val="24"/>
          <w:lang w:val="sq-AL"/>
        </w:rPr>
        <w:t>.</w:t>
      </w:r>
    </w:p>
    <w:p w:rsidR="00923D1B" w:rsidRPr="000473F9" w:rsidRDefault="00F70CC8"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Subjektet</w:t>
      </w:r>
      <w:r w:rsidR="00F450A3" w:rsidRPr="000473F9">
        <w:rPr>
          <w:rFonts w:ascii="Times New Roman" w:hAnsi="Times New Roman"/>
          <w:sz w:val="24"/>
          <w:szCs w:val="24"/>
          <w:lang w:val="sq-AL"/>
        </w:rPr>
        <w:t xml:space="preserve"> </w:t>
      </w:r>
      <w:r w:rsidRPr="000473F9">
        <w:rPr>
          <w:rFonts w:ascii="Times New Roman" w:hAnsi="Times New Roman"/>
          <w:sz w:val="24"/>
          <w:szCs w:val="24"/>
          <w:lang w:val="sq-AL"/>
        </w:rPr>
        <w:t>e</w:t>
      </w:r>
      <w:r w:rsidR="00F450A3" w:rsidRPr="000473F9">
        <w:rPr>
          <w:rFonts w:ascii="Times New Roman" w:hAnsi="Times New Roman"/>
          <w:sz w:val="24"/>
          <w:szCs w:val="24"/>
          <w:lang w:val="sq-AL"/>
        </w:rPr>
        <w:t xml:space="preserve"> interesuar</w:t>
      </w:r>
      <w:r w:rsidRPr="000473F9">
        <w:rPr>
          <w:rFonts w:ascii="Times New Roman" w:hAnsi="Times New Roman"/>
          <w:sz w:val="24"/>
          <w:szCs w:val="24"/>
          <w:lang w:val="sq-AL"/>
        </w:rPr>
        <w:t>a</w:t>
      </w:r>
      <w:r w:rsidR="00F450A3" w:rsidRPr="000473F9">
        <w:rPr>
          <w:rFonts w:ascii="Times New Roman" w:hAnsi="Times New Roman"/>
          <w:sz w:val="24"/>
          <w:szCs w:val="24"/>
          <w:lang w:val="sq-AL"/>
        </w:rPr>
        <w:t xml:space="preserve">, </w:t>
      </w:r>
      <w:r w:rsidR="00950F65" w:rsidRPr="000473F9">
        <w:rPr>
          <w:rFonts w:ascii="Times New Roman" w:hAnsi="Times New Roman"/>
          <w:sz w:val="24"/>
          <w:szCs w:val="24"/>
          <w:lang w:val="sq-AL"/>
        </w:rPr>
        <w:t>Kuvendi dhe Këshilli i Ministrave, kanë prapësuar se gjykata referuese nuk përmbush kriteret e legjitimimit për inicimin e kontrollit kushtetues të dispozitës, pasi nuk ka arritur të analizojë dhe vërtetojë lidhjen e drejtpërdrejtë të dispozitës së kundërshtuar me zgjidhjen e çështjes konkrete për shqyrtim para saj. Sipas tyre</w:t>
      </w:r>
      <w:r w:rsidR="00D64898" w:rsidRPr="000473F9">
        <w:rPr>
          <w:rFonts w:ascii="Times New Roman" w:hAnsi="Times New Roman"/>
          <w:sz w:val="24"/>
          <w:szCs w:val="24"/>
          <w:lang w:val="sq-AL"/>
        </w:rPr>
        <w:t>,</w:t>
      </w:r>
      <w:r w:rsidR="00950F65" w:rsidRPr="000473F9">
        <w:rPr>
          <w:rFonts w:ascii="Times New Roman" w:hAnsi="Times New Roman"/>
          <w:sz w:val="24"/>
          <w:szCs w:val="24"/>
          <w:lang w:val="sq-AL"/>
        </w:rPr>
        <w:t xml:space="preserve"> dispozita e kundërshtuar parashikon kompetencën lëndore të </w:t>
      </w:r>
      <w:r w:rsidR="00B80A3D" w:rsidRPr="000473F9">
        <w:rPr>
          <w:rFonts w:ascii="Times New Roman" w:hAnsi="Times New Roman"/>
          <w:sz w:val="24"/>
          <w:szCs w:val="24"/>
          <w:lang w:val="sq-AL"/>
        </w:rPr>
        <w:t>Gjykatës së P</w:t>
      </w:r>
      <w:r w:rsidR="00950F65" w:rsidRPr="000473F9">
        <w:rPr>
          <w:rFonts w:ascii="Times New Roman" w:hAnsi="Times New Roman"/>
          <w:sz w:val="24"/>
          <w:szCs w:val="24"/>
          <w:lang w:val="sq-AL"/>
        </w:rPr>
        <w:t>osaçme, për rrj</w:t>
      </w:r>
      <w:r w:rsidR="00D64898" w:rsidRPr="000473F9">
        <w:rPr>
          <w:rFonts w:ascii="Times New Roman" w:hAnsi="Times New Roman"/>
          <w:sz w:val="24"/>
          <w:szCs w:val="24"/>
          <w:lang w:val="sq-AL"/>
        </w:rPr>
        <w:t>edhojë</w:t>
      </w:r>
      <w:r w:rsidR="00950F65" w:rsidRPr="000473F9">
        <w:rPr>
          <w:rFonts w:ascii="Times New Roman" w:hAnsi="Times New Roman"/>
          <w:sz w:val="24"/>
          <w:szCs w:val="24"/>
          <w:lang w:val="sq-AL"/>
        </w:rPr>
        <w:t xml:space="preserve"> kompetente për ushtrimin e kontrollit kushtetues të normës do të ishte ajo gjykatë. Po </w:t>
      </w:r>
      <w:r w:rsidR="00D64898" w:rsidRPr="000473F9">
        <w:rPr>
          <w:rFonts w:ascii="Times New Roman" w:hAnsi="Times New Roman"/>
          <w:sz w:val="24"/>
          <w:szCs w:val="24"/>
          <w:lang w:val="sq-AL"/>
        </w:rPr>
        <w:t>kë</w:t>
      </w:r>
      <w:r w:rsidR="00950F65" w:rsidRPr="000473F9">
        <w:rPr>
          <w:rFonts w:ascii="Times New Roman" w:hAnsi="Times New Roman"/>
          <w:sz w:val="24"/>
          <w:szCs w:val="24"/>
          <w:lang w:val="sq-AL"/>
        </w:rPr>
        <w:t xml:space="preserve">shtu, </w:t>
      </w:r>
      <w:r w:rsidR="00727758" w:rsidRPr="000473F9">
        <w:rPr>
          <w:rFonts w:ascii="Times New Roman" w:hAnsi="Times New Roman"/>
          <w:sz w:val="24"/>
          <w:szCs w:val="24"/>
          <w:lang w:val="sq-AL"/>
        </w:rPr>
        <w:t>Prokuroria e Përgjithshme</w:t>
      </w:r>
      <w:r w:rsidR="00F450A3" w:rsidRPr="000473F9">
        <w:rPr>
          <w:rFonts w:ascii="Times New Roman" w:hAnsi="Times New Roman"/>
          <w:sz w:val="24"/>
          <w:szCs w:val="24"/>
          <w:lang w:val="sq-AL"/>
        </w:rPr>
        <w:t xml:space="preserve"> ka parashtruar se gjykata referuese legjitimohet në kërkesën e saj për vënien në lëvizje të Gj</w:t>
      </w:r>
      <w:r w:rsidR="00080A1C" w:rsidRPr="000473F9">
        <w:rPr>
          <w:rFonts w:ascii="Times New Roman" w:hAnsi="Times New Roman"/>
          <w:sz w:val="24"/>
          <w:szCs w:val="24"/>
          <w:lang w:val="sq-AL"/>
        </w:rPr>
        <w:t>ykatës për shkak të parashikimeve</w:t>
      </w:r>
      <w:r w:rsidR="00F450A3" w:rsidRPr="000473F9">
        <w:rPr>
          <w:rFonts w:ascii="Times New Roman" w:hAnsi="Times New Roman"/>
          <w:sz w:val="24"/>
          <w:szCs w:val="24"/>
          <w:lang w:val="sq-AL"/>
        </w:rPr>
        <w:t xml:space="preserve"> të neneve 134, pika 1, shkronja “dh” dhe 145 të Kushtetutës</w:t>
      </w:r>
      <w:r w:rsidR="002B25C5" w:rsidRPr="000473F9">
        <w:rPr>
          <w:rFonts w:ascii="Times New Roman" w:hAnsi="Times New Roman"/>
          <w:sz w:val="24"/>
          <w:szCs w:val="24"/>
          <w:lang w:val="sq-AL"/>
        </w:rPr>
        <w:t>.</w:t>
      </w:r>
    </w:p>
    <w:p w:rsidR="00A90FD3" w:rsidRPr="000473F9" w:rsidRDefault="00080A1C"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lastRenderedPageBreak/>
        <w:t>Gjykata</w:t>
      </w:r>
      <w:r w:rsidR="00A90FD3" w:rsidRPr="000473F9">
        <w:rPr>
          <w:rFonts w:ascii="Times New Roman" w:hAnsi="Times New Roman"/>
          <w:sz w:val="24"/>
          <w:szCs w:val="24"/>
          <w:lang w:val="sq-AL"/>
        </w:rPr>
        <w:t xml:space="preserve"> </w:t>
      </w:r>
      <w:r w:rsidR="005C30E7" w:rsidRPr="000473F9">
        <w:rPr>
          <w:rFonts w:ascii="Times New Roman" w:hAnsi="Times New Roman"/>
          <w:sz w:val="24"/>
          <w:szCs w:val="24"/>
          <w:lang w:val="sq-AL"/>
        </w:rPr>
        <w:t>konstaton</w:t>
      </w:r>
      <w:r w:rsidR="00A90FD3" w:rsidRPr="000473F9">
        <w:rPr>
          <w:rFonts w:ascii="Times New Roman" w:hAnsi="Times New Roman"/>
          <w:sz w:val="24"/>
          <w:szCs w:val="24"/>
          <w:lang w:val="sq-AL"/>
        </w:rPr>
        <w:t xml:space="preserve"> se </w:t>
      </w:r>
      <w:r w:rsidR="00EE7886" w:rsidRPr="000473F9">
        <w:rPr>
          <w:rFonts w:ascii="Times New Roman" w:hAnsi="Times New Roman"/>
          <w:sz w:val="24"/>
          <w:szCs w:val="24"/>
          <w:lang w:val="sq-AL"/>
        </w:rPr>
        <w:t>gjykata referuese</w:t>
      </w:r>
      <w:r w:rsidR="00A90FD3" w:rsidRPr="000473F9">
        <w:rPr>
          <w:rFonts w:ascii="Times New Roman" w:hAnsi="Times New Roman"/>
          <w:sz w:val="24"/>
          <w:szCs w:val="24"/>
          <w:lang w:val="sq-AL"/>
        </w:rPr>
        <w:t xml:space="preserve">, pasi ka shqyrtuar rrethanat e çështjes, ka vendosur pezullimin e shqyrtimit të saj, duke iu drejtuar </w:t>
      </w:r>
      <w:r w:rsidR="006C1F2C" w:rsidRPr="000473F9">
        <w:rPr>
          <w:rFonts w:ascii="Times New Roman" w:hAnsi="Times New Roman"/>
          <w:sz w:val="24"/>
          <w:szCs w:val="24"/>
          <w:lang w:val="sq-AL"/>
        </w:rPr>
        <w:t>Gjykatës</w:t>
      </w:r>
      <w:r w:rsidR="00A90FD3" w:rsidRPr="000473F9">
        <w:rPr>
          <w:rFonts w:ascii="Times New Roman" w:hAnsi="Times New Roman"/>
          <w:sz w:val="24"/>
          <w:szCs w:val="24"/>
          <w:lang w:val="sq-AL"/>
        </w:rPr>
        <w:t xml:space="preserve"> sipas procedurës së parashikuar nga ligji nr. 8577/2000. Ajo ka identifikuar </w:t>
      </w:r>
      <w:r w:rsidR="005D53E9" w:rsidRPr="000473F9">
        <w:rPr>
          <w:rFonts w:ascii="Times New Roman" w:hAnsi="Times New Roman"/>
          <w:sz w:val="24"/>
          <w:szCs w:val="24"/>
          <w:lang w:val="sq-AL"/>
        </w:rPr>
        <w:t>togfjalëshin</w:t>
      </w:r>
      <w:r w:rsidR="00A90FD3" w:rsidRPr="000473F9">
        <w:rPr>
          <w:rFonts w:ascii="Times New Roman" w:hAnsi="Times New Roman"/>
          <w:sz w:val="24"/>
          <w:szCs w:val="24"/>
          <w:lang w:val="sq-AL"/>
        </w:rPr>
        <w:t xml:space="preserve"> “paragrafi 2”</w:t>
      </w:r>
      <w:r w:rsidR="002F4625" w:rsidRPr="000473F9">
        <w:rPr>
          <w:rFonts w:ascii="Times New Roman" w:hAnsi="Times New Roman"/>
          <w:sz w:val="24"/>
          <w:szCs w:val="24"/>
          <w:lang w:val="sq-AL"/>
        </w:rPr>
        <w:t>,</w:t>
      </w:r>
      <w:r w:rsidR="00A90FD3" w:rsidRPr="000473F9">
        <w:rPr>
          <w:rFonts w:ascii="Times New Roman" w:hAnsi="Times New Roman"/>
          <w:sz w:val="24"/>
          <w:szCs w:val="24"/>
          <w:lang w:val="sq-AL"/>
        </w:rPr>
        <w:t xml:space="preserve"> pas “244”</w:t>
      </w:r>
      <w:r w:rsidR="002F4625" w:rsidRPr="000473F9">
        <w:rPr>
          <w:rFonts w:ascii="Times New Roman" w:hAnsi="Times New Roman"/>
          <w:sz w:val="24"/>
          <w:szCs w:val="24"/>
          <w:lang w:val="sq-AL"/>
        </w:rPr>
        <w:t>,</w:t>
      </w:r>
      <w:r w:rsidR="00A90FD3" w:rsidRPr="000473F9">
        <w:rPr>
          <w:rFonts w:ascii="Times New Roman" w:hAnsi="Times New Roman"/>
          <w:sz w:val="24"/>
          <w:szCs w:val="24"/>
          <w:lang w:val="sq-AL"/>
        </w:rPr>
        <w:t xml:space="preserve"> në përmbajtje të shkronjës “a” t</w:t>
      </w:r>
      <w:r w:rsidR="002F4625" w:rsidRPr="000473F9">
        <w:rPr>
          <w:rFonts w:ascii="Times New Roman" w:hAnsi="Times New Roman"/>
          <w:sz w:val="24"/>
          <w:szCs w:val="24"/>
          <w:lang w:val="sq-AL"/>
        </w:rPr>
        <w:t>ë nenit 7 të ligjit nr. 41/2021,</w:t>
      </w:r>
      <w:r w:rsidR="00A90FD3" w:rsidRPr="000473F9">
        <w:rPr>
          <w:rFonts w:ascii="Times New Roman" w:hAnsi="Times New Roman"/>
          <w:sz w:val="24"/>
          <w:szCs w:val="24"/>
          <w:lang w:val="sq-AL"/>
        </w:rPr>
        <w:t xml:space="preserve"> si dispozita ligjore e zbatueshme për zgjidhjen e rastit konkret. Në vijim, gjykata referuese ka argumentuar se </w:t>
      </w:r>
      <w:r w:rsidR="005D53E9" w:rsidRPr="000473F9">
        <w:rPr>
          <w:rFonts w:ascii="Times New Roman" w:hAnsi="Times New Roman"/>
          <w:sz w:val="24"/>
          <w:szCs w:val="24"/>
          <w:lang w:val="sq-AL"/>
        </w:rPr>
        <w:t>ky togfjalësh</w:t>
      </w:r>
      <w:r w:rsidR="00A90FD3" w:rsidRPr="000473F9">
        <w:rPr>
          <w:rFonts w:ascii="Times New Roman" w:hAnsi="Times New Roman"/>
          <w:sz w:val="24"/>
          <w:szCs w:val="24"/>
          <w:lang w:val="sq-AL"/>
        </w:rPr>
        <w:t xml:space="preserve"> bie ndesh me nenin 135, pika 2, të Kushtetutës, duke cenuar parim</w:t>
      </w:r>
      <w:r w:rsidR="0085012D" w:rsidRPr="000473F9">
        <w:rPr>
          <w:rFonts w:ascii="Times New Roman" w:hAnsi="Times New Roman"/>
          <w:sz w:val="24"/>
          <w:szCs w:val="24"/>
          <w:lang w:val="sq-AL"/>
        </w:rPr>
        <w:t>et</w:t>
      </w:r>
      <w:r w:rsidR="00A90FD3" w:rsidRPr="000473F9">
        <w:rPr>
          <w:rFonts w:ascii="Times New Roman" w:hAnsi="Times New Roman"/>
          <w:sz w:val="24"/>
          <w:szCs w:val="24"/>
          <w:lang w:val="sq-AL"/>
        </w:rPr>
        <w:t xml:space="preserve"> e </w:t>
      </w:r>
      <w:r w:rsidR="0085012D" w:rsidRPr="000473F9">
        <w:rPr>
          <w:rFonts w:ascii="Times New Roman" w:hAnsi="Times New Roman"/>
          <w:sz w:val="24"/>
          <w:szCs w:val="24"/>
          <w:lang w:val="sq-AL"/>
        </w:rPr>
        <w:t xml:space="preserve">gjykatës së caktuar me ligj, </w:t>
      </w:r>
      <w:r w:rsidR="002F4625" w:rsidRPr="000473F9">
        <w:rPr>
          <w:rFonts w:ascii="Times New Roman" w:hAnsi="Times New Roman"/>
          <w:sz w:val="24"/>
          <w:szCs w:val="24"/>
          <w:lang w:val="sq-AL"/>
        </w:rPr>
        <w:t xml:space="preserve">të hierarkisë së normave, </w:t>
      </w:r>
      <w:r w:rsidR="008A2BD6" w:rsidRPr="000473F9">
        <w:rPr>
          <w:rFonts w:ascii="Times New Roman" w:hAnsi="Times New Roman"/>
          <w:sz w:val="24"/>
          <w:szCs w:val="24"/>
          <w:lang w:val="sq-AL"/>
        </w:rPr>
        <w:t xml:space="preserve">të </w:t>
      </w:r>
      <w:r w:rsidR="00A90FD3" w:rsidRPr="000473F9">
        <w:rPr>
          <w:rFonts w:ascii="Times New Roman" w:hAnsi="Times New Roman"/>
          <w:sz w:val="24"/>
          <w:szCs w:val="24"/>
          <w:lang w:val="sq-AL"/>
        </w:rPr>
        <w:t>ndarjes dhe balancimit të pushteteve</w:t>
      </w:r>
      <w:r w:rsidR="00F450A3" w:rsidRPr="000473F9">
        <w:rPr>
          <w:rFonts w:ascii="Times New Roman" w:hAnsi="Times New Roman"/>
          <w:sz w:val="24"/>
          <w:szCs w:val="24"/>
          <w:lang w:val="sq-AL"/>
        </w:rPr>
        <w:t>,</w:t>
      </w:r>
      <w:r w:rsidR="00A90FD3" w:rsidRPr="000473F9">
        <w:rPr>
          <w:rFonts w:ascii="Times New Roman" w:hAnsi="Times New Roman"/>
          <w:sz w:val="24"/>
          <w:szCs w:val="24"/>
          <w:lang w:val="sq-AL"/>
        </w:rPr>
        <w:t xml:space="preserve"> </w:t>
      </w:r>
      <w:r w:rsidR="0085012D" w:rsidRPr="000473F9">
        <w:rPr>
          <w:rFonts w:ascii="Times New Roman" w:hAnsi="Times New Roman"/>
          <w:sz w:val="24"/>
          <w:szCs w:val="24"/>
          <w:lang w:val="sq-AL"/>
        </w:rPr>
        <w:t xml:space="preserve">në drejtim të </w:t>
      </w:r>
      <w:r w:rsidR="00A90FD3" w:rsidRPr="000473F9">
        <w:rPr>
          <w:rFonts w:ascii="Times New Roman" w:hAnsi="Times New Roman"/>
          <w:sz w:val="24"/>
          <w:szCs w:val="24"/>
          <w:lang w:val="sq-AL"/>
        </w:rPr>
        <w:t xml:space="preserve">shpërndarjes së kompetencës legjislative, si dhe </w:t>
      </w:r>
      <w:r w:rsidR="00081D75" w:rsidRPr="000473F9">
        <w:rPr>
          <w:rFonts w:ascii="Times New Roman" w:hAnsi="Times New Roman"/>
          <w:sz w:val="24"/>
          <w:szCs w:val="24"/>
          <w:lang w:val="sq-AL"/>
        </w:rPr>
        <w:t xml:space="preserve">të </w:t>
      </w:r>
      <w:r w:rsidR="00A90FD3" w:rsidRPr="000473F9">
        <w:rPr>
          <w:rFonts w:ascii="Times New Roman" w:hAnsi="Times New Roman"/>
          <w:sz w:val="24"/>
          <w:szCs w:val="24"/>
          <w:lang w:val="sq-AL"/>
        </w:rPr>
        <w:t>siguri</w:t>
      </w:r>
      <w:r w:rsidR="00CA4729" w:rsidRPr="000473F9">
        <w:rPr>
          <w:rFonts w:ascii="Times New Roman" w:hAnsi="Times New Roman"/>
          <w:sz w:val="24"/>
          <w:szCs w:val="24"/>
          <w:lang w:val="sq-AL"/>
        </w:rPr>
        <w:t>s</w:t>
      </w:r>
      <w:r w:rsidR="00A90FD3" w:rsidRPr="000473F9">
        <w:rPr>
          <w:rFonts w:ascii="Times New Roman" w:hAnsi="Times New Roman"/>
          <w:sz w:val="24"/>
          <w:szCs w:val="24"/>
          <w:lang w:val="sq-AL"/>
        </w:rPr>
        <w:t>ë juridike, si element</w:t>
      </w:r>
      <w:r w:rsidR="00081D75" w:rsidRPr="000473F9">
        <w:rPr>
          <w:rFonts w:ascii="Times New Roman" w:hAnsi="Times New Roman"/>
          <w:sz w:val="24"/>
          <w:szCs w:val="24"/>
          <w:lang w:val="sq-AL"/>
        </w:rPr>
        <w:t>e</w:t>
      </w:r>
      <w:r w:rsidR="00A90FD3" w:rsidRPr="000473F9">
        <w:rPr>
          <w:rFonts w:ascii="Times New Roman" w:hAnsi="Times New Roman"/>
          <w:sz w:val="24"/>
          <w:szCs w:val="24"/>
          <w:lang w:val="sq-AL"/>
        </w:rPr>
        <w:t xml:space="preserve"> të shtetit të së drejtës, pasi atë që nuk ka dashur ta bëjë Kushtetuta nuk mund ta bëjë ligji.</w:t>
      </w:r>
    </w:p>
    <w:p w:rsidR="00123DFF" w:rsidRPr="000473F9" w:rsidRDefault="00A81984" w:rsidP="00FF52DE">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Gjykata vëren se n</w:t>
      </w:r>
      <w:r w:rsidR="00F6434B" w:rsidRPr="000473F9">
        <w:rPr>
          <w:rFonts w:ascii="Times New Roman" w:hAnsi="Times New Roman"/>
          <w:sz w:val="24"/>
          <w:szCs w:val="24"/>
          <w:lang w:val="sq-AL"/>
        </w:rPr>
        <w:t xml:space="preserve">eni 7 i ligjit nr. 41/2021 ka bërë ndryshime </w:t>
      </w:r>
      <w:r w:rsidR="00D7491A" w:rsidRPr="000473F9">
        <w:rPr>
          <w:rFonts w:ascii="Times New Roman" w:hAnsi="Times New Roman"/>
          <w:sz w:val="24"/>
          <w:szCs w:val="24"/>
          <w:lang w:val="sq-AL"/>
        </w:rPr>
        <w:t xml:space="preserve">në nenin 75/a të KPP-së </w:t>
      </w:r>
      <w:r w:rsidR="00A8286B" w:rsidRPr="000473F9">
        <w:rPr>
          <w:rFonts w:ascii="Times New Roman" w:hAnsi="Times New Roman"/>
          <w:sz w:val="24"/>
          <w:szCs w:val="24"/>
          <w:lang w:val="sq-AL"/>
        </w:rPr>
        <w:t>“Kompetencat e Gjykatës kundër Korrupsionit dhe Krimit të Organizuar”</w:t>
      </w:r>
      <w:r w:rsidR="00707D6D" w:rsidRPr="000473F9">
        <w:rPr>
          <w:rFonts w:ascii="Times New Roman" w:hAnsi="Times New Roman"/>
          <w:sz w:val="24"/>
          <w:szCs w:val="24"/>
          <w:lang w:val="sq-AL"/>
        </w:rPr>
        <w:t>,</w:t>
      </w:r>
      <w:r w:rsidR="00A8286B" w:rsidRPr="000473F9">
        <w:rPr>
          <w:rFonts w:ascii="Times New Roman" w:hAnsi="Times New Roman"/>
          <w:sz w:val="24"/>
          <w:szCs w:val="24"/>
          <w:lang w:val="sq-AL"/>
        </w:rPr>
        <w:t xml:space="preserve"> </w:t>
      </w:r>
      <w:r w:rsidR="00F6434B" w:rsidRPr="000473F9">
        <w:rPr>
          <w:rFonts w:ascii="Times New Roman" w:hAnsi="Times New Roman"/>
          <w:sz w:val="24"/>
          <w:szCs w:val="24"/>
          <w:lang w:val="sq-AL"/>
        </w:rPr>
        <w:t xml:space="preserve">për sa i përket përcaktimit të veprave penale që hyjnë në kompetencën lëndore të gjykatave të posaçme, duke </w:t>
      </w:r>
      <w:r w:rsidR="00230F9D" w:rsidRPr="000473F9">
        <w:rPr>
          <w:rFonts w:ascii="Times New Roman" w:hAnsi="Times New Roman"/>
          <w:sz w:val="24"/>
          <w:szCs w:val="24"/>
          <w:lang w:val="sq-AL"/>
        </w:rPr>
        <w:t>parashikuar</w:t>
      </w:r>
      <w:r w:rsidR="0027011F" w:rsidRPr="000473F9">
        <w:rPr>
          <w:rFonts w:ascii="Times New Roman" w:hAnsi="Times New Roman"/>
          <w:sz w:val="24"/>
          <w:szCs w:val="24"/>
          <w:lang w:val="sq-AL"/>
        </w:rPr>
        <w:t>, ndër të tjera,</w:t>
      </w:r>
      <w:r w:rsidR="00F6434B" w:rsidRPr="000473F9">
        <w:rPr>
          <w:rFonts w:ascii="Times New Roman" w:hAnsi="Times New Roman"/>
          <w:sz w:val="24"/>
          <w:szCs w:val="24"/>
          <w:lang w:val="sq-AL"/>
        </w:rPr>
        <w:t xml:space="preserve"> </w:t>
      </w:r>
      <w:r w:rsidR="00C5215B" w:rsidRPr="000473F9">
        <w:rPr>
          <w:rFonts w:ascii="Times New Roman" w:hAnsi="Times New Roman"/>
          <w:sz w:val="24"/>
          <w:szCs w:val="24"/>
          <w:lang w:val="sq-AL"/>
        </w:rPr>
        <w:t xml:space="preserve">kompetencën </w:t>
      </w:r>
      <w:r w:rsidR="00A8286B" w:rsidRPr="000473F9">
        <w:rPr>
          <w:rFonts w:ascii="Times New Roman" w:hAnsi="Times New Roman"/>
          <w:sz w:val="24"/>
          <w:szCs w:val="24"/>
          <w:lang w:val="sq-AL"/>
        </w:rPr>
        <w:t>lëndore të</w:t>
      </w:r>
      <w:r w:rsidR="00C5215B" w:rsidRPr="000473F9">
        <w:rPr>
          <w:rFonts w:ascii="Times New Roman" w:hAnsi="Times New Roman"/>
          <w:sz w:val="24"/>
          <w:szCs w:val="24"/>
          <w:lang w:val="sq-AL"/>
        </w:rPr>
        <w:t xml:space="preserve"> këtyre gjykatave </w:t>
      </w:r>
      <w:r w:rsidR="00E3305A" w:rsidRPr="000473F9">
        <w:rPr>
          <w:rFonts w:ascii="Times New Roman" w:hAnsi="Times New Roman"/>
          <w:sz w:val="24"/>
          <w:szCs w:val="24"/>
          <w:lang w:val="sq-AL"/>
        </w:rPr>
        <w:t xml:space="preserve">për </w:t>
      </w:r>
      <w:r w:rsidR="00C5215B" w:rsidRPr="000473F9">
        <w:rPr>
          <w:rFonts w:ascii="Times New Roman" w:hAnsi="Times New Roman"/>
          <w:sz w:val="24"/>
          <w:szCs w:val="24"/>
          <w:lang w:val="sq-AL"/>
        </w:rPr>
        <w:t xml:space="preserve">gjykimin </w:t>
      </w:r>
      <w:r w:rsidR="00A8286B" w:rsidRPr="000473F9">
        <w:rPr>
          <w:rFonts w:ascii="Times New Roman" w:hAnsi="Times New Roman"/>
          <w:sz w:val="24"/>
          <w:szCs w:val="24"/>
          <w:lang w:val="sq-AL"/>
        </w:rPr>
        <w:t>vetëm të</w:t>
      </w:r>
      <w:r w:rsidR="00C5215B" w:rsidRPr="000473F9">
        <w:rPr>
          <w:rFonts w:ascii="Times New Roman" w:hAnsi="Times New Roman"/>
          <w:sz w:val="24"/>
          <w:szCs w:val="24"/>
          <w:lang w:val="sq-AL"/>
        </w:rPr>
        <w:t xml:space="preserve"> veprës</w:t>
      </w:r>
      <w:r w:rsidR="00F6434B" w:rsidRPr="000473F9">
        <w:rPr>
          <w:rFonts w:ascii="Times New Roman" w:hAnsi="Times New Roman"/>
          <w:sz w:val="24"/>
          <w:szCs w:val="24"/>
          <w:lang w:val="sq-AL"/>
        </w:rPr>
        <w:t xml:space="preserve"> penale</w:t>
      </w:r>
      <w:r w:rsidR="00875CF2" w:rsidRPr="000473F9">
        <w:rPr>
          <w:rFonts w:ascii="Times New Roman" w:hAnsi="Times New Roman"/>
          <w:sz w:val="24"/>
          <w:szCs w:val="24"/>
          <w:lang w:val="sq-AL"/>
        </w:rPr>
        <w:t>,</w:t>
      </w:r>
      <w:r w:rsidR="00F6434B" w:rsidRPr="000473F9">
        <w:rPr>
          <w:rFonts w:ascii="Times New Roman" w:hAnsi="Times New Roman"/>
          <w:sz w:val="24"/>
          <w:szCs w:val="24"/>
          <w:lang w:val="sq-AL"/>
        </w:rPr>
        <w:t xml:space="preserve"> të parashikuar nga paragrafi i dytë i nenit 244 të KP-së “Korrupsioni aktiv i personave që ushtrojnë funksione publike”. </w:t>
      </w:r>
    </w:p>
    <w:p w:rsidR="00A664B8" w:rsidRPr="000473F9" w:rsidRDefault="005B390F" w:rsidP="00FF52DE">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Referuar rrethanave të faktit </w:t>
      </w:r>
      <w:r w:rsidRPr="000473F9">
        <w:rPr>
          <w:rFonts w:ascii="Times New Roman" w:hAnsi="Times New Roman"/>
          <w:i/>
          <w:sz w:val="24"/>
          <w:szCs w:val="24"/>
          <w:lang w:val="sq-AL"/>
        </w:rPr>
        <w:t xml:space="preserve">(shih paragrafin 2 të vendimit), </w:t>
      </w:r>
      <w:r w:rsidRPr="000473F9">
        <w:rPr>
          <w:rFonts w:ascii="Times New Roman" w:hAnsi="Times New Roman"/>
          <w:sz w:val="24"/>
          <w:szCs w:val="24"/>
          <w:lang w:val="sq-AL"/>
        </w:rPr>
        <w:t>rasti në shqyrtim nga gjykata referuese hyn në hipotezën e parashikuar nga neni 244, paragrafi i parë, i KP-së.</w:t>
      </w:r>
      <w:r w:rsidRPr="000473F9">
        <w:rPr>
          <w:rFonts w:ascii="Times New Roman" w:hAnsi="Times New Roman"/>
          <w:i/>
          <w:sz w:val="24"/>
          <w:szCs w:val="24"/>
          <w:lang w:val="sq-AL"/>
        </w:rPr>
        <w:t xml:space="preserve"> </w:t>
      </w:r>
      <w:r w:rsidRPr="000473F9">
        <w:rPr>
          <w:rFonts w:ascii="Times New Roman" w:hAnsi="Times New Roman"/>
          <w:sz w:val="24"/>
          <w:szCs w:val="24"/>
          <w:lang w:val="sq-AL"/>
        </w:rPr>
        <w:t>Nga ana tjetër, Gjykata vëren se kompetenca lëndore e gjykatës referuese parashikohet në nenin 74 të KPP-së, sipas të cilit gjykata e rrethit gjyqësor është kompetente për gjykimin e veprave penale, përveç atyre që i përkasin kompetencës së Gjykatës së Posaçme. Pra, dispozita e nenit 74 të KPP-së bën drejtpërdrejt të zbatueshëm nenin 75/a të KPP-së. Ky i fundit përcakton kompetencat e Gjykatës së Posaçme, prandaj neni 74 i KPP-së nuk mund të zbatohet pa pasur parasysh përmbajtjen e nenit 75/a të KPP-së</w:t>
      </w:r>
      <w:r w:rsidR="004523BB" w:rsidRPr="000473F9">
        <w:rPr>
          <w:rFonts w:ascii="Times New Roman" w:hAnsi="Times New Roman"/>
          <w:sz w:val="24"/>
          <w:szCs w:val="24"/>
          <w:lang w:val="sq-AL"/>
        </w:rPr>
        <w:t>.</w:t>
      </w:r>
      <w:r w:rsidR="00626301" w:rsidRPr="000473F9">
        <w:rPr>
          <w:rFonts w:ascii="Times New Roman" w:hAnsi="Times New Roman"/>
          <w:sz w:val="24"/>
          <w:szCs w:val="24"/>
          <w:lang w:val="sq-AL"/>
        </w:rPr>
        <w:t xml:space="preserve"> </w:t>
      </w:r>
    </w:p>
    <w:p w:rsidR="00EE7886" w:rsidRPr="000473F9" w:rsidRDefault="00790863"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Për sa më lart, </w:t>
      </w:r>
      <w:r w:rsidR="00A81984" w:rsidRPr="000473F9">
        <w:rPr>
          <w:rFonts w:ascii="Times New Roman" w:hAnsi="Times New Roman"/>
          <w:sz w:val="24"/>
          <w:szCs w:val="24"/>
          <w:lang w:val="sq-AL"/>
        </w:rPr>
        <w:t>Gjykata v</w:t>
      </w:r>
      <w:r w:rsidR="00207A06" w:rsidRPr="000473F9">
        <w:rPr>
          <w:rFonts w:ascii="Times New Roman" w:hAnsi="Times New Roman"/>
          <w:sz w:val="24"/>
          <w:szCs w:val="24"/>
          <w:lang w:val="sq-AL"/>
        </w:rPr>
        <w:t>lerëson</w:t>
      </w:r>
      <w:r w:rsidR="00054247" w:rsidRPr="000473F9">
        <w:rPr>
          <w:rFonts w:ascii="Times New Roman" w:hAnsi="Times New Roman"/>
          <w:sz w:val="24"/>
          <w:szCs w:val="24"/>
          <w:lang w:val="sq-AL"/>
        </w:rPr>
        <w:t>,</w:t>
      </w:r>
      <w:r w:rsidR="00A81984" w:rsidRPr="000473F9">
        <w:rPr>
          <w:rFonts w:ascii="Times New Roman" w:hAnsi="Times New Roman"/>
          <w:sz w:val="24"/>
          <w:szCs w:val="24"/>
          <w:lang w:val="sq-AL"/>
        </w:rPr>
        <w:t xml:space="preserve"> se</w:t>
      </w:r>
      <w:r w:rsidR="0085012D" w:rsidRPr="000473F9">
        <w:rPr>
          <w:rFonts w:ascii="Times New Roman" w:hAnsi="Times New Roman"/>
          <w:sz w:val="24"/>
          <w:szCs w:val="24"/>
          <w:lang w:val="sq-AL"/>
        </w:rPr>
        <w:t xml:space="preserve"> </w:t>
      </w:r>
      <w:r w:rsidR="0085012D" w:rsidRPr="000473F9">
        <w:rPr>
          <w:rFonts w:ascii="Times New Roman" w:hAnsi="Times New Roman"/>
          <w:iCs/>
          <w:sz w:val="24"/>
          <w:szCs w:val="24"/>
          <w:lang w:val="sq-AL"/>
        </w:rPr>
        <w:t>në ndryshim nga sa ka</w:t>
      </w:r>
      <w:r w:rsidR="00EE7886" w:rsidRPr="000473F9">
        <w:rPr>
          <w:rFonts w:ascii="Times New Roman" w:hAnsi="Times New Roman"/>
          <w:iCs/>
          <w:sz w:val="24"/>
          <w:szCs w:val="24"/>
          <w:lang w:val="sq-AL"/>
        </w:rPr>
        <w:t>në pretenduar subjektet</w:t>
      </w:r>
      <w:r w:rsidR="0085012D" w:rsidRPr="000473F9">
        <w:rPr>
          <w:rFonts w:ascii="Times New Roman" w:hAnsi="Times New Roman"/>
          <w:iCs/>
          <w:sz w:val="24"/>
          <w:szCs w:val="24"/>
          <w:lang w:val="sq-AL"/>
        </w:rPr>
        <w:t xml:space="preserve"> </w:t>
      </w:r>
      <w:r w:rsidR="00EE7886" w:rsidRPr="000473F9">
        <w:rPr>
          <w:rFonts w:ascii="Times New Roman" w:hAnsi="Times New Roman"/>
          <w:iCs/>
          <w:sz w:val="24"/>
          <w:szCs w:val="24"/>
          <w:lang w:val="sq-AL"/>
        </w:rPr>
        <w:t>e</w:t>
      </w:r>
      <w:r w:rsidR="0085012D" w:rsidRPr="000473F9">
        <w:rPr>
          <w:rFonts w:ascii="Times New Roman" w:hAnsi="Times New Roman"/>
          <w:iCs/>
          <w:sz w:val="24"/>
          <w:szCs w:val="24"/>
          <w:lang w:val="sq-AL"/>
        </w:rPr>
        <w:t xml:space="preserve"> interesuar</w:t>
      </w:r>
      <w:r w:rsidR="00EE7886" w:rsidRPr="000473F9">
        <w:rPr>
          <w:rFonts w:ascii="Times New Roman" w:hAnsi="Times New Roman"/>
          <w:iCs/>
          <w:sz w:val="24"/>
          <w:szCs w:val="24"/>
          <w:lang w:val="sq-AL"/>
        </w:rPr>
        <w:t>a</w:t>
      </w:r>
      <w:r w:rsidR="0085012D" w:rsidRPr="000473F9">
        <w:rPr>
          <w:rFonts w:ascii="Times New Roman" w:hAnsi="Times New Roman"/>
          <w:iCs/>
          <w:sz w:val="24"/>
          <w:szCs w:val="24"/>
          <w:lang w:val="sq-AL"/>
        </w:rPr>
        <w:t xml:space="preserve">, </w:t>
      </w:r>
      <w:r w:rsidR="00EE7886" w:rsidRPr="000473F9">
        <w:rPr>
          <w:rFonts w:ascii="Times New Roman" w:hAnsi="Times New Roman"/>
          <w:iCs/>
          <w:sz w:val="24"/>
          <w:szCs w:val="24"/>
          <w:lang w:val="sq-AL"/>
        </w:rPr>
        <w:t xml:space="preserve">Kuvendi dhe Këshilli i Ministrave, </w:t>
      </w:r>
      <w:r w:rsidR="0085012D" w:rsidRPr="000473F9">
        <w:rPr>
          <w:rFonts w:ascii="Times New Roman" w:hAnsi="Times New Roman"/>
          <w:iCs/>
          <w:sz w:val="24"/>
          <w:szCs w:val="24"/>
          <w:lang w:val="sq-AL"/>
        </w:rPr>
        <w:t xml:space="preserve">gjykata referuese </w:t>
      </w:r>
      <w:r w:rsidR="00EE7886" w:rsidRPr="000473F9">
        <w:rPr>
          <w:rFonts w:ascii="Times New Roman" w:hAnsi="Times New Roman"/>
          <w:iCs/>
          <w:sz w:val="24"/>
          <w:szCs w:val="24"/>
          <w:lang w:val="sq-AL"/>
        </w:rPr>
        <w:t xml:space="preserve">ka </w:t>
      </w:r>
      <w:r w:rsidR="00B417A1" w:rsidRPr="000473F9">
        <w:rPr>
          <w:rFonts w:ascii="Times New Roman" w:hAnsi="Times New Roman"/>
          <w:iCs/>
          <w:sz w:val="24"/>
          <w:szCs w:val="24"/>
          <w:lang w:val="sq-AL"/>
        </w:rPr>
        <w:t>identifikuar normën e zbatueshme</w:t>
      </w:r>
      <w:r w:rsidR="00AB1BEC" w:rsidRPr="000473F9">
        <w:rPr>
          <w:rFonts w:ascii="Times New Roman" w:hAnsi="Times New Roman"/>
          <w:iCs/>
          <w:sz w:val="24"/>
          <w:szCs w:val="24"/>
          <w:lang w:val="sq-AL"/>
        </w:rPr>
        <w:t>,</w:t>
      </w:r>
      <w:r w:rsidR="00B417A1" w:rsidRPr="000473F9">
        <w:rPr>
          <w:rFonts w:ascii="Times New Roman" w:hAnsi="Times New Roman"/>
          <w:iCs/>
          <w:sz w:val="24"/>
          <w:szCs w:val="24"/>
          <w:lang w:val="sq-AL"/>
        </w:rPr>
        <w:t xml:space="preserve"> si dhe ka </w:t>
      </w:r>
      <w:r w:rsidR="00EE7886" w:rsidRPr="000473F9">
        <w:rPr>
          <w:rFonts w:ascii="Times New Roman" w:hAnsi="Times New Roman"/>
          <w:iCs/>
          <w:sz w:val="24"/>
          <w:szCs w:val="24"/>
          <w:lang w:val="sq-AL"/>
        </w:rPr>
        <w:t xml:space="preserve">arritur të </w:t>
      </w:r>
      <w:r w:rsidR="00EE7886" w:rsidRPr="000473F9">
        <w:rPr>
          <w:rFonts w:ascii="Times New Roman" w:eastAsia="Times New Roman" w:hAnsi="Times New Roman"/>
          <w:sz w:val="24"/>
          <w:szCs w:val="24"/>
          <w:lang w:val="sq-AL"/>
        </w:rPr>
        <w:t>argumentojë ekzistencën e lidhjes së drejtpërdrejtë, pra që midis ligjit dhe zgjidhjes së çështjes konkrete ekziston një marrëdhënie juri</w:t>
      </w:r>
      <w:r w:rsidR="00B417A1" w:rsidRPr="000473F9">
        <w:rPr>
          <w:rFonts w:ascii="Times New Roman" w:eastAsia="Times New Roman" w:hAnsi="Times New Roman"/>
          <w:sz w:val="24"/>
          <w:szCs w:val="24"/>
          <w:lang w:val="sq-AL"/>
        </w:rPr>
        <w:t>dike konkrete, reale dhe aktuale</w:t>
      </w:r>
      <w:r w:rsidR="00EE7886" w:rsidRPr="000473F9">
        <w:rPr>
          <w:rFonts w:ascii="Times New Roman" w:eastAsia="Times New Roman" w:hAnsi="Times New Roman"/>
          <w:sz w:val="24"/>
          <w:szCs w:val="24"/>
          <w:lang w:val="sq-AL"/>
        </w:rPr>
        <w:t>.</w:t>
      </w:r>
    </w:p>
    <w:p w:rsidR="00862C15" w:rsidRPr="000473F9" w:rsidRDefault="00EE788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iCs/>
          <w:sz w:val="24"/>
          <w:szCs w:val="24"/>
          <w:lang w:val="sq-AL"/>
        </w:rPr>
        <w:t xml:space="preserve"> </w:t>
      </w:r>
      <w:r w:rsidR="00B417A1" w:rsidRPr="000473F9">
        <w:rPr>
          <w:rFonts w:ascii="Times New Roman" w:hAnsi="Times New Roman"/>
          <w:iCs/>
          <w:sz w:val="24"/>
          <w:szCs w:val="24"/>
          <w:lang w:val="sq-AL"/>
        </w:rPr>
        <w:t xml:space="preserve">Në lidhje me kriterin </w:t>
      </w:r>
      <w:r w:rsidR="007B6D83" w:rsidRPr="000473F9">
        <w:rPr>
          <w:rFonts w:ascii="Times New Roman" w:hAnsi="Times New Roman"/>
          <w:iCs/>
          <w:sz w:val="24"/>
          <w:szCs w:val="24"/>
          <w:lang w:val="sq-AL"/>
        </w:rPr>
        <w:t>“</w:t>
      </w:r>
      <w:r w:rsidR="00B417A1" w:rsidRPr="000473F9">
        <w:rPr>
          <w:rFonts w:ascii="Times New Roman" w:hAnsi="Times New Roman"/>
          <w:iCs/>
          <w:sz w:val="24"/>
          <w:szCs w:val="24"/>
          <w:lang w:val="sq-AL"/>
        </w:rPr>
        <w:t>arsye bindëse</w:t>
      </w:r>
      <w:r w:rsidR="00C73A02" w:rsidRPr="000473F9">
        <w:rPr>
          <w:rFonts w:ascii="Times New Roman" w:hAnsi="Times New Roman"/>
          <w:iCs/>
          <w:sz w:val="24"/>
          <w:szCs w:val="24"/>
          <w:lang w:val="sq-AL"/>
        </w:rPr>
        <w:t>/serioze</w:t>
      </w:r>
      <w:r w:rsidR="00B417A1" w:rsidRPr="000473F9">
        <w:rPr>
          <w:rFonts w:ascii="Times New Roman" w:hAnsi="Times New Roman"/>
          <w:iCs/>
          <w:sz w:val="24"/>
          <w:szCs w:val="24"/>
          <w:lang w:val="sq-AL"/>
        </w:rPr>
        <w:t>”</w:t>
      </w:r>
      <w:r w:rsidR="007B6D83" w:rsidRPr="000473F9">
        <w:rPr>
          <w:rFonts w:ascii="Times New Roman" w:hAnsi="Times New Roman"/>
          <w:iCs/>
          <w:sz w:val="24"/>
          <w:szCs w:val="24"/>
          <w:lang w:val="sq-AL"/>
        </w:rPr>
        <w:t xml:space="preserve"> </w:t>
      </w:r>
      <w:r w:rsidR="00B417A1" w:rsidRPr="000473F9">
        <w:rPr>
          <w:rFonts w:ascii="Times New Roman" w:hAnsi="Times New Roman"/>
          <w:iCs/>
          <w:sz w:val="24"/>
          <w:szCs w:val="24"/>
          <w:lang w:val="sq-AL"/>
        </w:rPr>
        <w:t>për antikushtetu</w:t>
      </w:r>
      <w:r w:rsidR="00C501CA">
        <w:rPr>
          <w:rFonts w:ascii="Times New Roman" w:hAnsi="Times New Roman"/>
          <w:iCs/>
          <w:sz w:val="24"/>
          <w:szCs w:val="24"/>
          <w:lang w:val="sq-AL"/>
        </w:rPr>
        <w:t>t</w:t>
      </w:r>
      <w:r w:rsidR="00B417A1" w:rsidRPr="000473F9">
        <w:rPr>
          <w:rFonts w:ascii="Times New Roman" w:hAnsi="Times New Roman"/>
          <w:iCs/>
          <w:sz w:val="24"/>
          <w:szCs w:val="24"/>
          <w:lang w:val="sq-AL"/>
        </w:rPr>
        <w:t>shmërinë e normës</w:t>
      </w:r>
      <w:r w:rsidR="007B6D83" w:rsidRPr="000473F9">
        <w:rPr>
          <w:rFonts w:ascii="Times New Roman" w:hAnsi="Times New Roman"/>
          <w:iCs/>
          <w:sz w:val="24"/>
          <w:szCs w:val="24"/>
          <w:lang w:val="sq-AL"/>
        </w:rPr>
        <w:t xml:space="preserve"> ligjore</w:t>
      </w:r>
      <w:r w:rsidR="00B417A1" w:rsidRPr="000473F9">
        <w:rPr>
          <w:rFonts w:ascii="Times New Roman" w:hAnsi="Times New Roman"/>
          <w:iCs/>
          <w:sz w:val="24"/>
          <w:szCs w:val="24"/>
          <w:lang w:val="sq-AL"/>
        </w:rPr>
        <w:t xml:space="preserve">, </w:t>
      </w:r>
      <w:r w:rsidR="009B05C4" w:rsidRPr="000473F9">
        <w:rPr>
          <w:rFonts w:ascii="Times New Roman" w:hAnsi="Times New Roman"/>
          <w:iCs/>
          <w:sz w:val="24"/>
          <w:szCs w:val="24"/>
          <w:lang w:val="sq-AL"/>
        </w:rPr>
        <w:t>g</w:t>
      </w:r>
      <w:r w:rsidR="00B000BC" w:rsidRPr="000473F9">
        <w:rPr>
          <w:rFonts w:ascii="Times New Roman" w:hAnsi="Times New Roman"/>
          <w:iCs/>
          <w:sz w:val="24"/>
          <w:szCs w:val="24"/>
          <w:lang w:val="sq-AL"/>
        </w:rPr>
        <w:t>jykata referuese</w:t>
      </w:r>
      <w:r w:rsidRPr="000473F9">
        <w:rPr>
          <w:rFonts w:ascii="Times New Roman" w:hAnsi="Times New Roman"/>
          <w:iCs/>
          <w:sz w:val="24"/>
          <w:szCs w:val="24"/>
          <w:lang w:val="sq-AL"/>
        </w:rPr>
        <w:t xml:space="preserve"> </w:t>
      </w:r>
      <w:r w:rsidR="0085012D" w:rsidRPr="000473F9">
        <w:rPr>
          <w:rFonts w:ascii="Times New Roman" w:hAnsi="Times New Roman"/>
          <w:iCs/>
          <w:sz w:val="24"/>
          <w:szCs w:val="24"/>
          <w:lang w:val="sq-AL"/>
        </w:rPr>
        <w:t xml:space="preserve">ka </w:t>
      </w:r>
      <w:r w:rsidR="00B000BC" w:rsidRPr="000473F9">
        <w:rPr>
          <w:rFonts w:ascii="Times New Roman" w:hAnsi="Times New Roman"/>
          <w:iCs/>
          <w:sz w:val="24"/>
          <w:szCs w:val="24"/>
          <w:lang w:val="sq-AL"/>
        </w:rPr>
        <w:t xml:space="preserve">pretenduar se dispozita e kundërshtuar cenon </w:t>
      </w:r>
      <w:r w:rsidR="000C00C9" w:rsidRPr="000473F9">
        <w:rPr>
          <w:rFonts w:ascii="Times New Roman" w:hAnsi="Times New Roman"/>
          <w:iCs/>
          <w:sz w:val="24"/>
          <w:szCs w:val="24"/>
          <w:lang w:val="sq-AL"/>
        </w:rPr>
        <w:t xml:space="preserve">parimin e gjykatës së caktuar me ligj, </w:t>
      </w:r>
      <w:r w:rsidR="000C00C9" w:rsidRPr="000473F9">
        <w:rPr>
          <w:rFonts w:ascii="Times New Roman" w:hAnsi="Times New Roman"/>
          <w:sz w:val="24"/>
          <w:szCs w:val="24"/>
          <w:lang w:val="sq-AL"/>
        </w:rPr>
        <w:t xml:space="preserve">pasi përfshin në kompetencën lëndore të gjykatave të juridiksionit të zakonshëm shqyrtimin e çështjeve të cilat sipas nenit 135, pika 2, të Kushtetutës i përkasin kompetencës së Gjykatës së Posaçme, si dhe </w:t>
      </w:r>
      <w:r w:rsidR="005D53E9" w:rsidRPr="000473F9">
        <w:rPr>
          <w:rFonts w:ascii="Times New Roman" w:hAnsi="Times New Roman"/>
          <w:sz w:val="24"/>
          <w:szCs w:val="24"/>
          <w:lang w:val="sq-AL"/>
        </w:rPr>
        <w:t xml:space="preserve">parimin e </w:t>
      </w:r>
      <w:r w:rsidR="000C00C9" w:rsidRPr="000473F9">
        <w:rPr>
          <w:rFonts w:ascii="Times New Roman" w:hAnsi="Times New Roman"/>
          <w:sz w:val="24"/>
          <w:szCs w:val="24"/>
          <w:lang w:val="sq-AL"/>
        </w:rPr>
        <w:t xml:space="preserve">hierarkisë së normave, të </w:t>
      </w:r>
      <w:r w:rsidR="005D53E9" w:rsidRPr="000473F9">
        <w:rPr>
          <w:rFonts w:ascii="Times New Roman" w:hAnsi="Times New Roman"/>
          <w:sz w:val="24"/>
          <w:szCs w:val="24"/>
          <w:lang w:val="sq-AL"/>
        </w:rPr>
        <w:t>ndarj</w:t>
      </w:r>
      <w:r w:rsidR="000C00C9" w:rsidRPr="000473F9">
        <w:rPr>
          <w:rFonts w:ascii="Times New Roman" w:hAnsi="Times New Roman"/>
          <w:sz w:val="24"/>
          <w:szCs w:val="24"/>
          <w:lang w:val="sq-AL"/>
        </w:rPr>
        <w:t>es dhe balancimit të pushteteve</w:t>
      </w:r>
      <w:r w:rsidR="005D53E9" w:rsidRPr="000473F9">
        <w:rPr>
          <w:rFonts w:ascii="Times New Roman" w:hAnsi="Times New Roman"/>
          <w:sz w:val="24"/>
          <w:szCs w:val="24"/>
          <w:lang w:val="sq-AL"/>
        </w:rPr>
        <w:t xml:space="preserve"> dhe </w:t>
      </w:r>
      <w:r w:rsidR="00081D75" w:rsidRPr="000473F9">
        <w:rPr>
          <w:rFonts w:ascii="Times New Roman" w:hAnsi="Times New Roman"/>
          <w:sz w:val="24"/>
          <w:szCs w:val="24"/>
          <w:lang w:val="sq-AL"/>
        </w:rPr>
        <w:t xml:space="preserve">të </w:t>
      </w:r>
      <w:r w:rsidR="005D53E9" w:rsidRPr="000473F9">
        <w:rPr>
          <w:rFonts w:ascii="Times New Roman" w:hAnsi="Times New Roman"/>
          <w:sz w:val="24"/>
          <w:szCs w:val="24"/>
          <w:lang w:val="sq-AL"/>
        </w:rPr>
        <w:t>siguri</w:t>
      </w:r>
      <w:r w:rsidR="00E36140" w:rsidRPr="000473F9">
        <w:rPr>
          <w:rFonts w:ascii="Times New Roman" w:hAnsi="Times New Roman"/>
          <w:sz w:val="24"/>
          <w:szCs w:val="24"/>
          <w:lang w:val="sq-AL"/>
        </w:rPr>
        <w:t>s</w:t>
      </w:r>
      <w:r w:rsidR="005D53E9" w:rsidRPr="000473F9">
        <w:rPr>
          <w:rFonts w:ascii="Times New Roman" w:hAnsi="Times New Roman"/>
          <w:sz w:val="24"/>
          <w:szCs w:val="24"/>
          <w:lang w:val="sq-AL"/>
        </w:rPr>
        <w:t>ë juridike, pasi atë që nuk ka dashur ta bëjë Ku</w:t>
      </w:r>
      <w:r w:rsidR="0092714F" w:rsidRPr="000473F9">
        <w:rPr>
          <w:rFonts w:ascii="Times New Roman" w:hAnsi="Times New Roman"/>
          <w:sz w:val="24"/>
          <w:szCs w:val="24"/>
          <w:lang w:val="sq-AL"/>
        </w:rPr>
        <w:t>shtetuta nuk mund ta bëjë ligji</w:t>
      </w:r>
      <w:r w:rsidR="00B000BC" w:rsidRPr="000473F9">
        <w:rPr>
          <w:rFonts w:ascii="Times New Roman" w:hAnsi="Times New Roman"/>
          <w:sz w:val="24"/>
          <w:szCs w:val="24"/>
          <w:lang w:val="sq-AL"/>
        </w:rPr>
        <w:t xml:space="preserve">. </w:t>
      </w:r>
    </w:p>
    <w:p w:rsidR="00862C15" w:rsidRPr="000473F9" w:rsidRDefault="00862C15"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lastRenderedPageBreak/>
        <w:t xml:space="preserve">Subjektet e interesuara Kuvendi dhe Këshilli i Ministrave kanë pretenduar se gjykata referuese nuk ka parashtruar arsye serioze për antikushtetutshmërinë e dispozitës së kundërshtuar, pasi argumentet e saj nuk janë të mjaftueshme për të provuar në nivel kushtetues cenimin e neneve 4, 7 dhe 116 të Kushtetutës, ndërsa </w:t>
      </w:r>
      <w:r w:rsidR="003859ED" w:rsidRPr="000473F9">
        <w:rPr>
          <w:rFonts w:ascii="Times New Roman" w:hAnsi="Times New Roman"/>
          <w:sz w:val="24"/>
          <w:szCs w:val="24"/>
          <w:lang w:val="sq-AL"/>
        </w:rPr>
        <w:t>Prokuroria e Përgjithshme ka pretenduar se gjykata referuese ka arritur në konkluzione të gabuara për antikushtetutshmërinë e pretenduar të normës.</w:t>
      </w:r>
    </w:p>
    <w:p w:rsidR="00C20471" w:rsidRPr="000473F9" w:rsidRDefault="008E13CB" w:rsidP="00C20471">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Gjykata vëren se</w:t>
      </w:r>
      <w:r w:rsidRPr="000473F9">
        <w:rPr>
          <w:rFonts w:ascii="Times New Roman" w:hAnsi="Times New Roman"/>
          <w:iCs/>
          <w:sz w:val="24"/>
          <w:szCs w:val="24"/>
          <w:lang w:val="sq-AL"/>
        </w:rPr>
        <w:t xml:space="preserve"> gjykata referuese ka parashtruar cenimin e parimit të gjykatës së </w:t>
      </w:r>
      <w:r w:rsidRPr="000473F9">
        <w:rPr>
          <w:rFonts w:ascii="Times New Roman" w:hAnsi="Times New Roman"/>
          <w:i/>
          <w:iCs/>
          <w:sz w:val="24"/>
          <w:szCs w:val="24"/>
          <w:lang w:val="sq-AL"/>
        </w:rPr>
        <w:t xml:space="preserve"> </w:t>
      </w:r>
      <w:r w:rsidRPr="000473F9">
        <w:rPr>
          <w:rFonts w:ascii="Times New Roman" w:hAnsi="Times New Roman"/>
          <w:iCs/>
          <w:sz w:val="24"/>
          <w:szCs w:val="24"/>
          <w:lang w:val="sq-AL"/>
        </w:rPr>
        <w:t>caktuar me ligj, të hierarkisë së normave, të ndarjes dhe balancimit të pushteteve, për sa i përket parimit të shpërndarjes së kompetencës legjislati</w:t>
      </w:r>
      <w:r w:rsidR="00E91128" w:rsidRPr="000473F9">
        <w:rPr>
          <w:rFonts w:ascii="Times New Roman" w:hAnsi="Times New Roman"/>
          <w:iCs/>
          <w:sz w:val="24"/>
          <w:szCs w:val="24"/>
          <w:lang w:val="sq-AL"/>
        </w:rPr>
        <w:t xml:space="preserve">ve, si dhe të sigurisë juridike. </w:t>
      </w:r>
      <w:r w:rsidR="00D63A79" w:rsidRPr="000473F9">
        <w:rPr>
          <w:rFonts w:ascii="Times New Roman" w:hAnsi="Times New Roman"/>
          <w:iCs/>
          <w:sz w:val="24"/>
          <w:szCs w:val="24"/>
          <w:lang w:val="sq-AL"/>
        </w:rPr>
        <w:t>Sipas saj, dispozita e kundërshtuar cenon parime</w:t>
      </w:r>
      <w:r w:rsidR="00E91128" w:rsidRPr="000473F9">
        <w:rPr>
          <w:rFonts w:ascii="Times New Roman" w:hAnsi="Times New Roman"/>
          <w:iCs/>
          <w:sz w:val="24"/>
          <w:szCs w:val="24"/>
          <w:lang w:val="sq-AL"/>
        </w:rPr>
        <w:t>t</w:t>
      </w:r>
      <w:r w:rsidR="00D63A79" w:rsidRPr="000473F9">
        <w:rPr>
          <w:rFonts w:ascii="Times New Roman" w:hAnsi="Times New Roman"/>
          <w:iCs/>
          <w:sz w:val="24"/>
          <w:szCs w:val="24"/>
          <w:lang w:val="sq-AL"/>
        </w:rPr>
        <w:t xml:space="preserve"> e</w:t>
      </w:r>
      <w:r w:rsidR="00E91128" w:rsidRPr="000473F9">
        <w:rPr>
          <w:rFonts w:ascii="Times New Roman" w:hAnsi="Times New Roman"/>
          <w:iCs/>
          <w:sz w:val="24"/>
          <w:szCs w:val="24"/>
          <w:lang w:val="sq-AL"/>
        </w:rPr>
        <w:t xml:space="preserve"> ndarjes dhe balancimit të pushteteve dhe të sigurisë juridike</w:t>
      </w:r>
      <w:r w:rsidR="00D63A79" w:rsidRPr="000473F9">
        <w:rPr>
          <w:rFonts w:ascii="Times New Roman" w:hAnsi="Times New Roman"/>
          <w:iCs/>
          <w:sz w:val="24"/>
          <w:szCs w:val="24"/>
          <w:lang w:val="sq-AL"/>
        </w:rPr>
        <w:t>, pasi</w:t>
      </w:r>
      <w:r w:rsidR="00D63A79" w:rsidRPr="000473F9">
        <w:rPr>
          <w:rFonts w:ascii="Times New Roman" w:hAnsi="Times New Roman"/>
          <w:sz w:val="24"/>
          <w:szCs w:val="24"/>
          <w:lang w:val="sq-AL"/>
        </w:rPr>
        <w:t xml:space="preserve"> ngushton kompetencën lëndore të gjykatave të posaçme, duke zgjeruar kompetencën e gjykatave të juridiksionit të zakonshëm, në tejkalim të rregullimit kushtetues të parashikuar në nenin 135, pika 2, të Kushtetutës, sipas të cilit veprat penale të korrupsionit gjykohen nga gjykatat e posaçme. </w:t>
      </w:r>
    </w:p>
    <w:p w:rsidR="00D63A79" w:rsidRPr="000473F9" w:rsidRDefault="00D63A79" w:rsidP="00C20471">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Në lidhje me këtë pretendim, Gjykata vlerëson se gjykata referuese nuk ka arritur të përcaktojë se si, përmes parashikimit të dispozitës së kundërshtuar, është ndërhyrë në kompetencat e një prej pushteteve të tjera në kuptimin klasik. Pretendimet e saj në këtë drejtim kanë të bëjnë me shpërndarjen e kompetencës brenda të njëjtit pushtet, konkretisht atij gjyqësor, për shkak të gjykimit të v</w:t>
      </w:r>
      <w:r w:rsidR="00ED78BE" w:rsidRPr="000473F9">
        <w:rPr>
          <w:rFonts w:ascii="Times New Roman" w:hAnsi="Times New Roman"/>
          <w:sz w:val="24"/>
          <w:szCs w:val="24"/>
          <w:lang w:val="sq-AL"/>
        </w:rPr>
        <w:t>eprës penale të korrupsionit</w:t>
      </w:r>
      <w:r w:rsidR="00364D17" w:rsidRPr="000473F9">
        <w:rPr>
          <w:rFonts w:ascii="Times New Roman" w:hAnsi="Times New Roman"/>
          <w:sz w:val="24"/>
          <w:szCs w:val="24"/>
          <w:lang w:val="sq-AL"/>
        </w:rPr>
        <w:t>,</w:t>
      </w:r>
      <w:r w:rsidR="00ED78BE" w:rsidRPr="000473F9">
        <w:rPr>
          <w:rFonts w:ascii="Times New Roman" w:hAnsi="Times New Roman"/>
          <w:sz w:val="24"/>
          <w:szCs w:val="24"/>
          <w:lang w:val="sq-AL"/>
        </w:rPr>
        <w:t xml:space="preserve"> të parashikuar nga neni 244, paragrafi i parë, i KP-së </w:t>
      </w:r>
      <w:r w:rsidRPr="000473F9">
        <w:rPr>
          <w:rFonts w:ascii="Times New Roman" w:hAnsi="Times New Roman"/>
          <w:sz w:val="24"/>
          <w:szCs w:val="24"/>
          <w:lang w:val="sq-AL"/>
        </w:rPr>
        <w:t xml:space="preserve">nga gjykatat e juridiksionit të zakonshëm, </w:t>
      </w:r>
      <w:r w:rsidR="00ED78BE" w:rsidRPr="000473F9">
        <w:rPr>
          <w:rFonts w:ascii="Times New Roman" w:hAnsi="Times New Roman"/>
          <w:sz w:val="24"/>
          <w:szCs w:val="24"/>
          <w:lang w:val="sq-AL"/>
        </w:rPr>
        <w:t>ndërsa</w:t>
      </w:r>
      <w:r w:rsidRPr="000473F9">
        <w:rPr>
          <w:rFonts w:ascii="Times New Roman" w:hAnsi="Times New Roman"/>
          <w:sz w:val="24"/>
          <w:szCs w:val="24"/>
          <w:lang w:val="sq-AL"/>
        </w:rPr>
        <w:t xml:space="preserve"> </w:t>
      </w:r>
      <w:r w:rsidR="0076473E" w:rsidRPr="000473F9">
        <w:rPr>
          <w:rFonts w:ascii="Times New Roman" w:hAnsi="Times New Roman"/>
          <w:sz w:val="24"/>
          <w:szCs w:val="24"/>
          <w:lang w:val="sq-AL"/>
        </w:rPr>
        <w:t>asaj</w:t>
      </w:r>
      <w:r w:rsidRPr="000473F9">
        <w:rPr>
          <w:rFonts w:ascii="Times New Roman" w:hAnsi="Times New Roman"/>
          <w:sz w:val="24"/>
          <w:szCs w:val="24"/>
          <w:lang w:val="sq-AL"/>
        </w:rPr>
        <w:t xml:space="preserve"> </w:t>
      </w:r>
      <w:r w:rsidR="00ED78BE" w:rsidRPr="000473F9">
        <w:rPr>
          <w:rFonts w:ascii="Times New Roman" w:hAnsi="Times New Roman"/>
          <w:sz w:val="24"/>
          <w:szCs w:val="24"/>
          <w:lang w:val="sq-AL"/>
        </w:rPr>
        <w:t xml:space="preserve">të parashikuar nga paragrafi i dytë i këtij neni </w:t>
      </w:r>
      <w:r w:rsidRPr="000473F9">
        <w:rPr>
          <w:rFonts w:ascii="Times New Roman" w:hAnsi="Times New Roman"/>
          <w:sz w:val="24"/>
          <w:szCs w:val="24"/>
          <w:lang w:val="sq-AL"/>
        </w:rPr>
        <w:t xml:space="preserve">nga </w:t>
      </w:r>
      <w:r w:rsidR="00B81B22" w:rsidRPr="000473F9">
        <w:rPr>
          <w:rFonts w:ascii="Times New Roman" w:hAnsi="Times New Roman"/>
          <w:sz w:val="24"/>
          <w:szCs w:val="24"/>
          <w:lang w:val="sq-AL"/>
        </w:rPr>
        <w:t>g</w:t>
      </w:r>
      <w:r w:rsidRPr="000473F9">
        <w:rPr>
          <w:rFonts w:ascii="Times New Roman" w:hAnsi="Times New Roman"/>
          <w:sz w:val="24"/>
          <w:szCs w:val="24"/>
          <w:lang w:val="sq-AL"/>
        </w:rPr>
        <w:t xml:space="preserve">jykatat e </w:t>
      </w:r>
      <w:r w:rsidR="00B81B22" w:rsidRPr="000473F9">
        <w:rPr>
          <w:rFonts w:ascii="Times New Roman" w:hAnsi="Times New Roman"/>
          <w:sz w:val="24"/>
          <w:szCs w:val="24"/>
          <w:lang w:val="sq-AL"/>
        </w:rPr>
        <w:t>p</w:t>
      </w:r>
      <w:r w:rsidRPr="000473F9">
        <w:rPr>
          <w:rFonts w:ascii="Times New Roman" w:hAnsi="Times New Roman"/>
          <w:sz w:val="24"/>
          <w:szCs w:val="24"/>
          <w:lang w:val="sq-AL"/>
        </w:rPr>
        <w:t>osaçme, çka në thelb</w:t>
      </w:r>
      <w:r w:rsidR="00C20471" w:rsidRPr="000473F9">
        <w:rPr>
          <w:rFonts w:ascii="Times New Roman" w:hAnsi="Times New Roman"/>
          <w:sz w:val="24"/>
          <w:szCs w:val="24"/>
          <w:lang w:val="sq-AL"/>
        </w:rPr>
        <w:t xml:space="preserve"> ka të bëj</w:t>
      </w:r>
      <w:r w:rsidRPr="000473F9">
        <w:rPr>
          <w:rFonts w:ascii="Times New Roman" w:hAnsi="Times New Roman"/>
          <w:sz w:val="24"/>
          <w:szCs w:val="24"/>
          <w:lang w:val="sq-AL"/>
        </w:rPr>
        <w:t>ë me parimin e gjykatës së caktuar me ligj.</w:t>
      </w:r>
      <w:r w:rsidRPr="000473F9">
        <w:rPr>
          <w:rFonts w:ascii="Times New Roman" w:hAnsi="Times New Roman"/>
          <w:iCs/>
          <w:sz w:val="24"/>
          <w:szCs w:val="24"/>
          <w:lang w:val="sq-AL"/>
        </w:rPr>
        <w:t xml:space="preserve"> </w:t>
      </w:r>
      <w:r w:rsidR="00E91128" w:rsidRPr="000473F9">
        <w:rPr>
          <w:rFonts w:ascii="Times New Roman" w:hAnsi="Times New Roman"/>
          <w:iCs/>
          <w:sz w:val="24"/>
          <w:szCs w:val="24"/>
          <w:lang w:val="sq-AL"/>
        </w:rPr>
        <w:t xml:space="preserve"> </w:t>
      </w:r>
    </w:p>
    <w:p w:rsidR="0085012D" w:rsidRPr="000473F9" w:rsidRDefault="008E13C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iCs/>
          <w:sz w:val="24"/>
          <w:szCs w:val="24"/>
          <w:lang w:val="sq-AL"/>
        </w:rPr>
        <w:t xml:space="preserve">Për rrjedhojë, </w:t>
      </w:r>
      <w:r w:rsidRPr="000473F9">
        <w:rPr>
          <w:rFonts w:ascii="Times New Roman" w:hAnsi="Times New Roman"/>
          <w:sz w:val="24"/>
          <w:szCs w:val="24"/>
          <w:lang w:val="sq-AL"/>
        </w:rPr>
        <w:t>Gjykata çmon ta analizojë çështjen vetëm për kushtetutshmëri</w:t>
      </w:r>
      <w:r w:rsidR="00FB3FEC" w:rsidRPr="000473F9">
        <w:rPr>
          <w:rFonts w:ascii="Times New Roman" w:hAnsi="Times New Roman"/>
          <w:sz w:val="24"/>
          <w:szCs w:val="24"/>
          <w:lang w:val="sq-AL"/>
        </w:rPr>
        <w:t>n</w:t>
      </w:r>
      <w:r w:rsidRPr="000473F9">
        <w:rPr>
          <w:rFonts w:ascii="Times New Roman" w:hAnsi="Times New Roman"/>
          <w:sz w:val="24"/>
          <w:szCs w:val="24"/>
          <w:lang w:val="sq-AL"/>
        </w:rPr>
        <w:t xml:space="preserve">ë e </w:t>
      </w:r>
      <w:r w:rsidR="00C20471" w:rsidRPr="000473F9">
        <w:rPr>
          <w:rFonts w:ascii="Times New Roman" w:hAnsi="Times New Roman"/>
          <w:sz w:val="24"/>
          <w:szCs w:val="24"/>
          <w:lang w:val="sq-AL"/>
        </w:rPr>
        <w:t>dispozitës s</w:t>
      </w:r>
      <w:r w:rsidRPr="000473F9">
        <w:rPr>
          <w:rFonts w:ascii="Times New Roman" w:hAnsi="Times New Roman"/>
          <w:sz w:val="24"/>
          <w:szCs w:val="24"/>
          <w:lang w:val="sq-AL"/>
        </w:rPr>
        <w:t xml:space="preserve">ë kundërshtuar në lidhje me parimin e gjykatës së caktuar me ligj, për të cilin Gjykata vlerëson se janë parashtruar argumente bindëse dhe serioze </w:t>
      </w:r>
      <w:r w:rsidR="00C4473A" w:rsidRPr="000473F9">
        <w:rPr>
          <w:rFonts w:ascii="Times New Roman" w:hAnsi="Times New Roman"/>
          <w:sz w:val="24"/>
          <w:szCs w:val="24"/>
          <w:lang w:val="sq-AL"/>
        </w:rPr>
        <w:t>në drejtim të kompetencës së gjykatave për veprën penale të korrupsionit</w:t>
      </w:r>
      <w:r w:rsidRPr="000473F9">
        <w:rPr>
          <w:rFonts w:ascii="Times New Roman" w:hAnsi="Times New Roman"/>
          <w:sz w:val="24"/>
          <w:szCs w:val="24"/>
          <w:lang w:val="sq-AL"/>
        </w:rPr>
        <w:t xml:space="preserve">, duke </w:t>
      </w:r>
      <w:r w:rsidR="00C4473A" w:rsidRPr="000473F9">
        <w:rPr>
          <w:rFonts w:ascii="Times New Roman" w:hAnsi="Times New Roman"/>
          <w:sz w:val="24"/>
          <w:szCs w:val="24"/>
          <w:lang w:val="sq-AL"/>
        </w:rPr>
        <w:t xml:space="preserve">u </w:t>
      </w:r>
      <w:r w:rsidRPr="000473F9">
        <w:rPr>
          <w:rFonts w:ascii="Times New Roman" w:hAnsi="Times New Roman"/>
          <w:sz w:val="24"/>
          <w:szCs w:val="24"/>
          <w:lang w:val="sq-AL"/>
        </w:rPr>
        <w:t xml:space="preserve">plotësuar </w:t>
      </w:r>
      <w:r w:rsidR="00C4473A" w:rsidRPr="000473F9">
        <w:rPr>
          <w:rFonts w:ascii="Times New Roman" w:hAnsi="Times New Roman"/>
          <w:sz w:val="24"/>
          <w:szCs w:val="24"/>
          <w:lang w:val="sq-AL"/>
        </w:rPr>
        <w:t xml:space="preserve">në këtë mënyrë </w:t>
      </w:r>
      <w:r w:rsidRPr="000473F9">
        <w:rPr>
          <w:rFonts w:ascii="Times New Roman" w:hAnsi="Times New Roman"/>
          <w:sz w:val="24"/>
          <w:szCs w:val="24"/>
          <w:lang w:val="sq-AL"/>
        </w:rPr>
        <w:t>kriteret e legjitimimit, në kuptim të nenit 145, pika 2, të Kushtetutës dhe nenit 68 të ligjit nr. 8577/2000</w:t>
      </w:r>
      <w:r w:rsidR="0085012D" w:rsidRPr="000473F9">
        <w:rPr>
          <w:rFonts w:ascii="Times New Roman" w:hAnsi="Times New Roman"/>
          <w:sz w:val="24"/>
          <w:szCs w:val="24"/>
          <w:lang w:val="sq-AL"/>
        </w:rPr>
        <w:t>.</w:t>
      </w:r>
    </w:p>
    <w:p w:rsidR="0085012D" w:rsidRPr="000473F9" w:rsidRDefault="0085012D" w:rsidP="009B5EB3">
      <w:pPr>
        <w:pStyle w:val="ListParagraph"/>
        <w:tabs>
          <w:tab w:val="left" w:pos="1080"/>
        </w:tabs>
        <w:spacing w:after="0" w:line="360" w:lineRule="auto"/>
        <w:jc w:val="both"/>
        <w:rPr>
          <w:rFonts w:ascii="Times New Roman" w:hAnsi="Times New Roman"/>
          <w:sz w:val="24"/>
          <w:szCs w:val="24"/>
          <w:lang w:val="sq-AL"/>
        </w:rPr>
      </w:pPr>
    </w:p>
    <w:p w:rsidR="0085012D" w:rsidRPr="000473F9" w:rsidRDefault="0085012D" w:rsidP="009B5EB3">
      <w:pPr>
        <w:pStyle w:val="ListParagraph"/>
        <w:tabs>
          <w:tab w:val="left" w:pos="1080"/>
        </w:tabs>
        <w:spacing w:after="0" w:line="360" w:lineRule="auto"/>
        <w:jc w:val="both"/>
        <w:rPr>
          <w:rFonts w:ascii="Times New Roman" w:hAnsi="Times New Roman"/>
          <w:i/>
          <w:sz w:val="24"/>
          <w:szCs w:val="24"/>
          <w:lang w:val="sq-AL"/>
        </w:rPr>
      </w:pPr>
      <w:r w:rsidRPr="000473F9">
        <w:rPr>
          <w:rFonts w:ascii="Times New Roman" w:hAnsi="Times New Roman"/>
          <w:i/>
          <w:sz w:val="24"/>
          <w:szCs w:val="24"/>
          <w:lang w:val="sq-AL"/>
        </w:rPr>
        <w:t>B. Për themelin e pretendimeve</w:t>
      </w:r>
    </w:p>
    <w:p w:rsidR="00F5531B" w:rsidRPr="000473F9" w:rsidRDefault="00F5531B" w:rsidP="009B5EB3">
      <w:pPr>
        <w:pStyle w:val="ListParagraph"/>
        <w:tabs>
          <w:tab w:val="left" w:pos="1080"/>
        </w:tabs>
        <w:spacing w:after="0" w:line="360" w:lineRule="auto"/>
        <w:jc w:val="both"/>
        <w:rPr>
          <w:rFonts w:ascii="Times New Roman" w:hAnsi="Times New Roman"/>
          <w:i/>
          <w:sz w:val="24"/>
          <w:szCs w:val="24"/>
          <w:lang w:val="sq-AL"/>
        </w:rPr>
      </w:pPr>
      <w:r w:rsidRPr="000473F9">
        <w:rPr>
          <w:rFonts w:ascii="Times New Roman" w:hAnsi="Times New Roman"/>
          <w:i/>
          <w:sz w:val="24"/>
          <w:szCs w:val="24"/>
          <w:lang w:val="sq-AL"/>
        </w:rPr>
        <w:t xml:space="preserve">B.1. Për </w:t>
      </w:r>
      <w:r w:rsidR="007706DF" w:rsidRPr="000473F9">
        <w:rPr>
          <w:rFonts w:ascii="Times New Roman" w:hAnsi="Times New Roman"/>
          <w:i/>
          <w:sz w:val="24"/>
          <w:szCs w:val="24"/>
          <w:lang w:val="sq-AL"/>
        </w:rPr>
        <w:t xml:space="preserve">pretendimin </w:t>
      </w:r>
      <w:r w:rsidR="001F6D88" w:rsidRPr="000473F9">
        <w:rPr>
          <w:rFonts w:ascii="Times New Roman" w:hAnsi="Times New Roman"/>
          <w:i/>
          <w:sz w:val="24"/>
          <w:szCs w:val="24"/>
          <w:lang w:val="sq-AL"/>
        </w:rPr>
        <w:t>e</w:t>
      </w:r>
      <w:r w:rsidR="007706DF" w:rsidRPr="000473F9">
        <w:rPr>
          <w:rFonts w:ascii="Times New Roman" w:hAnsi="Times New Roman"/>
          <w:i/>
          <w:sz w:val="24"/>
          <w:szCs w:val="24"/>
          <w:lang w:val="sq-AL"/>
        </w:rPr>
        <w:t xml:space="preserve"> </w:t>
      </w:r>
      <w:r w:rsidRPr="000473F9">
        <w:rPr>
          <w:rFonts w:ascii="Times New Roman" w:hAnsi="Times New Roman"/>
          <w:i/>
          <w:sz w:val="24"/>
          <w:szCs w:val="24"/>
          <w:lang w:val="sq-AL"/>
        </w:rPr>
        <w:t>cenimi</w:t>
      </w:r>
      <w:r w:rsidR="001F6D88" w:rsidRPr="000473F9">
        <w:rPr>
          <w:rFonts w:ascii="Times New Roman" w:hAnsi="Times New Roman"/>
          <w:i/>
          <w:sz w:val="24"/>
          <w:szCs w:val="24"/>
          <w:lang w:val="sq-AL"/>
        </w:rPr>
        <w:t>t</w:t>
      </w:r>
      <w:r w:rsidRPr="000473F9">
        <w:rPr>
          <w:rFonts w:ascii="Times New Roman" w:hAnsi="Times New Roman"/>
          <w:i/>
          <w:sz w:val="24"/>
          <w:szCs w:val="24"/>
          <w:lang w:val="sq-AL"/>
        </w:rPr>
        <w:t xml:space="preserve"> </w:t>
      </w:r>
      <w:r w:rsidR="001F6D88" w:rsidRPr="000473F9">
        <w:rPr>
          <w:rFonts w:ascii="Times New Roman" w:hAnsi="Times New Roman"/>
          <w:i/>
          <w:sz w:val="24"/>
          <w:szCs w:val="24"/>
          <w:lang w:val="sq-AL"/>
        </w:rPr>
        <w:t>të</w:t>
      </w:r>
      <w:r w:rsidRPr="000473F9">
        <w:rPr>
          <w:rFonts w:ascii="Times New Roman" w:hAnsi="Times New Roman"/>
          <w:i/>
          <w:sz w:val="24"/>
          <w:szCs w:val="24"/>
          <w:lang w:val="sq-AL"/>
        </w:rPr>
        <w:t xml:space="preserve"> parimit të gjykatës së caktuar me ligj</w:t>
      </w:r>
    </w:p>
    <w:p w:rsidR="00F5531B" w:rsidRPr="000473F9" w:rsidRDefault="00F5531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Gjykata referuese ka pretenduar se dispozita e kundërshtuar </w:t>
      </w:r>
      <w:r w:rsidR="005F4270" w:rsidRPr="000473F9">
        <w:rPr>
          <w:rFonts w:ascii="Times New Roman" w:hAnsi="Times New Roman"/>
          <w:sz w:val="24"/>
          <w:szCs w:val="24"/>
          <w:lang w:val="sq-AL"/>
        </w:rPr>
        <w:t xml:space="preserve">ngushton kompetencën lëndore të gjykatave të posaçme, duke zgjeruar kompetencën e gjykatave të juridiksionit të zakonshëm, </w:t>
      </w:r>
      <w:r w:rsidR="00364D17" w:rsidRPr="000473F9">
        <w:rPr>
          <w:rFonts w:ascii="Times New Roman" w:hAnsi="Times New Roman"/>
          <w:sz w:val="24"/>
          <w:szCs w:val="24"/>
          <w:lang w:val="sq-AL"/>
        </w:rPr>
        <w:t xml:space="preserve">çka bie </w:t>
      </w:r>
      <w:r w:rsidR="005F4270" w:rsidRPr="000473F9">
        <w:rPr>
          <w:rFonts w:ascii="Times New Roman" w:hAnsi="Times New Roman"/>
          <w:sz w:val="24"/>
          <w:szCs w:val="24"/>
          <w:lang w:val="sq-AL"/>
        </w:rPr>
        <w:t xml:space="preserve">në kundërshtim me nenin 135, pika 2, të Kushtetutës. </w:t>
      </w:r>
      <w:r w:rsidR="00663D02" w:rsidRPr="000473F9">
        <w:rPr>
          <w:rFonts w:ascii="Times New Roman" w:hAnsi="Times New Roman"/>
          <w:sz w:val="24"/>
          <w:szCs w:val="24"/>
          <w:lang w:val="sq-AL"/>
        </w:rPr>
        <w:t>K</w:t>
      </w:r>
      <w:r w:rsidR="005F4270" w:rsidRPr="000473F9">
        <w:rPr>
          <w:rFonts w:ascii="Times New Roman" w:hAnsi="Times New Roman"/>
          <w:sz w:val="24"/>
          <w:szCs w:val="24"/>
          <w:lang w:val="sq-AL"/>
        </w:rPr>
        <w:t>jo dispozitë përcakton kompetencën lëndore për gjykimin e çështjes nga gjykatat</w:t>
      </w:r>
      <w:r w:rsidR="00663D02" w:rsidRPr="000473F9">
        <w:rPr>
          <w:rFonts w:ascii="Times New Roman" w:hAnsi="Times New Roman"/>
          <w:sz w:val="24"/>
          <w:szCs w:val="24"/>
          <w:lang w:val="sq-AL"/>
        </w:rPr>
        <w:t xml:space="preserve"> e zakonshme, kompetencë e cila</w:t>
      </w:r>
      <w:r w:rsidR="005F4270" w:rsidRPr="000473F9">
        <w:rPr>
          <w:rFonts w:ascii="Times New Roman" w:hAnsi="Times New Roman"/>
          <w:sz w:val="24"/>
          <w:szCs w:val="24"/>
          <w:lang w:val="sq-AL"/>
        </w:rPr>
        <w:t xml:space="preserve"> sipas nenit 74 të </w:t>
      </w:r>
      <w:r w:rsidR="00A334F8" w:rsidRPr="000473F9">
        <w:rPr>
          <w:rFonts w:ascii="Times New Roman" w:hAnsi="Times New Roman"/>
          <w:sz w:val="24"/>
          <w:szCs w:val="24"/>
          <w:lang w:val="sq-AL"/>
        </w:rPr>
        <w:t>KPP-së</w:t>
      </w:r>
      <w:r w:rsidR="005F4270" w:rsidRPr="000473F9">
        <w:rPr>
          <w:rFonts w:ascii="Times New Roman" w:hAnsi="Times New Roman"/>
          <w:sz w:val="24"/>
          <w:szCs w:val="24"/>
          <w:lang w:val="sq-AL"/>
        </w:rPr>
        <w:t xml:space="preserve"> është mbetëse e asaj të caktuar posaçërisht gjykatave të posaçme </w:t>
      </w:r>
      <w:r w:rsidR="005F4270" w:rsidRPr="000473F9">
        <w:rPr>
          <w:rFonts w:ascii="Times New Roman" w:hAnsi="Times New Roman"/>
          <w:sz w:val="24"/>
          <w:szCs w:val="24"/>
          <w:lang w:val="sq-AL"/>
        </w:rPr>
        <w:lastRenderedPageBreak/>
        <w:t>sipas nenit 135, pika 2, të Kushtetutës dhe nenit 75/a të KPP-së. Kompetenca lëndore e gjykatave të posaçme që gjykojnë veprat penale të korrupsionit dhe krimit të organizuar është rregulluar drejtpërsëdrejti nga Kushtetuta, e cila nuk ka deleguar mundësinë e rregullimit të saj me ligj. Në referim të dispozitës së kundërshtuar, gjykatat e posaçme do të shqyrtojnë vetëm veprat penale të parashikuara në paragrafin e dytë të nenit 244 të KP-së, ndërsa gjykatat e juridiksionit të zakonshëm krimet e parashikuara në paragrafin 1 të këtij neni</w:t>
      </w:r>
      <w:r w:rsidRPr="000473F9">
        <w:rPr>
          <w:rFonts w:ascii="Times New Roman" w:hAnsi="Times New Roman"/>
          <w:sz w:val="24"/>
          <w:szCs w:val="24"/>
          <w:lang w:val="sq-AL"/>
        </w:rPr>
        <w:t>.</w:t>
      </w:r>
    </w:p>
    <w:p w:rsidR="00F5531B" w:rsidRPr="000473F9" w:rsidRDefault="00F5531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Subjektet e interesuara, Kuvendi dhe Këshilli i Ministrave</w:t>
      </w:r>
      <w:r w:rsidR="007945FD" w:rsidRPr="000473F9">
        <w:rPr>
          <w:rFonts w:ascii="Times New Roman" w:hAnsi="Times New Roman"/>
          <w:sz w:val="24"/>
          <w:szCs w:val="24"/>
          <w:lang w:val="sq-AL"/>
        </w:rPr>
        <w:t>,</w:t>
      </w:r>
      <w:r w:rsidRPr="000473F9">
        <w:rPr>
          <w:rFonts w:ascii="Times New Roman" w:hAnsi="Times New Roman"/>
          <w:sz w:val="24"/>
          <w:szCs w:val="24"/>
          <w:lang w:val="sq-AL"/>
        </w:rPr>
        <w:t xml:space="preserve"> kanë prapësuar se neni 135, pika 2, i Kushtetutës përbën një dispozitë me karakter lejues, pasi ndërkohë që përcakton kompetencën lëndore të gjykatave të posaçme, nuk parashikon asnjë ndalim që gjykatat e juridiksionit të zakonshëm të gjykojnë veprat penale që lidhen me korrupsionin dhe krimin e organizuar. Ndryshimet</w:t>
      </w:r>
      <w:r w:rsidR="00663D02" w:rsidRPr="000473F9">
        <w:rPr>
          <w:rFonts w:ascii="Times New Roman" w:hAnsi="Times New Roman"/>
          <w:sz w:val="24"/>
          <w:szCs w:val="24"/>
          <w:lang w:val="sq-AL"/>
        </w:rPr>
        <w:t xml:space="preserve"> e bëra</w:t>
      </w:r>
      <w:r w:rsidRPr="000473F9">
        <w:rPr>
          <w:rFonts w:ascii="Times New Roman" w:hAnsi="Times New Roman"/>
          <w:sz w:val="24"/>
          <w:szCs w:val="24"/>
          <w:lang w:val="sq-AL"/>
        </w:rPr>
        <w:t xml:space="preserve"> në nenin 75/a të KPP-së kanë ardhur paralelisht me ndryshimet në nenin 244 të KP-së dhe përcaktimi i kompetencës lëndore të gjykatës që do </w:t>
      </w:r>
      <w:r w:rsidR="007945FD" w:rsidRPr="000473F9">
        <w:rPr>
          <w:rFonts w:ascii="Times New Roman" w:hAnsi="Times New Roman"/>
          <w:sz w:val="24"/>
          <w:szCs w:val="24"/>
          <w:lang w:val="sq-AL"/>
        </w:rPr>
        <w:t xml:space="preserve">të </w:t>
      </w:r>
      <w:r w:rsidRPr="000473F9">
        <w:rPr>
          <w:rFonts w:ascii="Times New Roman" w:hAnsi="Times New Roman"/>
          <w:sz w:val="24"/>
          <w:szCs w:val="24"/>
          <w:lang w:val="sq-AL"/>
        </w:rPr>
        <w:t xml:space="preserve">shqyrtojë çështjen në varësi të vlerës së përfitimit krijon mundësi reale që Prokuroria e Posaçme të fokusohet në ato çështje penale të cilat kanë rëndësi të veçantë për shkak të natyrës së tyre, rrezikshmërisë së lartë shoqërore, ndikimit të pasojave që ato sjellin në shoqëri, si dhe nivelit të korrupsionit. Dispozita objekt gjykimi kushtetues synon, gjithashtu, edhe garantimin e standardit të procesit të rregullt ligjor, duke përfshirë edhe atë të gjykimit brenda një afati të arsyeshëm. </w:t>
      </w:r>
      <w:r w:rsidR="007945FD" w:rsidRPr="000473F9">
        <w:rPr>
          <w:rFonts w:ascii="Times New Roman" w:hAnsi="Times New Roman"/>
          <w:sz w:val="24"/>
          <w:szCs w:val="24"/>
          <w:lang w:val="sq-AL"/>
        </w:rPr>
        <w:t xml:space="preserve">Po ashtu, </w:t>
      </w:r>
      <w:r w:rsidRPr="000473F9">
        <w:rPr>
          <w:rFonts w:ascii="Times New Roman" w:hAnsi="Times New Roman"/>
          <w:sz w:val="24"/>
          <w:szCs w:val="24"/>
          <w:lang w:val="sq-AL"/>
        </w:rPr>
        <w:t>Këshi</w:t>
      </w:r>
      <w:r w:rsidR="007945FD" w:rsidRPr="000473F9">
        <w:rPr>
          <w:rFonts w:ascii="Times New Roman" w:hAnsi="Times New Roman"/>
          <w:sz w:val="24"/>
          <w:szCs w:val="24"/>
          <w:lang w:val="sq-AL"/>
        </w:rPr>
        <w:t>lli i Ministrave ka parashtruar</w:t>
      </w:r>
      <w:r w:rsidRPr="000473F9">
        <w:rPr>
          <w:rFonts w:ascii="Times New Roman" w:hAnsi="Times New Roman"/>
          <w:sz w:val="24"/>
          <w:szCs w:val="24"/>
          <w:lang w:val="sq-AL"/>
        </w:rPr>
        <w:t xml:space="preserve"> se ndryshimet ligjore të vitit 2021 për ushtrimin në mënyrë efikase të ndjekjes penale janë vlerësuar edhe nga partnerët ndërkombëtarë, duke u konsideruar të rëndësishme për funksionimin eficient të sistemit gjyqësor dhe prokurorisë shqiptare, si dhe në përputhje me standardet ndërkombëtare.</w:t>
      </w:r>
    </w:p>
    <w:p w:rsidR="00F5531B" w:rsidRPr="000473F9" w:rsidRDefault="00F5531B"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Subjekti i interesuar, Prokuroria e Përgjithshme, ka prapësuar se </w:t>
      </w:r>
      <w:r w:rsidR="00EB163C" w:rsidRPr="000473F9">
        <w:rPr>
          <w:rFonts w:ascii="Times New Roman" w:hAnsi="Times New Roman"/>
          <w:sz w:val="24"/>
          <w:szCs w:val="24"/>
          <w:lang w:val="sq-AL"/>
        </w:rPr>
        <w:t>p</w:t>
      </w:r>
      <w:r w:rsidRPr="000473F9">
        <w:rPr>
          <w:rFonts w:ascii="Times New Roman" w:hAnsi="Times New Roman"/>
          <w:sz w:val="24"/>
          <w:szCs w:val="24"/>
          <w:lang w:val="sq-AL"/>
        </w:rPr>
        <w:t xml:space="preserve">ërmes parashikimeve të nenit 135 të Kushtetutës ligjvënësi nuk ka pasur si qëllim përjashtimin kushtetues të gjykatave të juridiksionit të zakonshëm nga gjykimi i veprave penale të korrupsionit. Parashikimet e kësaj dispozite kushtetuese përcaktojnë juridiksionin lëndor të </w:t>
      </w:r>
      <w:r w:rsidR="00B80A3D" w:rsidRPr="000473F9">
        <w:rPr>
          <w:rFonts w:ascii="Times New Roman" w:hAnsi="Times New Roman"/>
          <w:sz w:val="24"/>
          <w:szCs w:val="24"/>
          <w:lang w:val="sq-AL"/>
        </w:rPr>
        <w:t>G</w:t>
      </w:r>
      <w:r w:rsidRPr="000473F9">
        <w:rPr>
          <w:rFonts w:ascii="Times New Roman" w:hAnsi="Times New Roman"/>
          <w:sz w:val="24"/>
          <w:szCs w:val="24"/>
          <w:lang w:val="sq-AL"/>
        </w:rPr>
        <w:t xml:space="preserve">jykatës së </w:t>
      </w:r>
      <w:r w:rsidR="00B80A3D" w:rsidRPr="000473F9">
        <w:rPr>
          <w:rFonts w:ascii="Times New Roman" w:hAnsi="Times New Roman"/>
          <w:sz w:val="24"/>
          <w:szCs w:val="24"/>
          <w:lang w:val="sq-AL"/>
        </w:rPr>
        <w:t>P</w:t>
      </w:r>
      <w:r w:rsidRPr="000473F9">
        <w:rPr>
          <w:rFonts w:ascii="Times New Roman" w:hAnsi="Times New Roman"/>
          <w:sz w:val="24"/>
          <w:szCs w:val="24"/>
          <w:lang w:val="sq-AL"/>
        </w:rPr>
        <w:t>osaçme në mënyrë të përgjithshme, ndërsa juridiksioni në kuptimin e ngushtë përcaktohet në nenin 75/a të KPP-së. Ndërkohë që këto kompetenca nuk mund të zgjerohen tej atyre të parashikuara në Kushtetutë, nuk ndalohet ngushtimi i tyre drejt fokusimit më të mirë në çështje serioze të korrupsionit. Ligjvënësi është kujdesur në mënyrë të veçantë për korrupsionin serioz, i cili krijon premisa të ndërlidhjes me krimin e organizuar, çka rrezikon bazat e shtetit dhe organizimin shoqëror.</w:t>
      </w:r>
    </w:p>
    <w:p w:rsidR="00DD4B9C" w:rsidRPr="000473F9" w:rsidRDefault="00582277"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eastAsia="sq-AL"/>
        </w:rPr>
        <w:t xml:space="preserve">Interpretimi përfundimtar i ligjit themelor të shtetit është ndër funksionet më të rëndësishme të Gjykatës, të cilin ajo e ushtron sa herë që vihet në lëvizje për t’u shprehur për një nga çështjet e parashikuara në nenin 131 të Kushtetutës dhe në normat e tjera kushtetuese. Kontrolli kushtetues, në çdo rast, nuk mund të bëhet pa interpretimin e normave kushtetuese që </w:t>
      </w:r>
      <w:r w:rsidRPr="000473F9">
        <w:rPr>
          <w:rFonts w:ascii="Times New Roman" w:hAnsi="Times New Roman"/>
          <w:sz w:val="24"/>
          <w:szCs w:val="24"/>
          <w:lang w:val="sq-AL" w:eastAsia="sq-AL"/>
        </w:rPr>
        <w:lastRenderedPageBreak/>
        <w:t xml:space="preserve">lidhen me çështjen konkrete në shqyrtim. </w:t>
      </w:r>
      <w:r w:rsidRPr="000473F9">
        <w:rPr>
          <w:rFonts w:ascii="Times New Roman" w:hAnsi="Times New Roman"/>
          <w:sz w:val="24"/>
          <w:szCs w:val="24"/>
          <w:lang w:val="sq-AL"/>
        </w:rPr>
        <w:t>Interpretimi përfundimtar që bën Gjykata nuk ka si qëllim shtimin e normave të reja në sistemin e normave detyruese ligjore, por deklarimin ose pohimin e përmbajtjes së këtyre normave. Për të shmangur çdo mundësi për ndërhyrje në kompetencat e pushtetit ligjvënës, Gjykata nuk merr përsipër të kryejë rolin e legjislatorit, por synon t’u japë jetë normave kushtetuese përmes kuptimit të drejtë të përmbajtjes dhe qëllimit të tyre</w:t>
      </w:r>
      <w:r w:rsidR="005539C5" w:rsidRPr="000473F9">
        <w:rPr>
          <w:rFonts w:ascii="Times New Roman" w:hAnsi="Times New Roman"/>
          <w:sz w:val="24"/>
          <w:szCs w:val="24"/>
          <w:lang w:val="sq-AL"/>
        </w:rPr>
        <w:t xml:space="preserve"> </w:t>
      </w:r>
      <w:r w:rsidR="005539C5" w:rsidRPr="000473F9">
        <w:rPr>
          <w:rFonts w:ascii="Times New Roman" w:hAnsi="Times New Roman"/>
          <w:i/>
          <w:sz w:val="24"/>
          <w:szCs w:val="24"/>
          <w:lang w:val="sq-AL"/>
        </w:rPr>
        <w:t>(shih vendimin nr. 36, datë 04.11.2021 të Gjykatës Kushtetuese)</w:t>
      </w:r>
      <w:r w:rsidR="005539C5" w:rsidRPr="000473F9">
        <w:rPr>
          <w:rFonts w:ascii="Times New Roman" w:hAnsi="Times New Roman"/>
          <w:sz w:val="24"/>
          <w:szCs w:val="24"/>
          <w:lang w:val="sq-AL"/>
        </w:rPr>
        <w:t>.</w:t>
      </w:r>
    </w:p>
    <w:p w:rsidR="005539C5" w:rsidRPr="000473F9" w:rsidRDefault="005539C5"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bCs/>
          <w:sz w:val="24"/>
          <w:szCs w:val="24"/>
          <w:lang w:val="sq-AL"/>
        </w:rPr>
        <w:t>P</w:t>
      </w:r>
      <w:r w:rsidRPr="000473F9">
        <w:rPr>
          <w:rFonts w:ascii="Times New Roman" w:hAnsi="Times New Roman"/>
          <w:sz w:val="24"/>
          <w:szCs w:val="24"/>
          <w:lang w:val="sq-AL"/>
        </w:rPr>
        <w:t>ë</w:t>
      </w:r>
      <w:r w:rsidRPr="000473F9">
        <w:rPr>
          <w:rFonts w:ascii="Times New Roman" w:hAnsi="Times New Roman"/>
          <w:bCs/>
          <w:sz w:val="24"/>
          <w:szCs w:val="24"/>
          <w:lang w:val="sq-AL"/>
        </w:rPr>
        <w:t>rcaktimi i sakt</w:t>
      </w:r>
      <w:r w:rsidRPr="000473F9">
        <w:rPr>
          <w:rFonts w:ascii="Times New Roman" w:hAnsi="Times New Roman"/>
          <w:sz w:val="24"/>
          <w:szCs w:val="24"/>
          <w:lang w:val="sq-AL"/>
        </w:rPr>
        <w:t>ë</w:t>
      </w:r>
      <w:r w:rsidRPr="000473F9">
        <w:rPr>
          <w:rFonts w:ascii="Times New Roman" w:hAnsi="Times New Roman"/>
          <w:bCs/>
          <w:sz w:val="24"/>
          <w:szCs w:val="24"/>
          <w:lang w:val="sq-AL"/>
        </w:rPr>
        <w:t xml:space="preserve"> i kompetenc</w:t>
      </w:r>
      <w:r w:rsidRPr="000473F9">
        <w:rPr>
          <w:rFonts w:ascii="Times New Roman" w:hAnsi="Times New Roman"/>
          <w:sz w:val="24"/>
          <w:szCs w:val="24"/>
          <w:lang w:val="sq-AL"/>
        </w:rPr>
        <w:t>ë</w:t>
      </w:r>
      <w:r w:rsidRPr="000473F9">
        <w:rPr>
          <w:rFonts w:ascii="Times New Roman" w:hAnsi="Times New Roman"/>
          <w:bCs/>
          <w:sz w:val="24"/>
          <w:szCs w:val="24"/>
          <w:lang w:val="sq-AL"/>
        </w:rPr>
        <w:t xml:space="preserve">s </w:t>
      </w:r>
      <w:r w:rsidRPr="000473F9">
        <w:rPr>
          <w:rFonts w:ascii="Times New Roman" w:hAnsi="Times New Roman"/>
          <w:sz w:val="24"/>
          <w:szCs w:val="24"/>
          <w:lang w:val="sq-AL"/>
        </w:rPr>
        <w:t>ë</w:t>
      </w:r>
      <w:r w:rsidRPr="000473F9">
        <w:rPr>
          <w:rFonts w:ascii="Times New Roman" w:hAnsi="Times New Roman"/>
          <w:bCs/>
          <w:sz w:val="24"/>
          <w:szCs w:val="24"/>
          <w:lang w:val="sq-AL"/>
        </w:rPr>
        <w:t>sht</w:t>
      </w:r>
      <w:r w:rsidRPr="000473F9">
        <w:rPr>
          <w:rFonts w:ascii="Times New Roman" w:hAnsi="Times New Roman"/>
          <w:sz w:val="24"/>
          <w:szCs w:val="24"/>
          <w:lang w:val="sq-AL"/>
        </w:rPr>
        <w:t>ë</w:t>
      </w:r>
      <w:r w:rsidRPr="000473F9">
        <w:rPr>
          <w:rFonts w:ascii="Times New Roman" w:hAnsi="Times New Roman"/>
          <w:bCs/>
          <w:sz w:val="24"/>
          <w:szCs w:val="24"/>
          <w:lang w:val="sq-AL"/>
        </w:rPr>
        <w:t xml:space="preserve"> detyrim q</w:t>
      </w:r>
      <w:r w:rsidRPr="000473F9">
        <w:rPr>
          <w:rFonts w:ascii="Times New Roman" w:hAnsi="Times New Roman"/>
          <w:sz w:val="24"/>
          <w:szCs w:val="24"/>
          <w:lang w:val="sq-AL"/>
        </w:rPr>
        <w:t>ë</w:t>
      </w:r>
      <w:r w:rsidRPr="000473F9">
        <w:rPr>
          <w:rFonts w:ascii="Times New Roman" w:hAnsi="Times New Roman"/>
          <w:bCs/>
          <w:sz w:val="24"/>
          <w:szCs w:val="24"/>
          <w:lang w:val="sq-AL"/>
        </w:rPr>
        <w:t xml:space="preserve"> rrjedh nga parimi i </w:t>
      </w:r>
      <w:r w:rsidRPr="000473F9">
        <w:rPr>
          <w:rFonts w:ascii="Times New Roman" w:hAnsi="Times New Roman"/>
          <w:sz w:val="24"/>
          <w:szCs w:val="24"/>
          <w:lang w:val="sq-AL"/>
        </w:rPr>
        <w:t xml:space="preserve">shtetit të së drejtës, </w:t>
      </w:r>
      <w:r w:rsidR="00270EB3">
        <w:rPr>
          <w:rFonts w:ascii="Times New Roman" w:hAnsi="Times New Roman"/>
          <w:sz w:val="24"/>
          <w:szCs w:val="24"/>
          <w:lang w:val="sq-AL"/>
        </w:rPr>
        <w:t xml:space="preserve">i </w:t>
      </w:r>
      <w:r w:rsidRPr="000473F9">
        <w:rPr>
          <w:rFonts w:ascii="Times New Roman" w:hAnsi="Times New Roman"/>
          <w:sz w:val="24"/>
          <w:szCs w:val="24"/>
          <w:lang w:val="sq-AL"/>
        </w:rPr>
        <w:t xml:space="preserve">sanksionuar në nenin 4 të Kushtetutës, sipas </w:t>
      </w:r>
      <w:r w:rsidR="00B42593" w:rsidRPr="000473F9">
        <w:rPr>
          <w:rFonts w:ascii="Times New Roman" w:hAnsi="Times New Roman"/>
          <w:sz w:val="24"/>
          <w:szCs w:val="24"/>
          <w:lang w:val="sq-AL"/>
        </w:rPr>
        <w:t>të cilit</w:t>
      </w:r>
      <w:r w:rsidRPr="000473F9">
        <w:rPr>
          <w:rFonts w:ascii="Times New Roman" w:hAnsi="Times New Roman"/>
          <w:sz w:val="24"/>
          <w:szCs w:val="24"/>
          <w:lang w:val="sq-AL"/>
        </w:rPr>
        <w:t xml:space="preserve"> e drejta përbën bazën dhe kufijtë e veprimtarisë së shtetit. Vetë kompetenca lëndore e gjykatës është e lidhur ngushtë me kompozimin e trupit gjykues të ngarkuar për shqyrtimin e çdo çështjeje konkrete. Në këtë kontekst, fjala “ligj”, sipas nenit 42 të Kushtetutës, përfshin edhe legjislacionin për krijimin dhe kompetencën e gjykatave, ku kompetenca për gjykimin e çështjeve penale ka të bëjë me rrethin e akuzave, shqyrtimi i të cilave është atribut i gjykatave të llojeve dhe niveleve të ndryshme. Në përputhje me sa më sipër, Gjykata ka vlerësuar se nëse një gjykatë nuk ka juridiksion/kompetencë për të gjykuar të pandehurin në përputhje me dispozitat që zbatohen sipas legjislacionit përkatës, ajo nuk është “e krijuar me ligj”, sipas kuptimit të nenit 42 të Kushtetutës </w:t>
      </w:r>
      <w:r w:rsidRPr="000473F9">
        <w:rPr>
          <w:rFonts w:ascii="Times New Roman" w:hAnsi="Times New Roman"/>
          <w:i/>
          <w:sz w:val="24"/>
          <w:szCs w:val="24"/>
          <w:lang w:val="sq-AL"/>
        </w:rPr>
        <w:t>(shih vendimin nr. 62, datë 04.11.2016 të Gjykatës Kushtetuese).</w:t>
      </w:r>
    </w:p>
    <w:p w:rsidR="00582277" w:rsidRPr="000473F9" w:rsidRDefault="009E4D44" w:rsidP="00582277">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Në rastin në shqyrtim,</w:t>
      </w:r>
      <w:r w:rsidR="00801C06" w:rsidRPr="000473F9">
        <w:rPr>
          <w:rFonts w:ascii="Times New Roman" w:hAnsi="Times New Roman"/>
          <w:sz w:val="24"/>
          <w:szCs w:val="24"/>
          <w:lang w:val="sq-AL"/>
        </w:rPr>
        <w:t xml:space="preserve"> Gjykata vëren se gjykata referuese ka pretenduar cenimin e parimit të gjykatës së caktuar me ligj, pasi dispozita e kundërshtuar bie në kundërshtim me nenin 135, pika 2, të Kushtetutës, i cili ka përcaktuar kompetencën lëndore të gjykatave të posaçme për veprën penale të korrupsionit, ndaj për t’i dhënë përgjigje këtij pretendimi, Gjykata vlerëson të ndalet në analizën e nenit 135, pikat 1 dhe 2, të Kushtetutës, sipas të cilave: </w:t>
      </w:r>
      <w:r w:rsidR="00801C06" w:rsidRPr="000473F9">
        <w:rPr>
          <w:rFonts w:ascii="Times New Roman" w:hAnsi="Times New Roman"/>
          <w:i/>
          <w:sz w:val="24"/>
          <w:szCs w:val="24"/>
          <w:lang w:val="sq-AL"/>
        </w:rPr>
        <w:t>“1. Pushteti gjyqësor ushtrohet nga Gjykata e Lartë, si dhe nga gjykatat e apelit e gjykatat e shkallës së parë, të cilat krijohen me ligj. 2. Gjykatat e posaçme gjykojnë veprat penale të korrupsionit dhe të krimit të organizuar, si dhe akuzat penale kundër Presidentit të Republikës, Kryetarit të Kuvendit, Kryeministrit, anëtarit të Këshillit të Ministrave, gjyqtarit të Gjykatës Kushtetuese dhe të Gjykatës së Lartë, Prokurorit të Përgjithshëm, Inspektorit të Lartë të Drejtësisë, Kryetarit të Bashkisë, deputetit, zëvendësministrit, anëtarit të Këshillit të Lartë Gjyqësor dhe të Këshillit të Lartë të Prokurorisë, dhe drejtuesve të institucioneve qendrore ose të pavarura të përcaktuara në Kushtetutë ose në ligj, si dhe akuzat kundër ish-funksionarëve të sipërpërmendur.”</w:t>
      </w:r>
      <w:r w:rsidR="00801C06" w:rsidRPr="000473F9">
        <w:rPr>
          <w:rFonts w:ascii="Times New Roman" w:hAnsi="Times New Roman"/>
          <w:sz w:val="24"/>
          <w:szCs w:val="24"/>
          <w:lang w:val="sq-AL"/>
        </w:rPr>
        <w:t>.</w:t>
      </w:r>
    </w:p>
    <w:p w:rsidR="00801C06" w:rsidRPr="000473F9" w:rsidRDefault="00801C06" w:rsidP="00582277">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eastAsia="Times New Roman" w:hAnsi="Times New Roman"/>
          <w:sz w:val="24"/>
          <w:szCs w:val="24"/>
          <w:lang w:val="sq-AL"/>
        </w:rPr>
        <w:t xml:space="preserve">Gjykata vëren se sipas nenit 135, pika 1, të Kushtetutës, pushteti gjyqësor ushtrohet nga Gjykata e Lartë, gjykatat e apelit dhe gjykatat e shkallës së parë. Në aspektin kushtetues, administrimi i drejtësisë është funksion i gjykatave, çka përcakton vendin e kësaj dege të pushtetit në sistemin e institucioneve të pushtetit shtetëror dhe statusin e gjyqtarëve. </w:t>
      </w:r>
      <w:r w:rsidRPr="000473F9">
        <w:rPr>
          <w:rFonts w:ascii="Times New Roman" w:eastAsia="Times New Roman" w:hAnsi="Times New Roman"/>
          <w:sz w:val="24"/>
          <w:szCs w:val="24"/>
          <w:lang w:val="sq-AL"/>
        </w:rPr>
        <w:lastRenderedPageBreak/>
        <w:t xml:space="preserve">Administrimi i drejtësisë nga gjykata, që ka në themel të drejtën e personit për një arbitër të pavarur dhe të paanshëm, nënkupton shqyrtimin e një çështjeje që është përgatitur më parë dhe dhënien e një vendimi përfundimtar </w:t>
      </w:r>
      <w:r w:rsidR="00DA484F" w:rsidRPr="000473F9">
        <w:rPr>
          <w:rFonts w:ascii="Times New Roman" w:eastAsia="Times New Roman" w:hAnsi="Times New Roman"/>
          <w:sz w:val="24"/>
          <w:szCs w:val="24"/>
          <w:lang w:val="sq-AL"/>
        </w:rPr>
        <w:t>për</w:t>
      </w:r>
      <w:r w:rsidRPr="000473F9">
        <w:rPr>
          <w:rFonts w:ascii="Times New Roman" w:eastAsia="Times New Roman" w:hAnsi="Times New Roman"/>
          <w:sz w:val="24"/>
          <w:szCs w:val="24"/>
          <w:lang w:val="sq-AL"/>
        </w:rPr>
        <w:t xml:space="preserve"> të </w:t>
      </w:r>
      <w:r w:rsidRPr="000473F9">
        <w:rPr>
          <w:rFonts w:ascii="Times New Roman" w:eastAsia="Times New Roman" w:hAnsi="Times New Roman"/>
          <w:i/>
          <w:iCs/>
          <w:sz w:val="24"/>
          <w:szCs w:val="24"/>
          <w:lang w:val="sq-AL"/>
        </w:rPr>
        <w:t>(</w:t>
      </w:r>
      <w:r w:rsidRPr="000473F9">
        <w:rPr>
          <w:rFonts w:ascii="Times New Roman" w:eastAsia="Times New Roman" w:hAnsi="Times New Roman"/>
          <w:i/>
          <w:sz w:val="24"/>
          <w:szCs w:val="24"/>
          <w:lang w:val="sq-AL"/>
        </w:rPr>
        <w:t>shih vendimet nr. 27, datë 09.05.2012; nr.14, datë 21.07.2008; nr.</w:t>
      </w:r>
      <w:r w:rsidR="00C23A26" w:rsidRPr="000473F9">
        <w:rPr>
          <w:rFonts w:ascii="Times New Roman" w:eastAsia="Times New Roman" w:hAnsi="Times New Roman"/>
          <w:i/>
          <w:sz w:val="24"/>
          <w:szCs w:val="24"/>
          <w:lang w:val="sq-AL"/>
        </w:rPr>
        <w:t xml:space="preserve"> </w:t>
      </w:r>
      <w:r w:rsidRPr="000473F9">
        <w:rPr>
          <w:rFonts w:ascii="Times New Roman" w:eastAsia="Times New Roman" w:hAnsi="Times New Roman"/>
          <w:i/>
          <w:sz w:val="24"/>
          <w:szCs w:val="24"/>
          <w:lang w:val="sq-AL"/>
        </w:rPr>
        <w:t>10, datë 02.04.2009 të Gjykatës Kushtetuese)</w:t>
      </w:r>
      <w:r w:rsidRPr="000473F9">
        <w:rPr>
          <w:rFonts w:ascii="Times New Roman" w:eastAsia="Times New Roman" w:hAnsi="Times New Roman"/>
          <w:sz w:val="24"/>
          <w:szCs w:val="24"/>
          <w:lang w:val="sq-AL"/>
        </w:rPr>
        <w:t>.</w:t>
      </w:r>
    </w:p>
    <w:p w:rsidR="00801C06" w:rsidRPr="000473F9" w:rsidRDefault="00801C06" w:rsidP="00582277">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eastAsia="Times New Roman" w:hAnsi="Times New Roman"/>
          <w:sz w:val="24"/>
          <w:szCs w:val="24"/>
          <w:lang w:val="sq-AL"/>
        </w:rPr>
        <w:t xml:space="preserve">Në këtë kuptim, pika 1 e nenit 135 të Kushtetutës </w:t>
      </w:r>
      <w:r w:rsidRPr="000473F9">
        <w:rPr>
          <w:rFonts w:ascii="Times New Roman" w:hAnsi="Times New Roman"/>
          <w:sz w:val="24"/>
          <w:szCs w:val="24"/>
          <w:lang w:val="sq-AL"/>
        </w:rPr>
        <w:t>përmban rregullin e përgjithshëm që përcakton funksionin kryesor të pushtetit gjyqësor, por edhe delegimin e përgjithshëm për krijimin me ligj të gjykatave, duke i njohur të drejtën ligjvënësit të rregullojë, përveç çështjeve të organizimit dhe funksionimit të tyre, edhe ato që kanë të bëjnë me kompetencën lëndore dhe atë tokësore. Pra</w:t>
      </w:r>
      <w:r w:rsidR="00DA484F" w:rsidRPr="000473F9">
        <w:rPr>
          <w:rFonts w:ascii="Times New Roman" w:hAnsi="Times New Roman"/>
          <w:sz w:val="24"/>
          <w:szCs w:val="24"/>
          <w:lang w:val="sq-AL"/>
        </w:rPr>
        <w:t>,</w:t>
      </w:r>
      <w:r w:rsidRPr="000473F9">
        <w:rPr>
          <w:rFonts w:ascii="Times New Roman" w:hAnsi="Times New Roman"/>
          <w:sz w:val="24"/>
          <w:szCs w:val="24"/>
          <w:lang w:val="sq-AL"/>
        </w:rPr>
        <w:t xml:space="preserve"> rregullimi i përgjithshëm i kësaj pike është që pushteti i dhënies së drejtësisë ushtrohet vetëm nga gjykata dhe se krijimi i tyre, pavarësisht natyrës që kanë, bëhet me ligj, me ndalimin e krijimit të gjykatave të jashtëzakonshme (</w:t>
      </w:r>
      <w:r w:rsidRPr="000473F9">
        <w:rPr>
          <w:rFonts w:ascii="Times New Roman" w:hAnsi="Times New Roman"/>
          <w:i/>
          <w:sz w:val="24"/>
          <w:szCs w:val="24"/>
          <w:lang w:val="sq-AL"/>
        </w:rPr>
        <w:t>pika 3 e nenit 135 të Kushtetutës</w:t>
      </w:r>
      <w:r w:rsidRPr="000473F9">
        <w:rPr>
          <w:rFonts w:ascii="Times New Roman" w:hAnsi="Times New Roman"/>
          <w:sz w:val="24"/>
          <w:szCs w:val="24"/>
          <w:lang w:val="sq-AL"/>
        </w:rPr>
        <w:t>).</w:t>
      </w:r>
    </w:p>
    <w:p w:rsidR="00F5531B" w:rsidRPr="000473F9" w:rsidRDefault="00801C06" w:rsidP="00F22E64">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Gjykata vëren se me ndryshimet kushtetuese të vitit 201</w:t>
      </w:r>
      <w:r w:rsidR="00523F8B" w:rsidRPr="000473F9">
        <w:rPr>
          <w:rFonts w:ascii="Times New Roman" w:hAnsi="Times New Roman"/>
          <w:sz w:val="24"/>
          <w:szCs w:val="24"/>
          <w:lang w:val="sq-AL"/>
        </w:rPr>
        <w:t xml:space="preserve">6, </w:t>
      </w:r>
      <w:r w:rsidR="00183871" w:rsidRPr="000473F9">
        <w:rPr>
          <w:rFonts w:ascii="Times New Roman" w:hAnsi="Times New Roman"/>
          <w:sz w:val="24"/>
          <w:szCs w:val="24"/>
          <w:lang w:val="sq-AL"/>
        </w:rPr>
        <w:t>k</w:t>
      </w:r>
      <w:r w:rsidR="00A95839" w:rsidRPr="000473F9">
        <w:rPr>
          <w:rFonts w:ascii="Times New Roman" w:hAnsi="Times New Roman"/>
          <w:sz w:val="24"/>
          <w:szCs w:val="24"/>
          <w:lang w:val="sq-AL"/>
        </w:rPr>
        <w:t xml:space="preserve">ushtetutëbërësi ka </w:t>
      </w:r>
      <w:r w:rsidR="0069772D" w:rsidRPr="000473F9">
        <w:rPr>
          <w:rFonts w:ascii="Times New Roman" w:hAnsi="Times New Roman"/>
          <w:sz w:val="24"/>
          <w:szCs w:val="24"/>
          <w:lang w:val="sq-AL"/>
        </w:rPr>
        <w:t xml:space="preserve">rishikuar </w:t>
      </w:r>
      <w:r w:rsidRPr="000473F9">
        <w:rPr>
          <w:rFonts w:ascii="Times New Roman" w:hAnsi="Times New Roman"/>
          <w:sz w:val="24"/>
          <w:szCs w:val="24"/>
          <w:lang w:val="sq-AL"/>
        </w:rPr>
        <w:t xml:space="preserve">përmbajtjen e nenit 135 të Kushtetutës, me qëllim </w:t>
      </w:r>
      <w:r w:rsidR="000107E2" w:rsidRPr="000473F9">
        <w:rPr>
          <w:rFonts w:ascii="Times New Roman" w:hAnsi="Times New Roman"/>
          <w:sz w:val="24"/>
          <w:szCs w:val="24"/>
          <w:lang w:val="sq-AL"/>
        </w:rPr>
        <w:t>parashikimin</w:t>
      </w:r>
      <w:r w:rsidR="0069772D" w:rsidRPr="000473F9">
        <w:rPr>
          <w:rFonts w:ascii="Times New Roman" w:hAnsi="Times New Roman"/>
          <w:sz w:val="24"/>
          <w:szCs w:val="24"/>
          <w:lang w:val="sq-AL"/>
        </w:rPr>
        <w:t xml:space="preserve"> </w:t>
      </w:r>
      <w:r w:rsidR="000107E2" w:rsidRPr="000473F9">
        <w:rPr>
          <w:rFonts w:ascii="Times New Roman" w:hAnsi="Times New Roman"/>
          <w:sz w:val="24"/>
          <w:szCs w:val="24"/>
          <w:lang w:val="sq-AL"/>
        </w:rPr>
        <w:t>e</w:t>
      </w:r>
      <w:r w:rsidR="0069772D" w:rsidRPr="000473F9">
        <w:rPr>
          <w:rFonts w:ascii="Times New Roman" w:hAnsi="Times New Roman"/>
          <w:sz w:val="24"/>
          <w:szCs w:val="24"/>
          <w:lang w:val="sq-AL"/>
        </w:rPr>
        <w:t xml:space="preserve"> </w:t>
      </w:r>
      <w:r w:rsidRPr="000473F9">
        <w:rPr>
          <w:rFonts w:ascii="Times New Roman" w:hAnsi="Times New Roman"/>
          <w:sz w:val="24"/>
          <w:szCs w:val="24"/>
          <w:lang w:val="sq-AL"/>
        </w:rPr>
        <w:t>rregullave bazë që bëjnë të mundur rikonceptimin e një sistemi gjyqësor efikas, profesional dhe të përgjegjshëm në një shtet të së drejtës. Duke shtuar në këtë nen pikat 2 dhe 4</w:t>
      </w:r>
      <w:r w:rsidR="000107E2" w:rsidRPr="000473F9">
        <w:rPr>
          <w:rFonts w:ascii="Times New Roman" w:hAnsi="Times New Roman"/>
          <w:sz w:val="24"/>
          <w:szCs w:val="24"/>
          <w:lang w:val="sq-AL"/>
        </w:rPr>
        <w:t>,</w:t>
      </w:r>
      <w:r w:rsidRPr="000473F9">
        <w:rPr>
          <w:rFonts w:ascii="Times New Roman" w:hAnsi="Times New Roman"/>
          <w:sz w:val="24"/>
          <w:szCs w:val="24"/>
          <w:lang w:val="sq-AL"/>
        </w:rPr>
        <w:t xml:space="preserve"> që përmbajnë rregullime për gjykatat e posaçme, është synuar të parashikohet në nivel kushtetues dhe për herë të parë ngritja e një gjykate të re me juridiksion lëndor të posaçëm në fushën penale, e cila ka kompetencën të gjykojë disa kategori veprash penale brenda juridiksionit të përgjithshëm penal, konkretisht ato të korrupsionit dhe të krimit të organizuar, si edhe akuzat penale kundër një kategorie funksionarësh të lartë</w:t>
      </w:r>
      <w:r w:rsidR="00F5531B" w:rsidRPr="000473F9">
        <w:rPr>
          <w:rFonts w:ascii="Times New Roman" w:hAnsi="Times New Roman"/>
          <w:sz w:val="24"/>
          <w:szCs w:val="24"/>
          <w:lang w:val="sq-AL"/>
        </w:rPr>
        <w:t>.</w:t>
      </w:r>
    </w:p>
    <w:p w:rsidR="00801C06" w:rsidRPr="000473F9" w:rsidRDefault="00801C06" w:rsidP="00F22E64">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Gjykata referuese pretendon, në thelb, se pika 2 e nenit 135, mbi të cilën ajo mbështet kërkesën e saj, është shteruese, duke përcaktuar drejtpërdrejt kompetencën lëndore të gjykatave të posaçme në lidhje me çdo vepër penale të korrupsionit, dhe nuk parashikon delegimin e posaçëm për rregullimin e kësaj çështjeje me ligj.</w:t>
      </w:r>
    </w:p>
    <w:p w:rsidR="00801C06" w:rsidRPr="000473F9" w:rsidRDefault="00801C06" w:rsidP="00F22E64">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Në ndryshim nga sa parashtrohet nga gjykata referuese, Gjykata vlerëson se ndërsa kjo dispozitë kushtetuese përcakton juridiksionin e gjykatave të posaçme, brenda juridiksionit të përgjithshëm penal, vetëm për disa kategori veprash penale, ajo jo vetëm nuk përmban një ndalim të shprehur, po</w:t>
      </w:r>
      <w:r w:rsidR="000107E2" w:rsidRPr="000473F9">
        <w:rPr>
          <w:rFonts w:ascii="Times New Roman" w:hAnsi="Times New Roman"/>
          <w:sz w:val="24"/>
          <w:szCs w:val="24"/>
          <w:lang w:val="sq-AL"/>
        </w:rPr>
        <w:t>r</w:t>
      </w:r>
      <w:r w:rsidRPr="000473F9">
        <w:rPr>
          <w:rFonts w:ascii="Times New Roman" w:hAnsi="Times New Roman"/>
          <w:sz w:val="24"/>
          <w:szCs w:val="24"/>
          <w:lang w:val="sq-AL"/>
        </w:rPr>
        <w:t xml:space="preserve"> as nuk mund të interpretohet se ky juridiksion përjashton kompetencën e gjykatave të zakonshme për gjykimin e veprave penale që lidhen me korrupsionin.</w:t>
      </w:r>
    </w:p>
    <w:p w:rsidR="006F4502" w:rsidRPr="000473F9" w:rsidRDefault="00F46D57" w:rsidP="006F4502">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N</w:t>
      </w:r>
      <w:r w:rsidR="000200F3" w:rsidRPr="000473F9">
        <w:rPr>
          <w:rFonts w:ascii="Times New Roman" w:hAnsi="Times New Roman"/>
          <w:sz w:val="24"/>
          <w:szCs w:val="24"/>
          <w:lang w:val="sq-AL"/>
        </w:rPr>
        <w:t xml:space="preserve">ë lidhje me gjykatat e posaçme, </w:t>
      </w:r>
      <w:r w:rsidR="006F4502" w:rsidRPr="000473F9">
        <w:rPr>
          <w:rFonts w:ascii="Times New Roman" w:hAnsi="Times New Roman"/>
          <w:sz w:val="24"/>
          <w:szCs w:val="24"/>
          <w:lang w:val="sq-AL"/>
        </w:rPr>
        <w:t>kategoria e veprave penale të parashikuara nga norma kushtetuese duhet të interpretohet në përputhje me qëllimin për të cilin janë ngritur strukturat e posaç</w:t>
      </w:r>
      <w:r w:rsidR="00E8251C" w:rsidRPr="000473F9">
        <w:rPr>
          <w:rFonts w:ascii="Times New Roman" w:hAnsi="Times New Roman"/>
          <w:sz w:val="24"/>
          <w:szCs w:val="24"/>
          <w:lang w:val="sq-AL"/>
        </w:rPr>
        <w:t>me</w:t>
      </w:r>
      <w:r w:rsidR="006F4502" w:rsidRPr="000473F9">
        <w:rPr>
          <w:rFonts w:ascii="Times New Roman" w:hAnsi="Times New Roman"/>
          <w:sz w:val="24"/>
          <w:szCs w:val="24"/>
          <w:lang w:val="sq-AL"/>
        </w:rPr>
        <w:t xml:space="preserve"> që kanë të bëjnë me luftën kundër korrupsionit dhe krimit të organizuar, për shkak të rëndësisë së marrëdhënieve të posaçme juridike që cenohen nga këto vepra. Në këtë kuptim, përdorimi i lidhëzës “dhe” në përmbajtjen e pikës 2 të nenit 135 nuk është i paqëllimtë. Gjykata vlerëson se qëllimi i normës kushtetuese ka qenë të kategorizojë brenda </w:t>
      </w:r>
      <w:r w:rsidR="006F4502" w:rsidRPr="000473F9">
        <w:rPr>
          <w:rFonts w:ascii="Times New Roman" w:hAnsi="Times New Roman"/>
          <w:sz w:val="24"/>
          <w:szCs w:val="24"/>
          <w:lang w:val="sq-AL"/>
        </w:rPr>
        <w:lastRenderedPageBreak/>
        <w:t xml:space="preserve">juridiksionit penal të posaçëm ato vepra penale të të njëjtit nivel për nga rëndësia dhe natyra e tyre. </w:t>
      </w:r>
    </w:p>
    <w:p w:rsidR="00886576" w:rsidRPr="000473F9" w:rsidRDefault="00DA503C" w:rsidP="00F22E64">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Gjykata </w:t>
      </w:r>
      <w:r w:rsidR="00B17D6B" w:rsidRPr="000473F9">
        <w:rPr>
          <w:rFonts w:ascii="Times New Roman" w:hAnsi="Times New Roman"/>
          <w:sz w:val="24"/>
          <w:szCs w:val="24"/>
          <w:lang w:val="sq-AL"/>
        </w:rPr>
        <w:t>vëren</w:t>
      </w:r>
      <w:r w:rsidRPr="000473F9">
        <w:rPr>
          <w:rFonts w:ascii="Times New Roman" w:hAnsi="Times New Roman"/>
          <w:sz w:val="24"/>
          <w:szCs w:val="24"/>
          <w:lang w:val="sq-AL"/>
        </w:rPr>
        <w:t xml:space="preserve"> se vepra penale e </w:t>
      </w:r>
      <w:r w:rsidR="0056334E" w:rsidRPr="000473F9">
        <w:rPr>
          <w:rFonts w:ascii="Times New Roman" w:hAnsi="Times New Roman"/>
          <w:sz w:val="24"/>
          <w:szCs w:val="24"/>
          <w:lang w:val="sq-AL"/>
        </w:rPr>
        <w:t>krimit të organizuar</w:t>
      </w:r>
      <w:r w:rsidR="00E8251C" w:rsidRPr="000473F9">
        <w:rPr>
          <w:rFonts w:ascii="Times New Roman" w:hAnsi="Times New Roman"/>
          <w:sz w:val="24"/>
          <w:szCs w:val="24"/>
          <w:lang w:val="sq-AL"/>
        </w:rPr>
        <w:t>,</w:t>
      </w:r>
      <w:r w:rsidR="0056334E" w:rsidRPr="000473F9">
        <w:rPr>
          <w:rFonts w:ascii="Times New Roman" w:hAnsi="Times New Roman"/>
          <w:sz w:val="24"/>
          <w:szCs w:val="24"/>
          <w:lang w:val="sq-AL"/>
        </w:rPr>
        <w:t xml:space="preserve"> për shkak të rëndësisë që ka</w:t>
      </w:r>
      <w:r w:rsidR="003E15F7" w:rsidRPr="000473F9">
        <w:rPr>
          <w:rFonts w:ascii="Times New Roman" w:hAnsi="Times New Roman"/>
          <w:sz w:val="24"/>
          <w:szCs w:val="24"/>
          <w:lang w:val="sq-AL"/>
        </w:rPr>
        <w:t xml:space="preserve"> për shtetin e së drejtës,</w:t>
      </w:r>
      <w:r w:rsidR="0056334E" w:rsidRPr="000473F9">
        <w:rPr>
          <w:rFonts w:ascii="Times New Roman" w:hAnsi="Times New Roman"/>
          <w:sz w:val="24"/>
          <w:szCs w:val="24"/>
          <w:lang w:val="sq-AL"/>
        </w:rPr>
        <w:t xml:space="preserve"> </w:t>
      </w:r>
      <w:r w:rsidR="002317A0" w:rsidRPr="000473F9">
        <w:rPr>
          <w:rFonts w:ascii="Times New Roman" w:hAnsi="Times New Roman"/>
          <w:sz w:val="24"/>
          <w:szCs w:val="24"/>
          <w:lang w:val="sq-AL"/>
        </w:rPr>
        <w:t>ka gjetur vend në një sërë dokumentesh ndërkombëtare, të tilla si: Konventa e Kombeve të Bashkuara kundër Krimit të Organizuar Ndërkombët</w:t>
      </w:r>
      <w:r w:rsidR="00EA6DC9" w:rsidRPr="000473F9">
        <w:rPr>
          <w:rFonts w:ascii="Times New Roman" w:hAnsi="Times New Roman"/>
          <w:sz w:val="24"/>
          <w:szCs w:val="24"/>
          <w:lang w:val="sq-AL"/>
        </w:rPr>
        <w:t>ar dhe protokollet e saj shtesë</w:t>
      </w:r>
      <w:r w:rsidR="002317A0" w:rsidRPr="000473F9">
        <w:rPr>
          <w:rFonts w:ascii="Times New Roman" w:hAnsi="Times New Roman"/>
          <w:sz w:val="24"/>
          <w:szCs w:val="24"/>
          <w:lang w:val="sq-AL"/>
        </w:rPr>
        <w:t xml:space="preserve">; Konventa e Këshillit të Evropës për Pastrimin, Kërkimin, Kapjen dhe Konfiskimin e Produkteve të Krimit dhe për Financimin e Terrorizmit; Konventa Evropiane </w:t>
      </w:r>
      <w:r w:rsidR="00B31392" w:rsidRPr="000473F9">
        <w:rPr>
          <w:rFonts w:ascii="Times New Roman" w:hAnsi="Times New Roman"/>
          <w:sz w:val="24"/>
          <w:szCs w:val="24"/>
          <w:lang w:val="sq-AL"/>
        </w:rPr>
        <w:t>p</w:t>
      </w:r>
      <w:r w:rsidR="002317A0" w:rsidRPr="000473F9">
        <w:rPr>
          <w:rFonts w:ascii="Times New Roman" w:hAnsi="Times New Roman"/>
          <w:sz w:val="24"/>
          <w:szCs w:val="24"/>
          <w:lang w:val="sq-AL"/>
        </w:rPr>
        <w:t xml:space="preserve">ër Pastrimin, Depistimin, Kapjen dhe Konfiskimin e Produkteve të Krimit, e shumë instrumente të tjera të ratifikuara </w:t>
      </w:r>
      <w:r w:rsidR="00941A44" w:rsidRPr="000473F9">
        <w:rPr>
          <w:rFonts w:ascii="Times New Roman" w:hAnsi="Times New Roman"/>
          <w:sz w:val="24"/>
          <w:szCs w:val="24"/>
          <w:lang w:val="sq-AL"/>
        </w:rPr>
        <w:t xml:space="preserve">edhe </w:t>
      </w:r>
      <w:r w:rsidR="002317A0" w:rsidRPr="000473F9">
        <w:rPr>
          <w:rFonts w:ascii="Times New Roman" w:hAnsi="Times New Roman"/>
          <w:sz w:val="24"/>
          <w:szCs w:val="24"/>
          <w:lang w:val="sq-AL"/>
        </w:rPr>
        <w:t>nga shteti shqiptar.</w:t>
      </w:r>
      <w:r w:rsidR="0056334E" w:rsidRPr="000473F9">
        <w:rPr>
          <w:rFonts w:ascii="Times New Roman" w:hAnsi="Times New Roman"/>
          <w:sz w:val="24"/>
          <w:szCs w:val="24"/>
          <w:lang w:val="sq-AL"/>
        </w:rPr>
        <w:t xml:space="preserve"> Po ashtu</w:t>
      </w:r>
      <w:r w:rsidR="003E15F7" w:rsidRPr="000473F9">
        <w:rPr>
          <w:rFonts w:ascii="Times New Roman" w:hAnsi="Times New Roman"/>
          <w:sz w:val="24"/>
          <w:szCs w:val="24"/>
          <w:lang w:val="sq-AL"/>
        </w:rPr>
        <w:t>,</w:t>
      </w:r>
      <w:r w:rsidR="00941A44" w:rsidRPr="000473F9">
        <w:rPr>
          <w:rFonts w:ascii="Times New Roman" w:hAnsi="Times New Roman"/>
          <w:sz w:val="24"/>
          <w:szCs w:val="24"/>
          <w:lang w:val="sq-AL"/>
        </w:rPr>
        <w:t xml:space="preserve"> </w:t>
      </w:r>
      <w:r w:rsidR="0056334E" w:rsidRPr="000473F9">
        <w:rPr>
          <w:rFonts w:ascii="Times New Roman" w:hAnsi="Times New Roman"/>
          <w:sz w:val="24"/>
          <w:szCs w:val="24"/>
          <w:lang w:val="sq-AL"/>
        </w:rPr>
        <w:t xml:space="preserve">lidhur me </w:t>
      </w:r>
      <w:r w:rsidR="0065412F" w:rsidRPr="000473F9">
        <w:rPr>
          <w:rFonts w:ascii="Times New Roman" w:hAnsi="Times New Roman"/>
          <w:sz w:val="24"/>
          <w:szCs w:val="24"/>
          <w:lang w:val="sq-AL"/>
        </w:rPr>
        <w:t>korrupsionin</w:t>
      </w:r>
      <w:r w:rsidR="0056334E" w:rsidRPr="000473F9">
        <w:rPr>
          <w:rFonts w:ascii="Times New Roman" w:hAnsi="Times New Roman"/>
          <w:sz w:val="24"/>
          <w:szCs w:val="24"/>
          <w:lang w:val="sq-AL"/>
        </w:rPr>
        <w:t xml:space="preserve">, ka një sërë aktesh </w:t>
      </w:r>
      <w:r w:rsidR="003D49DD" w:rsidRPr="000473F9">
        <w:rPr>
          <w:rFonts w:ascii="Times New Roman" w:hAnsi="Times New Roman"/>
          <w:sz w:val="24"/>
          <w:szCs w:val="24"/>
          <w:lang w:val="sq-AL"/>
        </w:rPr>
        <w:t>ndërkombëtare</w:t>
      </w:r>
      <w:r w:rsidR="0056334E" w:rsidRPr="000473F9">
        <w:rPr>
          <w:rFonts w:ascii="Times New Roman" w:hAnsi="Times New Roman"/>
          <w:sz w:val="24"/>
          <w:szCs w:val="24"/>
          <w:lang w:val="sq-AL"/>
        </w:rPr>
        <w:t xml:space="preserve">, </w:t>
      </w:r>
      <w:r w:rsidR="003D49DD" w:rsidRPr="000473F9">
        <w:rPr>
          <w:rFonts w:ascii="Times New Roman" w:hAnsi="Times New Roman"/>
          <w:sz w:val="24"/>
          <w:szCs w:val="24"/>
          <w:lang w:val="sq-AL"/>
        </w:rPr>
        <w:t xml:space="preserve"> ku Shqipëria është e anëtarësuar, të tilla si: Konventa e Kombeve të Bashkuara kundër Korrupsionit, e ratifikuar me ligjin nr. 9492, datë 13.03.2006, Konventa Penale e Këshillit të Evropës për Korrupsionin, e ratifikuar me ligjin nr. 8778, datë 26.04.2001, të ndryshuar, si dhe </w:t>
      </w:r>
      <w:r w:rsidR="00B31392" w:rsidRPr="000473F9">
        <w:rPr>
          <w:rFonts w:ascii="Times New Roman" w:hAnsi="Times New Roman"/>
          <w:sz w:val="24"/>
          <w:szCs w:val="24"/>
          <w:lang w:val="sq-AL"/>
        </w:rPr>
        <w:t>p</w:t>
      </w:r>
      <w:r w:rsidR="003D49DD" w:rsidRPr="000473F9">
        <w:rPr>
          <w:rFonts w:ascii="Times New Roman" w:hAnsi="Times New Roman"/>
          <w:sz w:val="24"/>
          <w:szCs w:val="24"/>
          <w:lang w:val="sq-AL"/>
        </w:rPr>
        <w:t>rotokolli shtesë i saj, i ratifikuar me ligjin nr. 9245, datë</w:t>
      </w:r>
      <w:r w:rsidR="0065412F" w:rsidRPr="000473F9">
        <w:rPr>
          <w:rFonts w:ascii="Times New Roman" w:hAnsi="Times New Roman"/>
          <w:sz w:val="24"/>
          <w:szCs w:val="24"/>
          <w:lang w:val="sq-AL"/>
        </w:rPr>
        <w:t xml:space="preserve"> 24.06.2004</w:t>
      </w:r>
      <w:r w:rsidR="003D49DD" w:rsidRPr="000473F9">
        <w:rPr>
          <w:rFonts w:ascii="Times New Roman" w:hAnsi="Times New Roman"/>
          <w:sz w:val="24"/>
          <w:szCs w:val="24"/>
          <w:lang w:val="sq-AL"/>
        </w:rPr>
        <w:t>.</w:t>
      </w:r>
    </w:p>
    <w:p w:rsidR="00F324F5" w:rsidRPr="000473F9" w:rsidRDefault="003F2683" w:rsidP="0057663D">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Sipas këty</w:t>
      </w:r>
      <w:r w:rsidR="00C94683" w:rsidRPr="000473F9">
        <w:rPr>
          <w:rFonts w:ascii="Times New Roman" w:hAnsi="Times New Roman"/>
          <w:sz w:val="24"/>
          <w:szCs w:val="24"/>
          <w:lang w:val="sq-AL"/>
        </w:rPr>
        <w:t>re akteve ndërkombëtare, shpesh</w:t>
      </w:r>
      <w:r w:rsidRPr="000473F9">
        <w:rPr>
          <w:rFonts w:ascii="Times New Roman" w:hAnsi="Times New Roman"/>
          <w:sz w:val="24"/>
          <w:szCs w:val="24"/>
          <w:lang w:val="sq-AL"/>
        </w:rPr>
        <w:t>herë krimi i organizuar dhe k</w:t>
      </w:r>
      <w:r w:rsidR="00804D82" w:rsidRPr="000473F9">
        <w:rPr>
          <w:rFonts w:ascii="Times New Roman" w:hAnsi="Times New Roman"/>
          <w:sz w:val="24"/>
          <w:szCs w:val="24"/>
          <w:lang w:val="sq-AL"/>
        </w:rPr>
        <w:t>orrupsioni shihen të ndërlidhur</w:t>
      </w:r>
      <w:r w:rsidRPr="000473F9">
        <w:rPr>
          <w:rFonts w:ascii="Times New Roman" w:hAnsi="Times New Roman"/>
          <w:sz w:val="24"/>
          <w:szCs w:val="24"/>
          <w:lang w:val="sq-AL"/>
        </w:rPr>
        <w:t xml:space="preserve"> me njër</w:t>
      </w:r>
      <w:r w:rsidR="00804D82" w:rsidRPr="000473F9">
        <w:rPr>
          <w:rFonts w:ascii="Times New Roman" w:hAnsi="Times New Roman"/>
          <w:sz w:val="24"/>
          <w:szCs w:val="24"/>
          <w:lang w:val="sq-AL"/>
        </w:rPr>
        <w:t>i-</w:t>
      </w:r>
      <w:r w:rsidRPr="000473F9">
        <w:rPr>
          <w:rFonts w:ascii="Times New Roman" w:hAnsi="Times New Roman"/>
          <w:sz w:val="24"/>
          <w:szCs w:val="24"/>
          <w:lang w:val="sq-AL"/>
        </w:rPr>
        <w:t>tjetr</w:t>
      </w:r>
      <w:r w:rsidR="00804D82" w:rsidRPr="000473F9">
        <w:rPr>
          <w:rFonts w:ascii="Times New Roman" w:hAnsi="Times New Roman"/>
          <w:sz w:val="24"/>
          <w:szCs w:val="24"/>
          <w:lang w:val="sq-AL"/>
        </w:rPr>
        <w:t>in</w:t>
      </w:r>
      <w:r w:rsidRPr="000473F9">
        <w:rPr>
          <w:rFonts w:ascii="Times New Roman" w:hAnsi="Times New Roman"/>
          <w:sz w:val="24"/>
          <w:szCs w:val="24"/>
          <w:lang w:val="sq-AL"/>
        </w:rPr>
        <w:t>, sikurse rezulton dhe nga vetë Konventa e Kombeve të Bashkuara kundër Krimit të Organizuar Ndërkombëtar. Gjykata çmon se krimi i organizuar nënkupton çdo fo</w:t>
      </w:r>
      <w:r w:rsidR="00352968" w:rsidRPr="000473F9">
        <w:rPr>
          <w:rFonts w:ascii="Times New Roman" w:hAnsi="Times New Roman"/>
          <w:sz w:val="24"/>
          <w:szCs w:val="24"/>
          <w:lang w:val="sq-AL"/>
        </w:rPr>
        <w:t>rmë organizimi mes personave që</w:t>
      </w:r>
      <w:r w:rsidRPr="000473F9">
        <w:rPr>
          <w:rFonts w:ascii="Times New Roman" w:hAnsi="Times New Roman"/>
          <w:sz w:val="24"/>
          <w:szCs w:val="24"/>
          <w:lang w:val="sq-AL"/>
        </w:rPr>
        <w:t xml:space="preserve"> duke u karakterizuar nga qëndrueshmëria kohore dh</w:t>
      </w:r>
      <w:r w:rsidR="00CD23EE" w:rsidRPr="000473F9">
        <w:rPr>
          <w:rFonts w:ascii="Times New Roman" w:hAnsi="Times New Roman"/>
          <w:sz w:val="24"/>
          <w:szCs w:val="24"/>
          <w:lang w:val="sq-AL"/>
        </w:rPr>
        <w:t>e bashkëpunimi me njëri-tjetrin</w:t>
      </w:r>
      <w:r w:rsidRPr="000473F9">
        <w:rPr>
          <w:rFonts w:ascii="Times New Roman" w:hAnsi="Times New Roman"/>
          <w:sz w:val="24"/>
          <w:szCs w:val="24"/>
          <w:lang w:val="sq-AL"/>
        </w:rPr>
        <w:t xml:space="preserve"> ka</w:t>
      </w:r>
      <w:r w:rsidR="00CD23EE" w:rsidRPr="000473F9">
        <w:rPr>
          <w:rFonts w:ascii="Times New Roman" w:hAnsi="Times New Roman"/>
          <w:sz w:val="24"/>
          <w:szCs w:val="24"/>
          <w:lang w:val="sq-AL"/>
        </w:rPr>
        <w:t>në</w:t>
      </w:r>
      <w:r w:rsidRPr="000473F9">
        <w:rPr>
          <w:rFonts w:ascii="Times New Roman" w:hAnsi="Times New Roman"/>
          <w:sz w:val="24"/>
          <w:szCs w:val="24"/>
          <w:lang w:val="sq-AL"/>
        </w:rPr>
        <w:t xml:space="preserve"> si qëllim kryerjen e veprave penale serioze për të siguruar në mënyrë direkte ose indirekte përfitime financiare </w:t>
      </w:r>
      <w:r w:rsidR="00352968" w:rsidRPr="000473F9">
        <w:rPr>
          <w:rFonts w:ascii="Times New Roman" w:hAnsi="Times New Roman"/>
          <w:sz w:val="24"/>
          <w:szCs w:val="24"/>
          <w:lang w:val="sq-AL"/>
        </w:rPr>
        <w:t>apo</w:t>
      </w:r>
      <w:r w:rsidRPr="000473F9">
        <w:rPr>
          <w:rFonts w:ascii="Times New Roman" w:hAnsi="Times New Roman"/>
          <w:sz w:val="24"/>
          <w:szCs w:val="24"/>
          <w:lang w:val="sq-AL"/>
        </w:rPr>
        <w:t xml:space="preserve"> materiale, </w:t>
      </w:r>
      <w:r w:rsidR="00352968" w:rsidRPr="000473F9">
        <w:rPr>
          <w:rFonts w:ascii="Times New Roman" w:hAnsi="Times New Roman"/>
          <w:sz w:val="24"/>
          <w:szCs w:val="24"/>
          <w:lang w:val="sq-AL"/>
        </w:rPr>
        <w:t>ose</w:t>
      </w:r>
      <w:r w:rsidRPr="000473F9">
        <w:rPr>
          <w:rFonts w:ascii="Times New Roman" w:hAnsi="Times New Roman"/>
          <w:sz w:val="24"/>
          <w:szCs w:val="24"/>
          <w:lang w:val="sq-AL"/>
        </w:rPr>
        <w:t xml:space="preserve"> përmbushjen e synimeve të tjera të një veprimtarie të tillë të paligjshme</w:t>
      </w:r>
      <w:r w:rsidR="001667FC" w:rsidRPr="000473F9">
        <w:rPr>
          <w:rFonts w:ascii="Times New Roman" w:hAnsi="Times New Roman"/>
          <w:sz w:val="24"/>
          <w:szCs w:val="24"/>
          <w:lang w:val="sq-AL"/>
        </w:rPr>
        <w:t>.</w:t>
      </w:r>
      <w:r w:rsidR="000C42DC" w:rsidRPr="000473F9">
        <w:rPr>
          <w:rFonts w:ascii="Times New Roman" w:hAnsi="Times New Roman"/>
          <w:sz w:val="24"/>
          <w:szCs w:val="24"/>
          <w:lang w:val="sq-AL"/>
        </w:rPr>
        <w:t xml:space="preserve"> </w:t>
      </w:r>
    </w:p>
    <w:p w:rsidR="00AE53EA" w:rsidRPr="000473F9" w:rsidRDefault="0024437B" w:rsidP="00BD4EC7">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Në </w:t>
      </w:r>
      <w:r w:rsidR="003F2683" w:rsidRPr="000473F9">
        <w:rPr>
          <w:rFonts w:ascii="Times New Roman" w:hAnsi="Times New Roman"/>
          <w:sz w:val="24"/>
          <w:szCs w:val="24"/>
          <w:lang w:val="sq-AL"/>
        </w:rPr>
        <w:t>kuptim</w:t>
      </w:r>
      <w:r w:rsidRPr="000473F9">
        <w:rPr>
          <w:rFonts w:ascii="Times New Roman" w:hAnsi="Times New Roman"/>
          <w:sz w:val="24"/>
          <w:szCs w:val="24"/>
          <w:lang w:val="sq-AL"/>
        </w:rPr>
        <w:t xml:space="preserve"> të analizës së mësipërme, Gjykata vlerëson se në</w:t>
      </w:r>
      <w:r w:rsidR="000D5508" w:rsidRPr="000473F9">
        <w:rPr>
          <w:rFonts w:ascii="Times New Roman" w:hAnsi="Times New Roman"/>
          <w:sz w:val="24"/>
          <w:szCs w:val="24"/>
          <w:lang w:val="sq-AL"/>
        </w:rPr>
        <w:t xml:space="preserve"> kë</w:t>
      </w:r>
      <w:r w:rsidRPr="000473F9">
        <w:rPr>
          <w:rFonts w:ascii="Times New Roman" w:hAnsi="Times New Roman"/>
          <w:sz w:val="24"/>
          <w:szCs w:val="24"/>
          <w:lang w:val="sq-AL"/>
        </w:rPr>
        <w:t>ndvështrim të nenit 135, pika 2</w:t>
      </w:r>
      <w:r w:rsidR="00CD23EE" w:rsidRPr="000473F9">
        <w:rPr>
          <w:rFonts w:ascii="Times New Roman" w:hAnsi="Times New Roman"/>
          <w:sz w:val="24"/>
          <w:szCs w:val="24"/>
          <w:lang w:val="sq-AL"/>
        </w:rPr>
        <w:t>,</w:t>
      </w:r>
      <w:r w:rsidRPr="000473F9">
        <w:rPr>
          <w:rFonts w:ascii="Times New Roman" w:hAnsi="Times New Roman"/>
          <w:sz w:val="24"/>
          <w:szCs w:val="24"/>
          <w:lang w:val="sq-AL"/>
        </w:rPr>
        <w:t xml:space="preserve"> </w:t>
      </w:r>
      <w:r w:rsidR="00352968" w:rsidRPr="000473F9">
        <w:rPr>
          <w:rFonts w:ascii="Times New Roman" w:hAnsi="Times New Roman"/>
          <w:sz w:val="24"/>
          <w:szCs w:val="24"/>
          <w:lang w:val="sq-AL"/>
        </w:rPr>
        <w:t>të</w:t>
      </w:r>
      <w:r w:rsidRPr="000473F9">
        <w:rPr>
          <w:rFonts w:ascii="Times New Roman" w:hAnsi="Times New Roman"/>
          <w:sz w:val="24"/>
          <w:szCs w:val="24"/>
          <w:lang w:val="sq-AL"/>
        </w:rPr>
        <w:t xml:space="preserve"> Kushtetut</w:t>
      </w:r>
      <w:r w:rsidR="000D5508" w:rsidRPr="000473F9">
        <w:rPr>
          <w:rFonts w:ascii="Times New Roman" w:hAnsi="Times New Roman"/>
          <w:sz w:val="24"/>
          <w:szCs w:val="24"/>
          <w:lang w:val="sq-AL"/>
        </w:rPr>
        <w:t xml:space="preserve">ës, </w:t>
      </w:r>
      <w:r w:rsidR="00DC100C" w:rsidRPr="000473F9">
        <w:rPr>
          <w:rFonts w:ascii="Times New Roman" w:hAnsi="Times New Roman"/>
          <w:sz w:val="24"/>
          <w:szCs w:val="24"/>
          <w:lang w:val="sq-AL"/>
        </w:rPr>
        <w:t>kategoritë e veprave</w:t>
      </w:r>
      <w:r w:rsidR="006F4502" w:rsidRPr="000473F9">
        <w:rPr>
          <w:rFonts w:ascii="Times New Roman" w:hAnsi="Times New Roman"/>
          <w:sz w:val="24"/>
          <w:szCs w:val="24"/>
          <w:lang w:val="sq-AL"/>
        </w:rPr>
        <w:t xml:space="preserve"> penale të korrupsionit duhet të jenë të tilla që për nga mënyra se si kryhen, rrethanat apo edhe pasojat e ardhura</w:t>
      </w:r>
      <w:r w:rsidR="00352968" w:rsidRPr="000473F9">
        <w:rPr>
          <w:rFonts w:ascii="Times New Roman" w:hAnsi="Times New Roman"/>
          <w:sz w:val="24"/>
          <w:szCs w:val="24"/>
          <w:lang w:val="sq-AL"/>
        </w:rPr>
        <w:t>,</w:t>
      </w:r>
      <w:r w:rsidR="006F4502" w:rsidRPr="000473F9">
        <w:rPr>
          <w:rFonts w:ascii="Times New Roman" w:hAnsi="Times New Roman"/>
          <w:sz w:val="24"/>
          <w:szCs w:val="24"/>
          <w:lang w:val="sq-AL"/>
        </w:rPr>
        <w:t xml:space="preserve"> të mund të </w:t>
      </w:r>
      <w:r w:rsidR="001871D2" w:rsidRPr="000473F9">
        <w:rPr>
          <w:rFonts w:ascii="Times New Roman" w:hAnsi="Times New Roman"/>
          <w:sz w:val="24"/>
          <w:szCs w:val="24"/>
          <w:lang w:val="sq-AL"/>
        </w:rPr>
        <w:t>kenë peshë të bara</w:t>
      </w:r>
      <w:r w:rsidR="00C501CA">
        <w:rPr>
          <w:rFonts w:ascii="Times New Roman" w:hAnsi="Times New Roman"/>
          <w:sz w:val="24"/>
          <w:szCs w:val="24"/>
          <w:lang w:val="sq-AL"/>
        </w:rPr>
        <w:t>s</w:t>
      </w:r>
      <w:r w:rsidR="001871D2" w:rsidRPr="000473F9">
        <w:rPr>
          <w:rFonts w:ascii="Times New Roman" w:hAnsi="Times New Roman"/>
          <w:sz w:val="24"/>
          <w:szCs w:val="24"/>
          <w:lang w:val="sq-AL"/>
        </w:rPr>
        <w:t>vlefshme</w:t>
      </w:r>
      <w:r w:rsidR="006F4502" w:rsidRPr="000473F9">
        <w:rPr>
          <w:rFonts w:ascii="Times New Roman" w:hAnsi="Times New Roman"/>
          <w:sz w:val="24"/>
          <w:szCs w:val="24"/>
          <w:lang w:val="sq-AL"/>
        </w:rPr>
        <w:t xml:space="preserve"> me</w:t>
      </w:r>
      <w:r w:rsidR="000D5508" w:rsidRPr="000473F9">
        <w:rPr>
          <w:rFonts w:ascii="Times New Roman" w:hAnsi="Times New Roman"/>
          <w:sz w:val="24"/>
          <w:szCs w:val="24"/>
          <w:lang w:val="sq-AL"/>
        </w:rPr>
        <w:t xml:space="preserve"> ato të krimit të organizuar, të cilat </w:t>
      </w:r>
      <w:r w:rsidR="006F4502" w:rsidRPr="000473F9">
        <w:rPr>
          <w:rFonts w:ascii="Times New Roman" w:hAnsi="Times New Roman"/>
          <w:sz w:val="24"/>
          <w:szCs w:val="24"/>
          <w:lang w:val="sq-AL"/>
        </w:rPr>
        <w:t xml:space="preserve"> konsiderohen nga ato </w:t>
      </w:r>
      <w:r w:rsidR="00BB003E" w:rsidRPr="000473F9">
        <w:rPr>
          <w:rFonts w:ascii="Times New Roman" w:hAnsi="Times New Roman"/>
          <w:sz w:val="24"/>
          <w:szCs w:val="24"/>
          <w:lang w:val="sq-AL"/>
        </w:rPr>
        <w:t xml:space="preserve">lloj </w:t>
      </w:r>
      <w:r w:rsidR="006F4502" w:rsidRPr="000473F9">
        <w:rPr>
          <w:rFonts w:ascii="Times New Roman" w:hAnsi="Times New Roman"/>
          <w:sz w:val="24"/>
          <w:szCs w:val="24"/>
          <w:lang w:val="sq-AL"/>
        </w:rPr>
        <w:t>vepra</w:t>
      </w:r>
      <w:r w:rsidR="00BB003E" w:rsidRPr="000473F9">
        <w:rPr>
          <w:rFonts w:ascii="Times New Roman" w:hAnsi="Times New Roman"/>
          <w:sz w:val="24"/>
          <w:szCs w:val="24"/>
          <w:lang w:val="sq-AL"/>
        </w:rPr>
        <w:t>sh</w:t>
      </w:r>
      <w:r w:rsidR="006F4502" w:rsidRPr="000473F9">
        <w:rPr>
          <w:rFonts w:ascii="Times New Roman" w:hAnsi="Times New Roman"/>
          <w:sz w:val="24"/>
          <w:szCs w:val="24"/>
          <w:lang w:val="sq-AL"/>
        </w:rPr>
        <w:t xml:space="preserve"> penale që rrezikojnë bazat e shtetit dhe organizimin shoqëror.</w:t>
      </w:r>
      <w:r w:rsidR="00BD4EC7" w:rsidRPr="000473F9">
        <w:rPr>
          <w:rFonts w:ascii="Times New Roman" w:hAnsi="Times New Roman"/>
          <w:sz w:val="24"/>
          <w:szCs w:val="24"/>
          <w:lang w:val="sq-AL"/>
        </w:rPr>
        <w:t xml:space="preserve"> </w:t>
      </w:r>
      <w:r w:rsidR="00CB3A73" w:rsidRPr="000473F9">
        <w:rPr>
          <w:rFonts w:ascii="Times New Roman" w:eastAsia="Times New Roman" w:hAnsi="Times New Roman"/>
          <w:sz w:val="24"/>
          <w:szCs w:val="24"/>
          <w:lang w:val="sq-AL" w:eastAsia="en-GB"/>
        </w:rPr>
        <w:t xml:space="preserve">Në këtë kontekst, </w:t>
      </w:r>
      <w:r w:rsidR="00801C06" w:rsidRPr="000473F9">
        <w:rPr>
          <w:rFonts w:ascii="Times New Roman" w:eastAsia="Times New Roman" w:hAnsi="Times New Roman"/>
          <w:sz w:val="24"/>
          <w:szCs w:val="24"/>
          <w:lang w:val="sq-AL" w:eastAsia="en-GB"/>
        </w:rPr>
        <w:t xml:space="preserve">Gjykata </w:t>
      </w:r>
      <w:r w:rsidR="00F1428C" w:rsidRPr="000473F9">
        <w:rPr>
          <w:rFonts w:ascii="Times New Roman" w:eastAsia="Times New Roman" w:hAnsi="Times New Roman"/>
          <w:sz w:val="24"/>
          <w:szCs w:val="24"/>
          <w:lang w:val="sq-AL" w:eastAsia="en-GB"/>
        </w:rPr>
        <w:t xml:space="preserve"> thekson </w:t>
      </w:r>
      <w:r w:rsidR="00801C06" w:rsidRPr="000473F9">
        <w:rPr>
          <w:rFonts w:ascii="Times New Roman" w:eastAsia="Times New Roman" w:hAnsi="Times New Roman"/>
          <w:sz w:val="24"/>
          <w:szCs w:val="24"/>
          <w:lang w:val="sq-AL" w:eastAsia="en-GB"/>
        </w:rPr>
        <w:t xml:space="preserve">se </w:t>
      </w:r>
      <w:r w:rsidR="00CD23EE" w:rsidRPr="000473F9">
        <w:rPr>
          <w:rFonts w:ascii="Times New Roman" w:eastAsia="Times New Roman" w:hAnsi="Times New Roman"/>
          <w:sz w:val="24"/>
          <w:szCs w:val="24"/>
          <w:lang w:val="sq-AL" w:eastAsia="en-GB"/>
        </w:rPr>
        <w:t xml:space="preserve">Kushtetuta nuk ka pasur si qëllim të përfshijë </w:t>
      </w:r>
      <w:r w:rsidR="00801C06" w:rsidRPr="000473F9">
        <w:rPr>
          <w:rFonts w:ascii="Times New Roman" w:eastAsia="Times New Roman" w:hAnsi="Times New Roman"/>
          <w:sz w:val="24"/>
          <w:szCs w:val="24"/>
          <w:lang w:val="sq-AL" w:eastAsia="en-GB"/>
        </w:rPr>
        <w:t>të gjitha veprat penale të korrupsionit në kompetencë të gjykatave të posaçme dhe se bazuar në këtë qëllim të</w:t>
      </w:r>
      <w:r w:rsidR="00BB003E" w:rsidRPr="000473F9">
        <w:rPr>
          <w:rFonts w:ascii="Times New Roman" w:eastAsia="Times New Roman" w:hAnsi="Times New Roman"/>
          <w:sz w:val="24"/>
          <w:szCs w:val="24"/>
          <w:lang w:val="sq-AL" w:eastAsia="en-GB"/>
        </w:rPr>
        <w:t xml:space="preserve"> </w:t>
      </w:r>
      <w:r w:rsidR="00352968" w:rsidRPr="000473F9">
        <w:rPr>
          <w:rFonts w:ascii="Times New Roman" w:eastAsia="Times New Roman" w:hAnsi="Times New Roman"/>
          <w:sz w:val="24"/>
          <w:szCs w:val="24"/>
          <w:lang w:val="sq-AL" w:eastAsia="en-GB"/>
        </w:rPr>
        <w:t>k</w:t>
      </w:r>
      <w:r w:rsidR="00801C06" w:rsidRPr="000473F9">
        <w:rPr>
          <w:rFonts w:ascii="Times New Roman" w:eastAsia="Times New Roman" w:hAnsi="Times New Roman"/>
          <w:sz w:val="24"/>
          <w:szCs w:val="24"/>
          <w:lang w:val="sq-AL" w:eastAsia="en-GB"/>
        </w:rPr>
        <w:t xml:space="preserve">ushtetutëbërësit, ligjvënësi ka kategorizuar në dispozitën e kundërshtuar ato vepra penale që shqyrtohen nga gjykatat e zakonshme dhe ato që shqyrtohen nga gjykatat e posaçme, referuar vlerës së përfituar. </w:t>
      </w:r>
    </w:p>
    <w:p w:rsidR="00F15E5E" w:rsidRPr="000473F9" w:rsidRDefault="00352968" w:rsidP="00707925">
      <w:pPr>
        <w:pStyle w:val="CommentText"/>
        <w:numPr>
          <w:ilvl w:val="0"/>
          <w:numId w:val="1"/>
        </w:numPr>
        <w:tabs>
          <w:tab w:val="left" w:pos="720"/>
          <w:tab w:val="left" w:pos="1080"/>
          <w:tab w:val="left" w:pos="1530"/>
        </w:tabs>
        <w:suppressAutoHyphens/>
        <w:spacing w:after="0" w:line="360" w:lineRule="auto"/>
        <w:ind w:left="0" w:firstLine="720"/>
        <w:jc w:val="both"/>
        <w:rPr>
          <w:rFonts w:ascii="Times New Roman" w:hAnsi="Times New Roman"/>
          <w:sz w:val="24"/>
          <w:szCs w:val="24"/>
          <w:lang w:val="sq-AL"/>
        </w:rPr>
      </w:pPr>
      <w:r w:rsidRPr="000473F9">
        <w:rPr>
          <w:rFonts w:ascii="Times New Roman" w:eastAsia="Times New Roman" w:hAnsi="Times New Roman"/>
          <w:sz w:val="24"/>
          <w:szCs w:val="24"/>
          <w:lang w:val="sq-AL" w:eastAsia="en-GB"/>
        </w:rPr>
        <w:t>Në jurisprudencën e saj</w:t>
      </w:r>
      <w:r w:rsidR="00111247" w:rsidRPr="000473F9">
        <w:rPr>
          <w:rFonts w:ascii="Times New Roman" w:eastAsia="Times New Roman" w:hAnsi="Times New Roman"/>
          <w:sz w:val="24"/>
          <w:szCs w:val="24"/>
          <w:lang w:val="sq-AL" w:eastAsia="en-GB"/>
        </w:rPr>
        <w:t xml:space="preserve"> Gjykata ka theksuar se </w:t>
      </w:r>
      <w:r w:rsidRPr="000473F9">
        <w:rPr>
          <w:rFonts w:ascii="Times New Roman" w:hAnsi="Times New Roman"/>
          <w:sz w:val="24"/>
          <w:szCs w:val="24"/>
          <w:lang w:val="sq-AL"/>
        </w:rPr>
        <w:t>Kuvendi</w:t>
      </w:r>
      <w:r w:rsidR="007A4FBA" w:rsidRPr="000473F9">
        <w:rPr>
          <w:rFonts w:ascii="Times New Roman" w:hAnsi="Times New Roman"/>
          <w:sz w:val="24"/>
          <w:szCs w:val="24"/>
          <w:lang w:val="sq-AL"/>
        </w:rPr>
        <w:t xml:space="preserve"> </w:t>
      </w:r>
      <w:r w:rsidR="00111247" w:rsidRPr="000473F9">
        <w:rPr>
          <w:rFonts w:ascii="Times New Roman" w:hAnsi="Times New Roman"/>
          <w:sz w:val="24"/>
          <w:szCs w:val="24"/>
          <w:lang w:val="sq-AL"/>
        </w:rPr>
        <w:t>shfaqet edhe si interpretuesi i parë i normës kushtetuese dhe hapësira e këtij interpretimi varet nga karakteri dhe natyra e dispozitave kushtetuese që lidhe</w:t>
      </w:r>
      <w:r w:rsidRPr="000473F9">
        <w:rPr>
          <w:rFonts w:ascii="Times New Roman" w:hAnsi="Times New Roman"/>
          <w:sz w:val="24"/>
          <w:szCs w:val="24"/>
          <w:lang w:val="sq-AL"/>
        </w:rPr>
        <w:t xml:space="preserve">n në mënyrë të drejtpërdrejtë </w:t>
      </w:r>
      <w:r w:rsidR="00111247" w:rsidRPr="000473F9">
        <w:rPr>
          <w:rFonts w:ascii="Times New Roman" w:hAnsi="Times New Roman"/>
          <w:sz w:val="24"/>
          <w:szCs w:val="24"/>
          <w:lang w:val="sq-AL"/>
        </w:rPr>
        <w:t>o</w:t>
      </w:r>
      <w:r w:rsidRPr="000473F9">
        <w:rPr>
          <w:rFonts w:ascii="Times New Roman" w:hAnsi="Times New Roman"/>
          <w:sz w:val="24"/>
          <w:szCs w:val="24"/>
          <w:lang w:val="sq-AL"/>
        </w:rPr>
        <w:t>se</w:t>
      </w:r>
      <w:r w:rsidR="00111247" w:rsidRPr="000473F9">
        <w:rPr>
          <w:rFonts w:ascii="Times New Roman" w:hAnsi="Times New Roman"/>
          <w:sz w:val="24"/>
          <w:szCs w:val="24"/>
          <w:lang w:val="sq-AL"/>
        </w:rPr>
        <w:t xml:space="preserve"> të tërthortë me ligjin që do të miratohet ose me dispozita të veçanta të tij </w:t>
      </w:r>
      <w:r w:rsidR="00111247" w:rsidRPr="000473F9">
        <w:rPr>
          <w:rFonts w:ascii="Times New Roman" w:hAnsi="Times New Roman"/>
          <w:i/>
          <w:sz w:val="24"/>
          <w:szCs w:val="24"/>
          <w:lang w:val="sq-AL"/>
        </w:rPr>
        <w:t>(shih vendimin nr. 9, datë 01.03.2021 të Gjykatës Kushtetuese)</w:t>
      </w:r>
      <w:r w:rsidR="00111247" w:rsidRPr="000473F9">
        <w:rPr>
          <w:rFonts w:ascii="Times New Roman" w:hAnsi="Times New Roman"/>
          <w:sz w:val="24"/>
          <w:szCs w:val="24"/>
          <w:lang w:val="sq-AL"/>
        </w:rPr>
        <w:t xml:space="preserve">. </w:t>
      </w:r>
      <w:r w:rsidR="00AE53EA" w:rsidRPr="000473F9">
        <w:rPr>
          <w:rFonts w:ascii="Times New Roman" w:hAnsi="Times New Roman"/>
          <w:sz w:val="24"/>
          <w:szCs w:val="24"/>
          <w:lang w:val="sq-AL"/>
        </w:rPr>
        <w:t xml:space="preserve">Po në këtë </w:t>
      </w:r>
      <w:r w:rsidR="00DC757F" w:rsidRPr="000473F9">
        <w:rPr>
          <w:rFonts w:ascii="Times New Roman" w:hAnsi="Times New Roman"/>
          <w:sz w:val="24"/>
          <w:szCs w:val="24"/>
          <w:lang w:val="sq-AL"/>
        </w:rPr>
        <w:t>drejtim, Gjykata ka theksuar se</w:t>
      </w:r>
      <w:r w:rsidR="00AE53EA" w:rsidRPr="000473F9">
        <w:rPr>
          <w:rFonts w:ascii="Times New Roman" w:hAnsi="Times New Roman"/>
          <w:sz w:val="24"/>
          <w:szCs w:val="24"/>
          <w:lang w:val="sq-AL"/>
        </w:rPr>
        <w:t xml:space="preserve"> </w:t>
      </w:r>
      <w:r w:rsidR="000D5508" w:rsidRPr="000473F9">
        <w:rPr>
          <w:rFonts w:ascii="Times New Roman" w:hAnsi="Times New Roman"/>
          <w:sz w:val="24"/>
          <w:szCs w:val="24"/>
          <w:lang w:val="sq-AL"/>
        </w:rPr>
        <w:t>l</w:t>
      </w:r>
      <w:r w:rsidR="00801C06" w:rsidRPr="000473F9">
        <w:rPr>
          <w:rFonts w:ascii="Times New Roman" w:hAnsi="Times New Roman"/>
          <w:sz w:val="24"/>
          <w:szCs w:val="24"/>
          <w:lang w:val="sq-AL"/>
        </w:rPr>
        <w:t xml:space="preserve">igjvënësi ka detyrimin kushtetues të parashikojë sipas vlerësimit të tij kufijtë e dënueshmërisë së veprave penale. Ai ka të drejtë të </w:t>
      </w:r>
      <w:r w:rsidR="00801C06" w:rsidRPr="000473F9">
        <w:rPr>
          <w:rFonts w:ascii="Times New Roman" w:hAnsi="Times New Roman"/>
          <w:sz w:val="24"/>
          <w:szCs w:val="24"/>
          <w:lang w:val="sq-AL"/>
        </w:rPr>
        <w:lastRenderedPageBreak/>
        <w:t xml:space="preserve">vendosë vetë për llojin dhe masën e veprave të dënueshme penalisht, duke caktuar edhe hapësirën e lejueshme brenda </w:t>
      </w:r>
      <w:r w:rsidR="00DC757F" w:rsidRPr="000473F9">
        <w:rPr>
          <w:rFonts w:ascii="Times New Roman" w:hAnsi="Times New Roman"/>
          <w:sz w:val="24"/>
          <w:szCs w:val="24"/>
          <w:lang w:val="sq-AL"/>
        </w:rPr>
        <w:t>s</w:t>
      </w:r>
      <w:r w:rsidR="00801C06" w:rsidRPr="000473F9">
        <w:rPr>
          <w:rFonts w:ascii="Times New Roman" w:hAnsi="Times New Roman"/>
          <w:sz w:val="24"/>
          <w:szCs w:val="24"/>
          <w:lang w:val="sq-AL"/>
        </w:rPr>
        <w:t>ë cilës mund të veprojë gjyqtari</w:t>
      </w:r>
      <w:r w:rsidR="00B51A11" w:rsidRPr="000473F9">
        <w:rPr>
          <w:rFonts w:ascii="Times New Roman" w:hAnsi="Times New Roman"/>
          <w:sz w:val="24"/>
          <w:szCs w:val="24"/>
          <w:lang w:val="sq-AL"/>
        </w:rPr>
        <w:t xml:space="preserve"> </w:t>
      </w:r>
      <w:r w:rsidR="00B51A11" w:rsidRPr="000473F9">
        <w:rPr>
          <w:rFonts w:ascii="Times New Roman" w:hAnsi="Times New Roman"/>
          <w:i/>
          <w:sz w:val="24"/>
          <w:szCs w:val="24"/>
          <w:lang w:val="sq-AL"/>
        </w:rPr>
        <w:t>(shih vendimet nr.</w:t>
      </w:r>
      <w:r w:rsidR="007477F1" w:rsidRPr="000473F9">
        <w:rPr>
          <w:rFonts w:ascii="Times New Roman" w:hAnsi="Times New Roman"/>
          <w:i/>
          <w:sz w:val="24"/>
          <w:szCs w:val="24"/>
          <w:lang w:val="sq-AL"/>
        </w:rPr>
        <w:t xml:space="preserve"> </w:t>
      </w:r>
      <w:r w:rsidR="00B51A11" w:rsidRPr="000473F9">
        <w:rPr>
          <w:rFonts w:ascii="Times New Roman" w:hAnsi="Times New Roman"/>
          <w:i/>
          <w:sz w:val="24"/>
          <w:szCs w:val="24"/>
          <w:lang w:val="sq-AL"/>
        </w:rPr>
        <w:t>71, datë 27.11.2015; nr.</w:t>
      </w:r>
      <w:r w:rsidR="007477F1" w:rsidRPr="000473F9">
        <w:rPr>
          <w:rFonts w:ascii="Times New Roman" w:hAnsi="Times New Roman"/>
          <w:i/>
          <w:sz w:val="24"/>
          <w:szCs w:val="24"/>
          <w:lang w:val="sq-AL"/>
        </w:rPr>
        <w:t xml:space="preserve"> </w:t>
      </w:r>
      <w:r w:rsidR="00B51A11" w:rsidRPr="000473F9">
        <w:rPr>
          <w:rFonts w:ascii="Times New Roman" w:hAnsi="Times New Roman"/>
          <w:i/>
          <w:sz w:val="24"/>
          <w:szCs w:val="24"/>
          <w:lang w:val="sq-AL"/>
        </w:rPr>
        <w:t xml:space="preserve">47, datë 26.07.2012 të Gjykatës Kushtetuese). </w:t>
      </w:r>
    </w:p>
    <w:p w:rsidR="00801C06" w:rsidRPr="000473F9" w:rsidRDefault="00801C06" w:rsidP="00F15E5E">
      <w:pPr>
        <w:pStyle w:val="CommentText"/>
        <w:numPr>
          <w:ilvl w:val="0"/>
          <w:numId w:val="1"/>
        </w:numPr>
        <w:tabs>
          <w:tab w:val="left" w:pos="720"/>
          <w:tab w:val="left" w:pos="1080"/>
          <w:tab w:val="left" w:pos="1530"/>
        </w:tabs>
        <w:suppressAutoHyphens/>
        <w:spacing w:after="0" w:line="360" w:lineRule="auto"/>
        <w:ind w:left="0" w:firstLine="720"/>
        <w:jc w:val="both"/>
        <w:rPr>
          <w:rFonts w:ascii="Times New Roman" w:hAnsi="Times New Roman"/>
          <w:sz w:val="24"/>
          <w:szCs w:val="24"/>
          <w:lang w:val="sq-AL"/>
        </w:rPr>
      </w:pPr>
      <w:r w:rsidRPr="000473F9">
        <w:rPr>
          <w:rFonts w:ascii="Times New Roman" w:eastAsia="Times New Roman" w:hAnsi="Times New Roman"/>
          <w:sz w:val="24"/>
          <w:szCs w:val="24"/>
          <w:lang w:val="sq-AL" w:eastAsia="en-GB"/>
        </w:rPr>
        <w:t xml:space="preserve">Edhe në këtë rast, Gjykata vëren se është në diskrecionin e ligjvënësit që, duke pasur parasysh natyrën e secilës vepër penale të korrupsionit dhe marrëdhëniet juridike konkrete që synohen të mbrohen, të bëjë edhe kategorizimin e tyre, çka është </w:t>
      </w:r>
      <w:r w:rsidRPr="000473F9">
        <w:rPr>
          <w:rFonts w:ascii="Times New Roman" w:hAnsi="Times New Roman"/>
          <w:sz w:val="24"/>
          <w:szCs w:val="24"/>
          <w:lang w:val="sq-AL"/>
        </w:rPr>
        <w:t>në linjë edhe</w:t>
      </w:r>
      <w:r w:rsidR="008B55B3" w:rsidRPr="000473F9">
        <w:rPr>
          <w:rFonts w:ascii="Times New Roman" w:hAnsi="Times New Roman"/>
          <w:sz w:val="24"/>
          <w:szCs w:val="24"/>
          <w:lang w:val="sq-AL"/>
        </w:rPr>
        <w:t xml:space="preserve"> me qëllimin e </w:t>
      </w:r>
      <w:r w:rsidR="00C165FE" w:rsidRPr="000473F9">
        <w:rPr>
          <w:rFonts w:ascii="Times New Roman" w:hAnsi="Times New Roman"/>
          <w:sz w:val="24"/>
          <w:szCs w:val="24"/>
          <w:lang w:val="sq-AL"/>
        </w:rPr>
        <w:t>k</w:t>
      </w:r>
      <w:r w:rsidRPr="000473F9">
        <w:rPr>
          <w:rFonts w:ascii="Times New Roman" w:hAnsi="Times New Roman"/>
          <w:sz w:val="24"/>
          <w:szCs w:val="24"/>
          <w:lang w:val="sq-AL"/>
        </w:rPr>
        <w:t xml:space="preserve">ushtetutbërësit të evidentuar </w:t>
      </w:r>
      <w:r w:rsidR="0060597A" w:rsidRPr="000473F9">
        <w:rPr>
          <w:rFonts w:ascii="Times New Roman" w:hAnsi="Times New Roman"/>
          <w:sz w:val="24"/>
          <w:szCs w:val="24"/>
          <w:lang w:val="sq-AL"/>
        </w:rPr>
        <w:t xml:space="preserve">sa </w:t>
      </w:r>
      <w:r w:rsidRPr="000473F9">
        <w:rPr>
          <w:rFonts w:ascii="Times New Roman" w:hAnsi="Times New Roman"/>
          <w:sz w:val="24"/>
          <w:szCs w:val="24"/>
          <w:lang w:val="sq-AL"/>
        </w:rPr>
        <w:t>më sipër</w:t>
      </w:r>
      <w:r w:rsidR="0060597A" w:rsidRPr="000473F9">
        <w:rPr>
          <w:rFonts w:ascii="Times New Roman" w:hAnsi="Times New Roman"/>
          <w:sz w:val="24"/>
          <w:szCs w:val="24"/>
          <w:lang w:val="sq-AL"/>
        </w:rPr>
        <w:t xml:space="preserve"> </w:t>
      </w:r>
      <w:r w:rsidR="0060597A" w:rsidRPr="000473F9">
        <w:rPr>
          <w:rFonts w:ascii="Times New Roman" w:hAnsi="Times New Roman"/>
          <w:i/>
          <w:sz w:val="24"/>
          <w:szCs w:val="24"/>
          <w:lang w:val="sq-AL"/>
        </w:rPr>
        <w:t>(shih p</w:t>
      </w:r>
      <w:r w:rsidR="00C165FE" w:rsidRPr="000473F9">
        <w:rPr>
          <w:rFonts w:ascii="Times New Roman" w:hAnsi="Times New Roman"/>
          <w:i/>
          <w:sz w:val="24"/>
          <w:szCs w:val="24"/>
          <w:lang w:val="sq-AL"/>
        </w:rPr>
        <w:t xml:space="preserve">aragrafët </w:t>
      </w:r>
      <w:r w:rsidR="00E51D63" w:rsidRPr="000473F9">
        <w:rPr>
          <w:rFonts w:ascii="Times New Roman" w:hAnsi="Times New Roman"/>
          <w:i/>
          <w:sz w:val="24"/>
          <w:szCs w:val="24"/>
          <w:lang w:val="sq-AL"/>
        </w:rPr>
        <w:t>37-43 të vendimit)</w:t>
      </w:r>
      <w:r w:rsidRPr="000473F9">
        <w:rPr>
          <w:rFonts w:ascii="Times New Roman" w:hAnsi="Times New Roman"/>
          <w:i/>
          <w:sz w:val="24"/>
          <w:szCs w:val="24"/>
          <w:lang w:val="sq-AL"/>
        </w:rPr>
        <w:t>.</w:t>
      </w:r>
      <w:r w:rsidR="00F15E5E" w:rsidRPr="000473F9">
        <w:rPr>
          <w:rFonts w:ascii="Times New Roman" w:hAnsi="Times New Roman"/>
          <w:i/>
          <w:sz w:val="24"/>
          <w:szCs w:val="24"/>
          <w:lang w:val="sq-AL"/>
        </w:rPr>
        <w:t xml:space="preserve"> </w:t>
      </w:r>
      <w:r w:rsidR="00F15E5E" w:rsidRPr="000473F9">
        <w:rPr>
          <w:rFonts w:ascii="Times New Roman" w:hAnsi="Times New Roman"/>
          <w:sz w:val="24"/>
          <w:szCs w:val="24"/>
          <w:lang w:val="sq-AL"/>
        </w:rPr>
        <w:t>Për rrjedhojë,</w:t>
      </w:r>
      <w:r w:rsidR="00F15E5E" w:rsidRPr="000473F9">
        <w:rPr>
          <w:rFonts w:ascii="Times New Roman" w:hAnsi="Times New Roman"/>
          <w:i/>
          <w:sz w:val="24"/>
          <w:szCs w:val="24"/>
          <w:lang w:val="sq-AL"/>
        </w:rPr>
        <w:t xml:space="preserve"> </w:t>
      </w:r>
      <w:r w:rsidRPr="000473F9">
        <w:rPr>
          <w:rFonts w:ascii="Times New Roman" w:hAnsi="Times New Roman"/>
          <w:sz w:val="24"/>
          <w:szCs w:val="24"/>
          <w:lang w:val="sq-AL"/>
        </w:rPr>
        <w:t xml:space="preserve">Gjykata vlerëson se </w:t>
      </w:r>
      <w:r w:rsidRPr="000473F9">
        <w:rPr>
          <w:rFonts w:ascii="Times New Roman" w:hAnsi="Times New Roman"/>
          <w:color w:val="231F20"/>
          <w:sz w:val="24"/>
          <w:szCs w:val="24"/>
          <w:lang w:val="sq-AL"/>
        </w:rPr>
        <w:t>pretendimi i gjykatës referuese për cenimin e parimit të gjykatës së caktuar me ligj është i pabazuar.</w:t>
      </w:r>
    </w:p>
    <w:p w:rsidR="00154F20" w:rsidRPr="000473F9" w:rsidRDefault="00801C06" w:rsidP="009B5EB3">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0473F9">
        <w:rPr>
          <w:rFonts w:ascii="Times New Roman" w:hAnsi="Times New Roman"/>
          <w:sz w:val="24"/>
          <w:szCs w:val="24"/>
          <w:lang w:val="sq-AL"/>
        </w:rPr>
        <w:t xml:space="preserve">Në përfundim, Gjykata </w:t>
      </w:r>
      <w:r w:rsidR="00F1428C" w:rsidRPr="000473F9">
        <w:rPr>
          <w:rFonts w:ascii="Times New Roman" w:hAnsi="Times New Roman"/>
          <w:sz w:val="24"/>
          <w:szCs w:val="24"/>
          <w:lang w:val="sq-AL"/>
        </w:rPr>
        <w:t xml:space="preserve">arrin në konkluzionin </w:t>
      </w:r>
      <w:r w:rsidRPr="000473F9">
        <w:rPr>
          <w:rFonts w:ascii="Times New Roman" w:hAnsi="Times New Roman"/>
          <w:sz w:val="24"/>
          <w:szCs w:val="24"/>
          <w:lang w:val="sq-AL"/>
        </w:rPr>
        <w:t>se kërkesa e gjykatës referuese, për të gjitha argumentet e mësipërme, duhet të rrëzohet si e pabazuar</w:t>
      </w:r>
      <w:r w:rsidR="003E2936" w:rsidRPr="000473F9">
        <w:rPr>
          <w:rFonts w:ascii="Times New Roman" w:eastAsia="Times New Roman" w:hAnsi="Times New Roman"/>
          <w:sz w:val="24"/>
          <w:szCs w:val="24"/>
          <w:lang w:val="sq-AL" w:eastAsia="sq-AL"/>
        </w:rPr>
        <w:t>.</w:t>
      </w:r>
    </w:p>
    <w:p w:rsidR="00D7491A" w:rsidRPr="000473F9" w:rsidRDefault="00D7491A" w:rsidP="009B5EB3">
      <w:pPr>
        <w:tabs>
          <w:tab w:val="left" w:pos="1080"/>
        </w:tabs>
        <w:spacing w:after="0" w:line="360" w:lineRule="auto"/>
        <w:jc w:val="center"/>
        <w:rPr>
          <w:rFonts w:ascii="Times New Roman" w:hAnsi="Times New Roman"/>
          <w:b/>
          <w:sz w:val="24"/>
          <w:szCs w:val="24"/>
          <w:lang w:val="sq-AL"/>
        </w:rPr>
      </w:pPr>
    </w:p>
    <w:p w:rsidR="00B05A50" w:rsidRPr="000473F9" w:rsidRDefault="00B05A50" w:rsidP="009B5EB3">
      <w:pPr>
        <w:pStyle w:val="JuPara"/>
        <w:spacing w:line="360" w:lineRule="auto"/>
        <w:ind w:firstLine="0"/>
        <w:jc w:val="center"/>
        <w:rPr>
          <w:b/>
          <w:bCs/>
          <w:szCs w:val="24"/>
          <w:lang w:val="sq-AL"/>
        </w:rPr>
      </w:pPr>
      <w:r w:rsidRPr="000473F9">
        <w:rPr>
          <w:b/>
          <w:bCs/>
          <w:szCs w:val="24"/>
          <w:lang w:val="sq-AL"/>
        </w:rPr>
        <w:t>PËR KËTO ARSYE,</w:t>
      </w:r>
    </w:p>
    <w:p w:rsidR="00B05A50" w:rsidRPr="000473F9" w:rsidRDefault="00B05A50" w:rsidP="009B5EB3">
      <w:pPr>
        <w:pStyle w:val="JuPara"/>
        <w:spacing w:line="360" w:lineRule="auto"/>
        <w:ind w:firstLine="720"/>
        <w:rPr>
          <w:szCs w:val="24"/>
          <w:lang w:val="sq-AL"/>
        </w:rPr>
      </w:pPr>
      <w:r w:rsidRPr="000473F9">
        <w:rPr>
          <w:szCs w:val="24"/>
          <w:lang w:val="sq-AL"/>
        </w:rPr>
        <w:t>Gjykata Kushtetuese e Republikës së Shqipërisë, në mbështetje të neneve 131, pika 1, shkronja “a” dhe 134, pika 1, shkronja “dh”, të Kushtetutës, si dhe  nenit 72 të ligjit nr. 8577, datë 10.02.2000 “Për organizimin dhe funksionimin e Gjykatës Kushtetuese të Republikës së Shqipërisë”, me shumicë votash, </w:t>
      </w:r>
    </w:p>
    <w:p w:rsidR="00B05A50" w:rsidRPr="000473F9" w:rsidRDefault="00B05A50" w:rsidP="009B5EB3">
      <w:pPr>
        <w:pStyle w:val="JuPara"/>
        <w:spacing w:line="360" w:lineRule="auto"/>
        <w:ind w:firstLine="720"/>
        <w:rPr>
          <w:szCs w:val="24"/>
          <w:lang w:val="sq-AL"/>
        </w:rPr>
      </w:pPr>
    </w:p>
    <w:p w:rsidR="00B05A50" w:rsidRPr="000473F9" w:rsidRDefault="00B05A50" w:rsidP="009B5EB3">
      <w:pPr>
        <w:pStyle w:val="JuPara"/>
        <w:spacing w:line="360" w:lineRule="auto"/>
        <w:ind w:firstLine="0"/>
        <w:jc w:val="center"/>
        <w:rPr>
          <w:szCs w:val="24"/>
          <w:lang w:val="sq-AL"/>
        </w:rPr>
      </w:pPr>
      <w:r w:rsidRPr="000473F9">
        <w:rPr>
          <w:b/>
          <w:bCs/>
          <w:szCs w:val="24"/>
          <w:lang w:val="sq-AL"/>
        </w:rPr>
        <w:t>V E N D O S I:</w:t>
      </w:r>
    </w:p>
    <w:p w:rsidR="00B05A50" w:rsidRPr="000473F9" w:rsidRDefault="00C165FE" w:rsidP="00C165FE">
      <w:pPr>
        <w:suppressAutoHyphens/>
        <w:spacing w:after="0" w:line="360" w:lineRule="auto"/>
        <w:ind w:firstLine="720"/>
        <w:jc w:val="both"/>
        <w:rPr>
          <w:rFonts w:ascii="Times New Roman" w:hAnsi="Times New Roman"/>
          <w:sz w:val="24"/>
          <w:szCs w:val="24"/>
          <w:lang w:val="sq-AL" w:eastAsia="fr-FR"/>
        </w:rPr>
      </w:pPr>
      <w:r w:rsidRPr="000473F9">
        <w:rPr>
          <w:rFonts w:ascii="Times New Roman" w:hAnsi="Times New Roman"/>
          <w:sz w:val="24"/>
          <w:szCs w:val="24"/>
          <w:lang w:val="sq-AL" w:eastAsia="fr-FR"/>
        </w:rPr>
        <w:t xml:space="preserve">1. </w:t>
      </w:r>
      <w:r w:rsidR="00873CE2" w:rsidRPr="000473F9">
        <w:rPr>
          <w:rFonts w:ascii="Times New Roman" w:hAnsi="Times New Roman"/>
          <w:sz w:val="24"/>
          <w:szCs w:val="24"/>
          <w:lang w:val="sq-AL" w:eastAsia="fr-FR"/>
        </w:rPr>
        <w:t>Rrëzimin e kërkesës</w:t>
      </w:r>
      <w:r w:rsidR="00B05A50" w:rsidRPr="000473F9">
        <w:rPr>
          <w:rFonts w:ascii="Times New Roman" w:hAnsi="Times New Roman"/>
          <w:sz w:val="24"/>
          <w:szCs w:val="24"/>
          <w:lang w:val="sq-AL" w:eastAsia="fr-FR"/>
        </w:rPr>
        <w:t>.</w:t>
      </w:r>
    </w:p>
    <w:p w:rsidR="00B05A50" w:rsidRPr="000473F9" w:rsidRDefault="00B05A50" w:rsidP="009B5EB3">
      <w:pPr>
        <w:spacing w:after="0" w:line="360" w:lineRule="auto"/>
        <w:ind w:firstLine="720"/>
        <w:jc w:val="both"/>
        <w:rPr>
          <w:rFonts w:ascii="Times New Roman" w:hAnsi="Times New Roman"/>
          <w:sz w:val="24"/>
          <w:szCs w:val="24"/>
          <w:lang w:val="sq-AL"/>
        </w:rPr>
      </w:pPr>
      <w:r w:rsidRPr="000473F9">
        <w:rPr>
          <w:rFonts w:ascii="Times New Roman" w:hAnsi="Times New Roman"/>
          <w:sz w:val="24"/>
          <w:szCs w:val="24"/>
          <w:lang w:val="sq-AL"/>
        </w:rPr>
        <w:t>Ky vendim është përfundimtar dhe hyn në fuqi ditën e botimit në Fletoren Zyrtare.</w:t>
      </w:r>
      <w:r w:rsidRPr="000473F9">
        <w:rPr>
          <w:rFonts w:ascii="Times New Roman" w:hAnsi="Times New Roman"/>
          <w:b/>
          <w:bCs/>
          <w:sz w:val="24"/>
          <w:szCs w:val="24"/>
          <w:lang w:val="sq-AL"/>
        </w:rPr>
        <w:t xml:space="preserve"> </w:t>
      </w:r>
    </w:p>
    <w:p w:rsidR="00B05A50" w:rsidRPr="000473F9" w:rsidRDefault="00F5402C" w:rsidP="009B5EB3">
      <w:pPr>
        <w:tabs>
          <w:tab w:val="left" w:pos="0"/>
        </w:tabs>
        <w:spacing w:after="0" w:line="360" w:lineRule="auto"/>
        <w:jc w:val="both"/>
        <w:rPr>
          <w:rFonts w:ascii="Times New Roman" w:hAnsi="Times New Roman"/>
          <w:b/>
          <w:bCs/>
          <w:sz w:val="24"/>
          <w:szCs w:val="24"/>
          <w:lang w:val="sq-AL"/>
        </w:rPr>
      </w:pPr>
      <w:r w:rsidRPr="000473F9">
        <w:rPr>
          <w:rFonts w:ascii="Times New Roman" w:hAnsi="Times New Roman"/>
          <w:b/>
          <w:bCs/>
          <w:sz w:val="24"/>
          <w:szCs w:val="24"/>
          <w:lang w:val="sq-AL"/>
        </w:rPr>
        <w:t>Marrë më 2</w:t>
      </w:r>
      <w:r w:rsidR="002349DA" w:rsidRPr="000473F9">
        <w:rPr>
          <w:rFonts w:ascii="Times New Roman" w:hAnsi="Times New Roman"/>
          <w:b/>
          <w:bCs/>
          <w:sz w:val="24"/>
          <w:szCs w:val="24"/>
          <w:lang w:val="sq-AL"/>
        </w:rPr>
        <w:t>7</w:t>
      </w:r>
      <w:r w:rsidR="00B05A50" w:rsidRPr="000473F9">
        <w:rPr>
          <w:rFonts w:ascii="Times New Roman" w:hAnsi="Times New Roman"/>
          <w:b/>
          <w:bCs/>
          <w:sz w:val="24"/>
          <w:szCs w:val="24"/>
          <w:lang w:val="sq-AL"/>
        </w:rPr>
        <w:t>.</w:t>
      </w:r>
      <w:r w:rsidRPr="000473F9">
        <w:rPr>
          <w:rFonts w:ascii="Times New Roman" w:hAnsi="Times New Roman"/>
          <w:b/>
          <w:bCs/>
          <w:sz w:val="24"/>
          <w:szCs w:val="24"/>
          <w:lang w:val="sq-AL"/>
        </w:rPr>
        <w:t>06</w:t>
      </w:r>
      <w:r w:rsidR="00B05A50" w:rsidRPr="000473F9">
        <w:rPr>
          <w:rFonts w:ascii="Times New Roman" w:hAnsi="Times New Roman"/>
          <w:b/>
          <w:bCs/>
          <w:sz w:val="24"/>
          <w:szCs w:val="24"/>
          <w:lang w:val="sq-AL"/>
        </w:rPr>
        <w:t>.2022</w:t>
      </w:r>
    </w:p>
    <w:p w:rsidR="00B05A50" w:rsidRPr="000473F9" w:rsidRDefault="00B05A50" w:rsidP="009B5EB3">
      <w:pPr>
        <w:suppressAutoHyphens/>
        <w:spacing w:after="0" w:line="360" w:lineRule="auto"/>
        <w:jc w:val="both"/>
        <w:rPr>
          <w:rFonts w:ascii="Times New Roman" w:hAnsi="Times New Roman"/>
          <w:b/>
          <w:bCs/>
          <w:sz w:val="24"/>
          <w:szCs w:val="24"/>
          <w:lang w:val="sq-AL"/>
        </w:rPr>
      </w:pPr>
      <w:r w:rsidRPr="000473F9">
        <w:rPr>
          <w:rFonts w:ascii="Times New Roman" w:hAnsi="Times New Roman"/>
          <w:b/>
          <w:bCs/>
          <w:sz w:val="24"/>
          <w:szCs w:val="24"/>
          <w:lang w:val="sq-AL"/>
        </w:rPr>
        <w:t xml:space="preserve">Shpallur më </w:t>
      </w:r>
      <w:r w:rsidR="007F4D7B">
        <w:rPr>
          <w:rFonts w:ascii="Times New Roman" w:hAnsi="Times New Roman"/>
          <w:b/>
          <w:bCs/>
          <w:sz w:val="24"/>
          <w:szCs w:val="24"/>
          <w:lang w:val="sq-AL"/>
        </w:rPr>
        <w:t>26.07</w:t>
      </w:r>
      <w:r w:rsidRPr="000473F9">
        <w:rPr>
          <w:rFonts w:ascii="Times New Roman" w:hAnsi="Times New Roman"/>
          <w:b/>
          <w:bCs/>
          <w:sz w:val="24"/>
          <w:szCs w:val="24"/>
          <w:lang w:val="sq-AL"/>
        </w:rPr>
        <w:t>.2022</w:t>
      </w:r>
      <w:r w:rsidRPr="000473F9">
        <w:rPr>
          <w:rFonts w:ascii="Times New Roman" w:hAnsi="Times New Roman"/>
          <w:b/>
          <w:bCs/>
          <w:sz w:val="24"/>
          <w:szCs w:val="24"/>
          <w:lang w:val="sq-AL"/>
        </w:rPr>
        <w:tab/>
      </w:r>
    </w:p>
    <w:p w:rsidR="000473F9" w:rsidRDefault="000473F9" w:rsidP="009B5EB3">
      <w:pPr>
        <w:tabs>
          <w:tab w:val="left" w:pos="1080"/>
        </w:tabs>
        <w:spacing w:after="0" w:line="360" w:lineRule="auto"/>
        <w:jc w:val="both"/>
        <w:rPr>
          <w:rFonts w:ascii="Times New Roman" w:hAnsi="Times New Roman"/>
          <w:b/>
          <w:sz w:val="24"/>
          <w:szCs w:val="24"/>
          <w:lang w:val="sq-AL"/>
        </w:rPr>
      </w:pPr>
    </w:p>
    <w:p w:rsidR="00A52B6C" w:rsidRDefault="00A52B6C"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b/>
          <w:sz w:val="24"/>
          <w:szCs w:val="24"/>
          <w:lang w:val="sq-AL"/>
        </w:rPr>
      </w:pPr>
    </w:p>
    <w:p w:rsidR="0088585D" w:rsidRDefault="0088585D" w:rsidP="00310A19">
      <w:pPr>
        <w:tabs>
          <w:tab w:val="left" w:pos="3525"/>
        </w:tabs>
        <w:rPr>
          <w:rFonts w:ascii="Times New Roman" w:hAnsi="Times New Roman"/>
          <w:sz w:val="24"/>
          <w:szCs w:val="24"/>
          <w:lang w:val="sq-AL"/>
        </w:rPr>
      </w:pPr>
    </w:p>
    <w:p w:rsidR="00A52B6C" w:rsidRDefault="00A52B6C" w:rsidP="00310A19">
      <w:pPr>
        <w:tabs>
          <w:tab w:val="left" w:pos="3525"/>
        </w:tabs>
        <w:rPr>
          <w:rFonts w:ascii="Times New Roman" w:hAnsi="Times New Roman"/>
          <w:sz w:val="24"/>
          <w:szCs w:val="24"/>
          <w:lang w:val="sq-AL"/>
        </w:rPr>
      </w:pPr>
    </w:p>
    <w:p w:rsidR="00A52B6C" w:rsidRPr="00A52B6C" w:rsidRDefault="00A52B6C" w:rsidP="00A52B6C">
      <w:pPr>
        <w:spacing w:after="0" w:line="360" w:lineRule="auto"/>
        <w:jc w:val="center"/>
        <w:rPr>
          <w:rFonts w:ascii="Times New Roman" w:hAnsi="Times New Roman"/>
          <w:b/>
          <w:sz w:val="24"/>
          <w:szCs w:val="24"/>
          <w:lang w:val="sq-AL"/>
        </w:rPr>
      </w:pPr>
      <w:r w:rsidRPr="00A52B6C">
        <w:rPr>
          <w:rFonts w:ascii="Times New Roman" w:hAnsi="Times New Roman"/>
          <w:b/>
          <w:sz w:val="24"/>
          <w:szCs w:val="24"/>
          <w:lang w:val="sq-AL"/>
        </w:rPr>
        <w:lastRenderedPageBreak/>
        <w:t>MENDIM PAKICE</w:t>
      </w:r>
    </w:p>
    <w:p w:rsidR="00A52B6C" w:rsidRPr="00A52B6C" w:rsidRDefault="00A52B6C" w:rsidP="00A52B6C">
      <w:pPr>
        <w:spacing w:after="0" w:line="360" w:lineRule="auto"/>
        <w:jc w:val="center"/>
        <w:rPr>
          <w:rFonts w:ascii="Times New Roman" w:eastAsia="Times New Roman" w:hAnsi="Times New Roman"/>
          <w:sz w:val="24"/>
          <w:szCs w:val="24"/>
          <w:lang w:val="sq-AL"/>
        </w:rPr>
      </w:pP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Në gjykimin kushtetues të kërkesës së Gjykatës së Rrethit Gjyqësor Korçë (</w:t>
      </w:r>
      <w:r w:rsidRPr="00A52B6C">
        <w:rPr>
          <w:rFonts w:ascii="Times New Roman" w:eastAsia="Times New Roman" w:hAnsi="Times New Roman"/>
          <w:i/>
          <w:sz w:val="24"/>
          <w:szCs w:val="24"/>
          <w:lang w:val="sq-AL"/>
        </w:rPr>
        <w:t>gjykata referuese</w:t>
      </w:r>
      <w:r w:rsidRPr="00A52B6C">
        <w:rPr>
          <w:rFonts w:ascii="Times New Roman" w:eastAsia="Times New Roman" w:hAnsi="Times New Roman"/>
          <w:sz w:val="24"/>
          <w:szCs w:val="24"/>
          <w:lang w:val="sq-AL"/>
        </w:rPr>
        <w:t>), me të cilën është kërkuar shfuqizimi pjesërisht i shkronjës “a” të nenit 7 (</w:t>
      </w:r>
      <w:r w:rsidRPr="00A52B6C">
        <w:rPr>
          <w:rFonts w:ascii="Times New Roman" w:eastAsia="Times New Roman" w:hAnsi="Times New Roman"/>
          <w:i/>
          <w:sz w:val="24"/>
          <w:szCs w:val="24"/>
          <w:lang w:val="sq-AL"/>
        </w:rPr>
        <w:t>dispozita e kundërshtuar</w:t>
      </w:r>
      <w:r w:rsidRPr="00A52B6C">
        <w:rPr>
          <w:rFonts w:ascii="Times New Roman" w:eastAsia="Times New Roman" w:hAnsi="Times New Roman"/>
          <w:sz w:val="24"/>
          <w:szCs w:val="24"/>
          <w:lang w:val="sq-AL"/>
        </w:rPr>
        <w:t>) të ligjit nr. 41/2021, datë 23.03.2021 “Për disa shtesa dhe ndryshime në ligjin nr. 7905, datë 21.03.1995 “Kodi i Procedurës Penale të Republikës së Shqipërisë”, të ndryshuar” (</w:t>
      </w:r>
      <w:r w:rsidRPr="00A52B6C">
        <w:rPr>
          <w:rFonts w:ascii="Times New Roman" w:eastAsia="Times New Roman" w:hAnsi="Times New Roman"/>
          <w:i/>
          <w:sz w:val="24"/>
          <w:szCs w:val="24"/>
          <w:lang w:val="sq-AL"/>
        </w:rPr>
        <w:t>ligji nr. 41/2021</w:t>
      </w:r>
      <w:r w:rsidRPr="00A52B6C">
        <w:rPr>
          <w:rFonts w:ascii="Times New Roman" w:eastAsia="Times New Roman" w:hAnsi="Times New Roman"/>
          <w:sz w:val="24"/>
          <w:szCs w:val="24"/>
          <w:lang w:val="sq-AL"/>
        </w:rPr>
        <w:t>), si e papajtueshme me Kushtetutën, kemi qëndrim të kundërt me shumicën për sa i takon themelit dhe kemi votuar për pranimin e kërkesës. Në mbështetje të nenit 132, pika 3, të Kushtetutës dhe nenit 72, pika 8, të ligjit nr. 8577, datë 10.02.2000 “Për organizimin dhe funksionimin e Gjykatës Kushtetuese të Republikës së Shqipërisë”, të ndryshuar (</w:t>
      </w:r>
      <w:r w:rsidRPr="00A52B6C">
        <w:rPr>
          <w:rFonts w:ascii="Times New Roman" w:eastAsia="Times New Roman" w:hAnsi="Times New Roman"/>
          <w:i/>
          <w:sz w:val="24"/>
          <w:szCs w:val="24"/>
          <w:lang w:val="sq-AL"/>
        </w:rPr>
        <w:t>ligji nr. 8577/2000</w:t>
      </w:r>
      <w:r w:rsidRPr="00A52B6C">
        <w:rPr>
          <w:rFonts w:ascii="Times New Roman" w:eastAsia="Times New Roman" w:hAnsi="Times New Roman"/>
          <w:sz w:val="24"/>
          <w:szCs w:val="24"/>
          <w:lang w:val="sq-AL"/>
        </w:rPr>
        <w:t>), që parashikojnë publikimin e mendimit të pakicës së bashku me vendimin përfundimtar të Gjykatës Kushtetuese (</w:t>
      </w:r>
      <w:r w:rsidRPr="00A52B6C">
        <w:rPr>
          <w:rFonts w:ascii="Times New Roman" w:eastAsia="Times New Roman" w:hAnsi="Times New Roman"/>
          <w:i/>
          <w:sz w:val="24"/>
          <w:szCs w:val="24"/>
          <w:lang w:val="sq-AL"/>
        </w:rPr>
        <w:t>Gjykata</w:t>
      </w:r>
      <w:r w:rsidRPr="00A52B6C">
        <w:rPr>
          <w:rFonts w:ascii="Times New Roman" w:eastAsia="Times New Roman" w:hAnsi="Times New Roman"/>
          <w:sz w:val="24"/>
          <w:szCs w:val="24"/>
          <w:lang w:val="sq-AL"/>
        </w:rPr>
        <w:t>), parashtrojmë në vijim argumentet që mbështesin qëndrimin kundër.</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Duhet theksuar se çështja kushtetuese konkrete lidhet me vlerësimin e pajtueshmërisë së dispozitës së kundërshtuar në raport me nenin 135, pika 2, të Kushtetutës, nëse ky i fundit përcakton kufij të kompetencës lëndore penale midis gjykatave të juridiksionit të zakonshëm dhe gjykatës së posaçme. Kompetenca e organit kushtetues është një çështje shumë e rëndësishme, sepse lidhet në mënyrë të drejtpërdrejtë me rolin e tij në strukturën kushtetuese, e cila nga pikëpamja e organizimit bazohet në parimin e ndarjes dhe balancimit të pushteteve, të sanksionuar në nenin 7 të Kushtetutës.</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Gjykata ka pohuar se caktimi i kompetencave të organeve kushtetuese, të pavarura nga njëra-tjetra, shpreh ndarjen e pushteteve, ndërsa bashkëveprimi midis tyre garanton balancën në ushtrimin e pushtetit. Balancimi i pushteteve, teksa kërkon ekuilibrim të kompetencave, nuk do të thotë që pesha dhe kompetenca e organeve është e njëjtë. Ai ka të bëjë me faktin se struktura institucionale shtetërore bazohet në ndarjen e kompetencave midis organeve të ndryshme, ndarje e cila tregon vendin që kushtetutëbërësi ka dashur t’i japë secilit prej tyre në përmbushjen e rolit përkatës. Nuk mund të pranohet që një organ t’i shtrijë kompetencat e tij në dëm të tjetrit. Pra, Kushtetuta ka krijuar një sistem për ndarjen e kompetencave midis organeve të ndryshme, i cili i cakton secilit rolin e tij në strukturën institucionale shtetërore dhe në realizimin e detyrave që i janë besuar (</w:t>
      </w:r>
      <w:r w:rsidRPr="00A52B6C">
        <w:rPr>
          <w:rFonts w:ascii="Times New Roman" w:eastAsia="Times New Roman" w:hAnsi="Times New Roman"/>
          <w:i/>
          <w:sz w:val="24"/>
          <w:szCs w:val="24"/>
          <w:lang w:val="sq-AL"/>
        </w:rPr>
        <w:t>shih vendimin nr.</w:t>
      </w:r>
      <w:r w:rsidRPr="00A52B6C">
        <w:rPr>
          <w:rFonts w:ascii="Times New Roman" w:eastAsia="Times New Roman" w:hAnsi="Times New Roman"/>
          <w:bCs/>
          <w:i/>
          <w:sz w:val="24"/>
          <w:szCs w:val="24"/>
          <w:lang w:val="sq-AL"/>
        </w:rPr>
        <w:t xml:space="preserve"> 26, dat</w:t>
      </w:r>
      <w:r w:rsidRPr="00A52B6C">
        <w:rPr>
          <w:rFonts w:ascii="Times New Roman" w:eastAsia="Times New Roman" w:hAnsi="Times New Roman"/>
          <w:bCs/>
          <w:i/>
          <w:color w:val="000000"/>
          <w:sz w:val="24"/>
          <w:szCs w:val="24"/>
          <w:lang w:val="sq-AL"/>
        </w:rPr>
        <w:t>ë 25.05.2021 të Gjykatës Kushtetuese).</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 xml:space="preserve">Në zbatim të parimit bazë të shtetit të së drejtës dhe atij të ndarjes dhe balancimit ndërmjet pushteteve, kushtetutëbërësi ka përcaktuar, për secilin nga organet që përfaqësojnë këto pushtete, kompetencat që i përgjigjen qëllimit të tij. Për sa kohë këto kompetenca janë të përcaktuara nga normat kushtetuese, është e palejueshme që një organ tjetër t`i marrë ose t`i </w:t>
      </w:r>
      <w:r w:rsidRPr="00A52B6C">
        <w:rPr>
          <w:rFonts w:ascii="Times New Roman" w:eastAsia="Times New Roman" w:hAnsi="Times New Roman"/>
          <w:sz w:val="24"/>
          <w:szCs w:val="24"/>
          <w:lang w:val="sq-AL"/>
        </w:rPr>
        <w:lastRenderedPageBreak/>
        <w:t>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qendror të veprimtarisë së organeve ose institucioneve të tjera kushtetuese (</w:t>
      </w:r>
      <w:r w:rsidRPr="00A52B6C">
        <w:rPr>
          <w:rFonts w:ascii="Times New Roman" w:eastAsia="Times New Roman" w:hAnsi="Times New Roman"/>
          <w:i/>
          <w:sz w:val="24"/>
          <w:szCs w:val="24"/>
          <w:lang w:val="sq-AL"/>
        </w:rPr>
        <w:t>shih vendimet nr. 41, datë 16.05.2017; nr. 15, datë 15.04.2010 të Gjykatës Kushtetuese).</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eastAsia="sq-AL"/>
        </w:rPr>
        <w:t xml:space="preserve">Ashtu siç thekson shumica, interpretimi përfundimtar i Kushtetutës është ndër funksionet më të rëndësishme të Gjykatës. Kontrolli kushtetues, në çdo rast, nuk mund të bëhet pa interpretimin e kuptimit të normave kushtetuese që lidhen me çështjen konkrete në shqyrtim. </w:t>
      </w:r>
      <w:r w:rsidRPr="00A52B6C">
        <w:rPr>
          <w:rFonts w:ascii="Times New Roman" w:eastAsia="Times New Roman" w:hAnsi="Times New Roman"/>
          <w:sz w:val="24"/>
          <w:szCs w:val="24"/>
          <w:lang w:val="sq-AL"/>
        </w:rPr>
        <w:t xml:space="preserve">Interpretimi përfundimtar që bën Gjykata nuk ka si qëllim shtimin e normave të reja në sistemin e normave detyruese ligjore, por deklarimin ose pohimin e përmbajtjes së këtyre normave. Për të shmangur çdo mundësi për ndërhyrje në kompetencat e pushtetit ligjvënës, Gjykata nuk merr përsipër të kryejë rolin e legjislatorit, por synon t’u japë jetë normave kushtetuese përmes kuptimit të drejtë të përmbajtjes dhe qëllimit të tyre </w:t>
      </w:r>
      <w:r w:rsidRPr="00A52B6C">
        <w:rPr>
          <w:rFonts w:ascii="Times New Roman" w:eastAsia="Times New Roman" w:hAnsi="Times New Roman"/>
          <w:i/>
          <w:sz w:val="24"/>
          <w:szCs w:val="24"/>
          <w:lang w:val="sq-AL"/>
        </w:rPr>
        <w:t>(shih paragrafin 32 të vendimit)</w:t>
      </w:r>
      <w:r w:rsidRPr="00A52B6C">
        <w:rPr>
          <w:rFonts w:ascii="Times New Roman" w:eastAsia="Times New Roman" w:hAnsi="Times New Roman"/>
          <w:sz w:val="24"/>
          <w:szCs w:val="24"/>
          <w:lang w:val="sq-AL"/>
        </w:rPr>
        <w:t xml:space="preserve">. </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Po kështu, me të drejtë, shumica ka ritheksuar se pë</w:t>
      </w:r>
      <w:r w:rsidRPr="00A52B6C">
        <w:rPr>
          <w:rFonts w:ascii="Times New Roman" w:eastAsia="Times New Roman" w:hAnsi="Times New Roman"/>
          <w:bCs/>
          <w:sz w:val="24"/>
          <w:szCs w:val="24"/>
          <w:lang w:val="sq-AL"/>
        </w:rPr>
        <w:t>rcaktimi i sakt</w:t>
      </w:r>
      <w:r w:rsidRPr="00A52B6C">
        <w:rPr>
          <w:rFonts w:ascii="Times New Roman" w:eastAsia="Times New Roman" w:hAnsi="Times New Roman"/>
          <w:sz w:val="24"/>
          <w:szCs w:val="24"/>
          <w:lang w:val="sq-AL"/>
        </w:rPr>
        <w:t>ë</w:t>
      </w:r>
      <w:r w:rsidRPr="00A52B6C">
        <w:rPr>
          <w:rFonts w:ascii="Times New Roman" w:eastAsia="Times New Roman" w:hAnsi="Times New Roman"/>
          <w:bCs/>
          <w:sz w:val="24"/>
          <w:szCs w:val="24"/>
          <w:lang w:val="sq-AL"/>
        </w:rPr>
        <w:t xml:space="preserve"> i kompetenc</w:t>
      </w:r>
      <w:r w:rsidRPr="00A52B6C">
        <w:rPr>
          <w:rFonts w:ascii="Times New Roman" w:eastAsia="Times New Roman" w:hAnsi="Times New Roman"/>
          <w:sz w:val="24"/>
          <w:szCs w:val="24"/>
          <w:lang w:val="sq-AL"/>
        </w:rPr>
        <w:t>ë</w:t>
      </w:r>
      <w:r w:rsidRPr="00A52B6C">
        <w:rPr>
          <w:rFonts w:ascii="Times New Roman" w:eastAsia="Times New Roman" w:hAnsi="Times New Roman"/>
          <w:bCs/>
          <w:sz w:val="24"/>
          <w:szCs w:val="24"/>
          <w:lang w:val="sq-AL"/>
        </w:rPr>
        <w:t xml:space="preserve">s </w:t>
      </w:r>
      <w:r w:rsidRPr="00A52B6C">
        <w:rPr>
          <w:rFonts w:ascii="Times New Roman" w:eastAsia="Times New Roman" w:hAnsi="Times New Roman"/>
          <w:sz w:val="24"/>
          <w:szCs w:val="24"/>
          <w:lang w:val="sq-AL"/>
        </w:rPr>
        <w:t>ë</w:t>
      </w:r>
      <w:r w:rsidRPr="00A52B6C">
        <w:rPr>
          <w:rFonts w:ascii="Times New Roman" w:eastAsia="Times New Roman" w:hAnsi="Times New Roman"/>
          <w:bCs/>
          <w:sz w:val="24"/>
          <w:szCs w:val="24"/>
          <w:lang w:val="sq-AL"/>
        </w:rPr>
        <w:t>sht</w:t>
      </w:r>
      <w:r w:rsidRPr="00A52B6C">
        <w:rPr>
          <w:rFonts w:ascii="Times New Roman" w:eastAsia="Times New Roman" w:hAnsi="Times New Roman"/>
          <w:sz w:val="24"/>
          <w:szCs w:val="24"/>
          <w:lang w:val="sq-AL"/>
        </w:rPr>
        <w:t>ë</w:t>
      </w:r>
      <w:r w:rsidRPr="00A52B6C">
        <w:rPr>
          <w:rFonts w:ascii="Times New Roman" w:eastAsia="Times New Roman" w:hAnsi="Times New Roman"/>
          <w:bCs/>
          <w:sz w:val="24"/>
          <w:szCs w:val="24"/>
          <w:lang w:val="sq-AL"/>
        </w:rPr>
        <w:t xml:space="preserve"> detyrim q</w:t>
      </w:r>
      <w:r w:rsidRPr="00A52B6C">
        <w:rPr>
          <w:rFonts w:ascii="Times New Roman" w:eastAsia="Times New Roman" w:hAnsi="Times New Roman"/>
          <w:sz w:val="24"/>
          <w:szCs w:val="24"/>
          <w:lang w:val="sq-AL"/>
        </w:rPr>
        <w:t>ë</w:t>
      </w:r>
      <w:r w:rsidRPr="00A52B6C">
        <w:rPr>
          <w:rFonts w:ascii="Times New Roman" w:eastAsia="Times New Roman" w:hAnsi="Times New Roman"/>
          <w:bCs/>
          <w:sz w:val="24"/>
          <w:szCs w:val="24"/>
          <w:lang w:val="sq-AL"/>
        </w:rPr>
        <w:t xml:space="preserve"> rrjedh nga parimi i </w:t>
      </w:r>
      <w:r w:rsidRPr="00A52B6C">
        <w:rPr>
          <w:rFonts w:ascii="Times New Roman" w:eastAsia="Times New Roman" w:hAnsi="Times New Roman"/>
          <w:sz w:val="24"/>
          <w:szCs w:val="24"/>
          <w:lang w:val="sq-AL"/>
        </w:rPr>
        <w:t xml:space="preserve">shtetit të së drejtës, i sanksionuar në nenin 4 të Kushtetutës, sipas të cilit e drejta përbën bazën dhe kufijtë e veprimtarisë së shtetit. Vetë kompetenca lëndore e gjykatës është e lidhur ngushtë me përbërjen e trupit gjykues të ngarkuar për shqyrtimin e çdo çështjeje konkrete. Në këtë kontekst, fjala “ligj”, sipas nenit 42 të Kushtetutës, përfshin edhe legjislacionin për krijimin dhe kompetencën e gjykatave, ku kompetenca për gjykimin e çështjeve penale ka të bëjë me rrethin e akuzave, shqyrtimi i të cilave është atribut i gjykatave të llojeve dhe niveleve të ndryshme. Nëse një gjykatë nuk ka juridiksion/kompetencë për të gjykuar të pandehurin në përputhje me dispozitat që zbatohen sipas legjislacionit përkatës, ajo nuk është “e krijuar me ligj”, sipas kuptimit të nenit 42 të Kushtetutës </w:t>
      </w:r>
      <w:r w:rsidRPr="00A52B6C">
        <w:rPr>
          <w:rFonts w:ascii="Times New Roman" w:eastAsia="Times New Roman" w:hAnsi="Times New Roman"/>
          <w:i/>
          <w:sz w:val="24"/>
          <w:szCs w:val="24"/>
          <w:lang w:val="sq-AL"/>
        </w:rPr>
        <w:t>(shih paragrafin 33 të vendimit).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hAnsi="Times New Roman"/>
          <w:sz w:val="24"/>
          <w:szCs w:val="24"/>
          <w:lang w:val="sq-AL"/>
        </w:rPr>
      </w:pPr>
      <w:r w:rsidRPr="00A52B6C">
        <w:rPr>
          <w:rFonts w:ascii="Times New Roman" w:hAnsi="Times New Roman"/>
          <w:sz w:val="24"/>
          <w:szCs w:val="24"/>
          <w:lang w:val="sq-AL"/>
        </w:rPr>
        <w:t xml:space="preserve">Shumica ka arritur në përfundimin se kërkesa e gjykatës referuese duhet të rrëzohet, pasi </w:t>
      </w:r>
      <w:r w:rsidRPr="00A52B6C">
        <w:rPr>
          <w:rFonts w:ascii="Times New Roman" w:hAnsi="Times New Roman"/>
          <w:sz w:val="24"/>
          <w:szCs w:val="24"/>
          <w:lang w:val="sq-AL" w:eastAsia="en-GB"/>
        </w:rPr>
        <w:t>është në diskrecionin e ligjvënësit që, duke pasur parasysh natyrën e secilës vepër penale të korrupsionit dhe marrëdhëniet juridike konkrete që synohen të mbrohen, të bëjë edhe kategorizimin e tyre (</w:t>
      </w:r>
      <w:r w:rsidRPr="00A52B6C">
        <w:rPr>
          <w:rFonts w:ascii="Times New Roman" w:hAnsi="Times New Roman"/>
          <w:i/>
          <w:sz w:val="24"/>
          <w:szCs w:val="24"/>
          <w:lang w:val="sq-AL" w:eastAsia="en-GB"/>
        </w:rPr>
        <w:t>shih paragrafët 36, 44 - 46 të vendimit</w:t>
      </w:r>
      <w:r w:rsidRPr="00A52B6C">
        <w:rPr>
          <w:rFonts w:ascii="Times New Roman" w:hAnsi="Times New Roman"/>
          <w:sz w:val="24"/>
          <w:szCs w:val="24"/>
          <w:lang w:val="sq-AL" w:eastAsia="en-GB"/>
        </w:rPr>
        <w:t xml:space="preserve">). </w:t>
      </w:r>
      <w:r w:rsidRPr="00A52B6C">
        <w:rPr>
          <w:rFonts w:ascii="Times New Roman" w:hAnsi="Times New Roman"/>
          <w:sz w:val="24"/>
          <w:szCs w:val="24"/>
          <w:lang w:val="sq-AL"/>
        </w:rPr>
        <w:t xml:space="preserve">Me ndryshimet kushtetuese të vitit 2016, kushtetutëbërësi ka shtuar në nenin 135, pikat 2 dhe 4 që përmbajnë rregullime për gjykatat e posaçme, duke synuar të parashikohet në nivel kushtetues dhe për herë të parë ngritja e një gjykate të re me juridiksion lëndor të posaçëm në fushën penale, e cila ka kompetencën të gjykojë disa kategori veprash penale brenda juridiksionit të përgjithshëm penal, konkretisht ato të korrupsionit dhe të krimit të organizuar, si edhe akuzat penale kundër një kategorie </w:t>
      </w:r>
      <w:r w:rsidRPr="00A52B6C">
        <w:rPr>
          <w:rFonts w:ascii="Times New Roman" w:hAnsi="Times New Roman"/>
          <w:sz w:val="24"/>
          <w:szCs w:val="24"/>
          <w:lang w:val="sq-AL"/>
        </w:rPr>
        <w:lastRenderedPageBreak/>
        <w:t>funksionarësh të lartë (</w:t>
      </w:r>
      <w:r w:rsidRPr="00A52B6C">
        <w:rPr>
          <w:rFonts w:ascii="Times New Roman" w:hAnsi="Times New Roman"/>
          <w:i/>
          <w:sz w:val="24"/>
          <w:szCs w:val="24"/>
          <w:lang w:val="sq-AL"/>
        </w:rPr>
        <w:t>shih paragrafin 37 të vendimit</w:t>
      </w:r>
      <w:r w:rsidRPr="00A52B6C">
        <w:rPr>
          <w:rFonts w:ascii="Times New Roman" w:hAnsi="Times New Roman"/>
          <w:sz w:val="24"/>
          <w:szCs w:val="24"/>
          <w:lang w:val="sq-AL"/>
        </w:rPr>
        <w:t>). Sipas shumicës, neni 135, pika 2, i Kushtetutës jo vetëm nuk përmban një ndalim të shprehur, por as nuk mund të interpretohet se juridiksioni i gjykatave të posaçme përjashton kompetencën e gjykatave të zakonshme për gjykimin e veprave penale që lidhen me korrupsionin (</w:t>
      </w:r>
      <w:r w:rsidRPr="00A52B6C">
        <w:rPr>
          <w:rFonts w:ascii="Times New Roman" w:hAnsi="Times New Roman"/>
          <w:i/>
          <w:sz w:val="24"/>
          <w:szCs w:val="24"/>
          <w:lang w:val="sq-AL"/>
        </w:rPr>
        <w:t>shih paragrafin 39 të vendimit</w:t>
      </w:r>
      <w:r w:rsidRPr="00A52B6C">
        <w:rPr>
          <w:rFonts w:ascii="Times New Roman" w:hAnsi="Times New Roman"/>
          <w:sz w:val="24"/>
          <w:szCs w:val="24"/>
          <w:lang w:val="sq-AL"/>
        </w:rPr>
        <w:t xml:space="preserve">). Në këndvështrim të nenit 135, pika 2, të Kushtetutës, kategoritë e veprave penale të korrupsionit duhet të jenë të tilla që për nga mënyra se si kryhen, rrethanat apo edhe pasojat e ardhura, të mund të kenë peshë të barasvlefshme me ato të krimit të organizuar, të cilat konsiderohen nga ato lloj veprash penale që rrezikojnë bazat e shtetit dhe organizimin shoqëror. </w:t>
      </w:r>
      <w:r w:rsidRPr="00A52B6C">
        <w:rPr>
          <w:rFonts w:ascii="Times New Roman" w:eastAsia="Times New Roman" w:hAnsi="Times New Roman"/>
          <w:sz w:val="24"/>
          <w:szCs w:val="24"/>
          <w:lang w:val="sq-AL" w:eastAsia="en-GB"/>
        </w:rPr>
        <w:t>Në këtë kontekst, Gjykata thekson se Kushtetuta nuk ka pasur si qëllim të përfshijë të gjitha veprat penale të korrupsionit në kompetencë të gjykatave të posaçme dhe se bazuar në këtë qëllim të kushtetutëbërësit, ligjvënësi ka kategorizuar në dispozitën e kundërshtuar ato vepra penale që shqyrtohen nga gjykatat e zakonshme dhe ato që shqyrtohen nga gjykatat e posaçme, referuar vlerës së përfituar</w:t>
      </w:r>
      <w:r w:rsidRPr="00A52B6C" w:rsidDel="00532152">
        <w:rPr>
          <w:rFonts w:ascii="Times New Roman" w:hAnsi="Times New Roman"/>
          <w:sz w:val="24"/>
          <w:szCs w:val="24"/>
          <w:lang w:val="sq-AL"/>
        </w:rPr>
        <w:t xml:space="preserve"> </w:t>
      </w:r>
      <w:r w:rsidRPr="00A52B6C">
        <w:rPr>
          <w:rFonts w:ascii="Times New Roman" w:hAnsi="Times New Roman"/>
          <w:sz w:val="24"/>
          <w:szCs w:val="24"/>
          <w:lang w:val="sq-AL" w:eastAsia="en-GB"/>
        </w:rPr>
        <w:t>(</w:t>
      </w:r>
      <w:r w:rsidRPr="00A52B6C">
        <w:rPr>
          <w:rFonts w:ascii="Times New Roman" w:hAnsi="Times New Roman"/>
          <w:i/>
          <w:sz w:val="24"/>
          <w:szCs w:val="24"/>
          <w:lang w:val="sq-AL" w:eastAsia="en-GB"/>
        </w:rPr>
        <w:t>shih paragrafin 43 të vendimit</w:t>
      </w:r>
      <w:r w:rsidRPr="00A52B6C">
        <w:rPr>
          <w:rFonts w:ascii="Times New Roman" w:hAnsi="Times New Roman"/>
          <w:sz w:val="24"/>
          <w:szCs w:val="24"/>
          <w:lang w:val="sq-AL" w:eastAsia="en-GB"/>
        </w:rPr>
        <w: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eastAsia="en-GB"/>
        </w:rPr>
        <w:t xml:space="preserve">Në jurisprudencën kushtetuese është theksuar se </w:t>
      </w:r>
      <w:r w:rsidRPr="00A52B6C">
        <w:rPr>
          <w:rFonts w:ascii="Times New Roman" w:eastAsia="Times New Roman" w:hAnsi="Times New Roman"/>
          <w:sz w:val="24"/>
          <w:szCs w:val="24"/>
          <w:lang w:val="sq-AL"/>
        </w:rPr>
        <w:t>normat kushtetuese nuk mund të interpretohen si norma të izoluara, por duhen parë në harmoni me normat e tjera kushtetuese.</w:t>
      </w:r>
      <w:r w:rsidRPr="00A52B6C">
        <w:rPr>
          <w:rFonts w:ascii="Times New Roman" w:eastAsia="Times New Roman" w:hAnsi="Times New Roman"/>
          <w:iCs/>
          <w:sz w:val="24"/>
          <w:szCs w:val="24"/>
          <w:lang w:val="sq-AL" w:eastAsia="sq-AL"/>
        </w:rPr>
        <w:t xml:space="preserve"> N</w:t>
      </w:r>
      <w:r w:rsidRPr="00A52B6C">
        <w:rPr>
          <w:rFonts w:ascii="Times New Roman" w:eastAsia="Times New Roman" w:hAnsi="Times New Roman"/>
          <w:sz w:val="24"/>
          <w:szCs w:val="24"/>
          <w:lang w:val="sq-AL"/>
        </w:rPr>
        <w:t xml:space="preserve">ë leximin e Kushtetutës nevojitet harmonizimi i tekstit të saj integral dhe pajtimi i atyre dispozitave që mund të duket se krijojnë përplasje mes tyre </w:t>
      </w:r>
      <w:r w:rsidRPr="00A52B6C">
        <w:rPr>
          <w:rFonts w:ascii="Times New Roman" w:eastAsia="Times New Roman" w:hAnsi="Times New Roman"/>
          <w:i/>
          <w:iCs/>
          <w:sz w:val="24"/>
          <w:szCs w:val="24"/>
          <w:lang w:val="sq-AL"/>
        </w:rPr>
        <w:t xml:space="preserve">(shih vendimet nr. 36, datë 04.11.2021; nr. 7, datë 24.02.2016; nr. 29, datë 30.06.2011 </w:t>
      </w:r>
      <w:r w:rsidRPr="00A52B6C">
        <w:rPr>
          <w:rFonts w:ascii="Times New Roman" w:eastAsia="Times New Roman" w:hAnsi="Times New Roman"/>
          <w:i/>
          <w:sz w:val="24"/>
          <w:szCs w:val="24"/>
          <w:lang w:val="sq-AL"/>
        </w:rPr>
        <w:t>të</w:t>
      </w:r>
      <w:r w:rsidRPr="00A52B6C">
        <w:rPr>
          <w:rFonts w:ascii="Times New Roman" w:eastAsia="Times New Roman" w:hAnsi="Times New Roman"/>
          <w:i/>
          <w:iCs/>
          <w:sz w:val="24"/>
          <w:szCs w:val="24"/>
          <w:lang w:val="sq-AL"/>
        </w:rPr>
        <w:t xml:space="preserve"> Gjykatës Kushtetuese</w:t>
      </w:r>
      <w:r w:rsidRPr="00A52B6C">
        <w:rPr>
          <w:rFonts w:ascii="Times New Roman" w:eastAsia="Times New Roman" w:hAnsi="Times New Roman"/>
          <w:iCs/>
          <w:sz w:val="24"/>
          <w:szCs w:val="24"/>
          <w:lang w:val="sq-AL"/>
        </w:rPr>
        <w:t>)</w:t>
      </w:r>
      <w:r w:rsidRPr="00A52B6C">
        <w:rPr>
          <w:rFonts w:ascii="Times New Roman" w:eastAsia="Times New Roman" w:hAnsi="Times New Roman"/>
          <w:sz w:val="24"/>
          <w:szCs w:val="24"/>
          <w:lang w:val="sq-AL"/>
        </w:rPr>
        <w: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 xml:space="preserve">Duke iu referuar thelbit të çështjes konkrete, do të duhej që shumica të kontrollonte pajtueshmërinë kushtetuese të dispozitës së kundërshtuar, duke interpretuar në mënyrë përfundimtare jo vetëm nenin 135 të Kushtetutës, por edhe nenet 148, pika 4 dhe 148/dh të saj, pasi kompetenca e gjykatës së posaçme është e lidhur dhe reflekton tek kompetencat e Prokurorisë së Posaçme dhe të Njësisë së Posaçme Hetimore. Në këtë mënyrë, vlerësimi i Gjykatës për kompetencën e gjykatës së posaçme ndikon drejtpërdrejt edhe në përcaktimin e kompetencave të këtyre dy organeve të tjera kushtetuese. Duhet theksuar se këto norma kushtetuese janë pjesë e së njëjtës reformë kushtetuese të vitit 2016 dhe kanë edhe lidhje organike midis tyre, sepse i shërbejnë krijimit, organizimit dhe funksionit të strukturave të posaçme kushtetuese për ndjekjen dhe gjykimin, ndër të tjera, edhe të veprave penale të korrupsionit. Më konkretisht, këto dispozita garantojnë organizimin dhe funksionimin në mënyrë të pavarur të organeve kushtetuese, të shprehura specifikisht si </w:t>
      </w:r>
      <w:r w:rsidRPr="00A52B6C">
        <w:rPr>
          <w:rFonts w:ascii="Times New Roman" w:eastAsia="Times New Roman" w:hAnsi="Times New Roman"/>
          <w:i/>
          <w:sz w:val="24"/>
          <w:szCs w:val="24"/>
          <w:lang w:val="sq-AL"/>
        </w:rPr>
        <w:t>gjykatat e posaçme gjykojnë veprat penale të korrupsionit dhe të krimit të organizuar</w:t>
      </w:r>
      <w:r w:rsidRPr="00A52B6C">
        <w:rPr>
          <w:rFonts w:ascii="Times New Roman" w:eastAsia="Times New Roman" w:hAnsi="Times New Roman"/>
          <w:sz w:val="24"/>
          <w:szCs w:val="24"/>
          <w:lang w:val="sq-AL"/>
        </w:rPr>
        <w:t xml:space="preserve"> (neni 135, pika 2); </w:t>
      </w:r>
      <w:r w:rsidRPr="00A52B6C">
        <w:rPr>
          <w:rFonts w:ascii="Times New Roman" w:eastAsia="Times New Roman" w:hAnsi="Times New Roman"/>
          <w:i/>
          <w:sz w:val="24"/>
          <w:szCs w:val="24"/>
          <w:lang w:val="sq-AL"/>
        </w:rPr>
        <w:t>Prokuroria e Posaçme dhe Njësia e Posaçme Hetimore për ndjekjen penale dhe hetimin e veprave penale të korrupsionit,</w:t>
      </w:r>
      <w:r w:rsidR="0048236E">
        <w:rPr>
          <w:rFonts w:ascii="Times New Roman" w:eastAsia="Times New Roman" w:hAnsi="Times New Roman"/>
          <w:i/>
          <w:sz w:val="24"/>
          <w:szCs w:val="24"/>
          <w:lang w:val="sq-AL"/>
        </w:rPr>
        <w:t xml:space="preserve"> krimit të organizuar</w:t>
      </w:r>
      <w:r w:rsidRPr="00A52B6C">
        <w:rPr>
          <w:rFonts w:ascii="Times New Roman" w:eastAsia="Times New Roman" w:hAnsi="Times New Roman"/>
          <w:i/>
          <w:sz w:val="24"/>
          <w:szCs w:val="24"/>
          <w:lang w:val="sq-AL"/>
        </w:rPr>
        <w:t xml:space="preserve"> (</w:t>
      </w:r>
      <w:r w:rsidRPr="00A52B6C">
        <w:rPr>
          <w:rFonts w:ascii="Times New Roman" w:eastAsia="Times New Roman" w:hAnsi="Times New Roman"/>
          <w:sz w:val="24"/>
          <w:szCs w:val="24"/>
          <w:lang w:val="sq-AL"/>
        </w:rPr>
        <w:t>neni 148, pika 4); dhe</w:t>
      </w:r>
      <w:r w:rsidRPr="00A52B6C">
        <w:rPr>
          <w:rFonts w:ascii="Times New Roman" w:eastAsia="Times New Roman" w:hAnsi="Times New Roman"/>
          <w:i/>
          <w:sz w:val="24"/>
          <w:szCs w:val="24"/>
          <w:lang w:val="sq-AL"/>
        </w:rPr>
        <w:t xml:space="preserve"> Prokuroria e Posaçme  ushtron ndjekjen penale dhe përfaqëson akuzën para gjykatave të posaçme (</w:t>
      </w:r>
      <w:r w:rsidRPr="00A52B6C">
        <w:rPr>
          <w:rFonts w:ascii="Times New Roman" w:eastAsia="Times New Roman" w:hAnsi="Times New Roman"/>
          <w:sz w:val="24"/>
          <w:szCs w:val="24"/>
          <w:lang w:val="sq-AL"/>
        </w:rPr>
        <w:t>neni 148/dh, pika 1</w:t>
      </w:r>
      <w:r w:rsidRPr="00A52B6C">
        <w:rPr>
          <w:rFonts w:ascii="Times New Roman" w:eastAsia="Times New Roman" w:hAnsi="Times New Roman"/>
          <w:i/>
          <w:sz w:val="24"/>
          <w:szCs w:val="24"/>
          <w:lang w:val="sq-AL"/>
        </w:rPr>
        <w: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lastRenderedPageBreak/>
        <w:t>Në ndryshim nga shumica vlerësojmë se qëllimi i kushtetutëbërësit në krijimin e këtyre strukturave të posaçme në nivel kushtetues ka qenë lufta efikase jo vetëm ndaj krimit të organizuar, por edhe ndaj të gjitha veprave penale të korrupsionit, veçanërisht kur lufta ndaj këtij të fundit përbën kusht të domosdoshëm për zhvillimin e qëndrueshëm të vendit dhe forcimin e shtetit ligjor, si dhe një prej përparësive të Shqipërisë në procesin e integrimit evropian. Ky qëllim i kushtetutëbërësit është evidentuar qartësisht në Komentarin “Mbi reformën kushtetuese në sistemin e drejtësisë (2016)”, të hartuar nga grupi i ekspertëve të nivelit të lartë, të cilët ndihmuan në hartimin e ndryshimeve kushtetuese, sipas të cilit: “</w:t>
      </w:r>
      <w:r w:rsidRPr="00A52B6C">
        <w:rPr>
          <w:rFonts w:ascii="Times New Roman" w:eastAsia="Times New Roman" w:hAnsi="Times New Roman"/>
          <w:i/>
          <w:sz w:val="24"/>
          <w:szCs w:val="24"/>
          <w:lang w:val="sq-AL"/>
        </w:rPr>
        <w:t>Gjykata e Posaçme së bashku me Prokurorinë e Posaçme dhe Njësinë e Posaçme hetimore do të hetojnë, procedojnë dhe gjykojnë të gjitha çështjet që kanë të bëjnë me veprat penale të korrupsionit dhe krimit të organizuar. Ligjvënësi kushtetues, me reformën në sistemin e drejtësisë, i ka kushtuar një vëmendje të veçantë ngritjes së mekanizmave për goditjen në mënyrë efektive të veprave penale të korrupsioni</w:t>
      </w:r>
      <w:r w:rsidR="0048236E">
        <w:rPr>
          <w:rFonts w:ascii="Times New Roman" w:eastAsia="Times New Roman" w:hAnsi="Times New Roman"/>
          <w:i/>
          <w:sz w:val="24"/>
          <w:szCs w:val="24"/>
          <w:lang w:val="sq-AL"/>
        </w:rPr>
        <w:t>t</w:t>
      </w:r>
      <w:bookmarkStart w:id="0" w:name="_GoBack"/>
      <w:bookmarkEnd w:id="0"/>
      <w:r w:rsidRPr="00A52B6C">
        <w:rPr>
          <w:rFonts w:ascii="Times New Roman" w:eastAsia="Times New Roman" w:hAnsi="Times New Roman"/>
          <w:i/>
          <w:sz w:val="24"/>
          <w:szCs w:val="24"/>
          <w:lang w:val="sq-AL"/>
        </w:rPr>
        <w:t>, krimit të organizuar dhe abuzimit me detyrën.”.</w:t>
      </w:r>
      <w:r w:rsidRPr="00A52B6C">
        <w:rPr>
          <w:rFonts w:ascii="Times New Roman" w:eastAsia="Times New Roman" w:hAnsi="Times New Roman"/>
          <w:i/>
          <w:sz w:val="24"/>
          <w:szCs w:val="24"/>
          <w:vertAlign w:val="superscript"/>
          <w:lang w:val="sq-AL"/>
        </w:rPr>
        <w:footnoteReference w:id="1"/>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Gjykata ka theksuar se Kushtetuta nuk ka për qëllim të rregullojë hollësisht çdo çështje të organizimit të jetës shoqërore e politike të një vendi, por vetëm parimet dhe kriteret bazë mbi të cilat duhet të mbështetet ajo. Shpesh, Kushtetuta qëllimisht lë hapësira rregullimi nga ligjvënësi i zakonshëm, në mënyrë që të mos pengojë marrjen e nismave politike, ekonomike, sociale e kulturore. Por, Kushtetuta, përveç kësaj, mund të parashikojë hollësisht dhe shprehimisht rastet për të cilat nuk mund t’i lërë hapësira rregullimi ligjvënësit të zakonshëm (</w:t>
      </w:r>
      <w:r w:rsidRPr="00A52B6C">
        <w:rPr>
          <w:rFonts w:ascii="Times New Roman" w:eastAsia="Times New Roman" w:hAnsi="Times New Roman"/>
          <w:i/>
          <w:iCs/>
          <w:sz w:val="24"/>
          <w:szCs w:val="24"/>
          <w:lang w:val="sq-AL"/>
        </w:rPr>
        <w:t>shih vendimet nr. 78, datë 12.12.2017; nr. 34, datë 10.04.2017; nr. 2, datë 18.01.2017 të Gjykatës Kushtetuese</w:t>
      </w:r>
      <w:r w:rsidRPr="00A52B6C">
        <w:rPr>
          <w:rFonts w:ascii="Times New Roman" w:eastAsia="Times New Roman" w:hAnsi="Times New Roman"/>
          <w:sz w:val="24"/>
          <w:szCs w:val="24"/>
          <w:lang w:val="sq-AL"/>
        </w:rPr>
        <w:t>). Në këtë kontekst është e vërtetë që neni 135, pika 1, i Kushtetutës parashikon se Gjykata e Lartë, gjykatat e apelit dhe gjykatat e shkallës së parë, të cilat ushtrojnë pushtetin gjyqësor, krijohen me ligj. Mirëpo, rregulli për krijimin me ligj të gjykatave nuk duhet interpretuar se i jep Kuvendit diskrecionin që të ndërhyjë në kompetencat e gjykatave, kur ato janë të përcaktuara shprehimisht nga Kushtetuta, sepse një ndërhyrje e tillë ndalohet shprehimisht nga neni 6 i saj, i cili parashikon se organizimi dhe funksionimi i organeve të parashikuara në të rregullohen me ligjet e tyre përkatëse, përveç rasteve kur në Kushtetutë parashikohet ndryshe. Për sa i takon kompetencës lëndore të gjykatës së posaçme, ajo është e parashikuar shprehimisht në pikën 2  të nenit 135 të Kushtetutës dhe për këtë shkak kjo kompetencë nuk mund të rregullohet ndryshe me ligj.</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lastRenderedPageBreak/>
        <w:t>Ky përfundim përforcohet edhe nga përmbajtja e pikës 3 të nenit 135, sipas të cilit  Kuvendi mund të krijojë me ligj gjykata të tjera për fusha të veçanta, por në asnjë rast gjykata të jashtëzakonshme. Me fjalë të tjera, kushtetutëbërësi ka autorizuar Kuvendin të krijojë me ligj gjykata të tjera për fusha të veçanta (pra, me kompetencë lëndore specifike) nga ato të krijuara shprehimisht nga Kushtetuta, siç janë gjykatat e posaçme, por edhe Gjykata e Lartë.</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Ashtu siç pohon shumica, përdorimi i lidhëzës “dhe” në përmbajtjen e pikës 2 të nenit 135 nuk është i paqëllimtë. Qëllimi i normës kushtetuese ka qenë që të kategorizojë brenda juridiksionit penal të posaçëm ato vepra penale të të njëjtit nivel për nga rëndësia dhe natyra e tyre (</w:t>
      </w:r>
      <w:r w:rsidRPr="00A52B6C">
        <w:rPr>
          <w:rFonts w:ascii="Times New Roman" w:eastAsia="Times New Roman" w:hAnsi="Times New Roman"/>
          <w:i/>
          <w:sz w:val="24"/>
          <w:szCs w:val="24"/>
          <w:lang w:val="sq-AL"/>
        </w:rPr>
        <w:t>shih paragrafin 40 të vendimit</w:t>
      </w:r>
      <w:r w:rsidRPr="00A52B6C">
        <w:rPr>
          <w:rFonts w:ascii="Times New Roman" w:eastAsia="Times New Roman" w:hAnsi="Times New Roman"/>
          <w:sz w:val="24"/>
          <w:szCs w:val="24"/>
          <w:lang w:val="sq-AL"/>
        </w:rPr>
        <w:t xml:space="preserve">). Megjithatë nuk pajtohemi me vlerësimin se Kushtetuta nuk ka pasur si qëllim të përfshijë të gjitha veprat penale të korrupsionit në kompetencë të gjykatave të posaçme apo thënë ndryshe se disa vepra penale të korrupsionit janë më pak të rëndësishme për t’u luftuar se sa disa të tjera, referuar vlerës së përfituar nga sjelljet korruptive, për rrjedhojë ligjvënësi mund të miratojë me ligj rregulla që këto lloj veprash penale të hiqen nga kompetenca lëndore e gjykatës së posaçme. </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Në vlerësimin tonë, qëllimi i normës kushtetuese ka qenë njësimi i rëndësisë që kanë fenomenet e korrupsionit dhe të krimit të organizuar për shtetin e së drejtës, që dikton edhe luftën e njëjtë ndaj tyre me struktura të dedikuara në nivel kushtetues dhe me garancitë funksionale të nevojshme. Në këtë pikëpamje, ashtu siç nuk bëhen ndarje të veprave penale të krimit të organizuar në të rëndësishme ose jo, ashtu nuk duhet të bëhen ndarje edhe për veprat penale të korrupsionit, sepse të gjitha këto vepra penale duhen luftuar, me qëllim çrrënjosjen pa kompromis të fenomenit të korrupsionit.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Parandalimi dhe lufta kundër korrupsionit në ditët e sotme përbëjnë një prej shqetësimeve më serioze të shoqërisë shqiptare, ashtu siç është edhe krimi i organizuar. Korrupsioni dhe krimi i organizuar meritojnë të etiketohen “gangrenë” e zhvillimit ekonomik dhe shoqëror, që gërryen qeverisjen e vendit, cenon deri në mohim të drejtat e njeriut dhe shkatërron besimin publik te shteti i së drejtës. Duke iu referuar konkluzioneve dhe rekomandimeve të Raportit të Barometrit për Ballkanin për vitin 2022 – Opinioni Publik, vihet re se: “</w:t>
      </w:r>
      <w:r w:rsidRPr="00A52B6C">
        <w:rPr>
          <w:rFonts w:ascii="Times New Roman" w:eastAsia="Times New Roman" w:hAnsi="Times New Roman"/>
          <w:i/>
          <w:sz w:val="24"/>
          <w:szCs w:val="24"/>
          <w:lang w:val="sq-AL"/>
        </w:rPr>
        <w:t xml:space="preserve">Lufta kundër korrupsionit duhet të jetë, gjithashtu, në mënyrë efektive ndër prioritetet e para të qeverive të të gjitha ekonomive dhe të palëve të tjera të interesuara, pasi jo vetëm që gërryen besimin në institucionet publike, por edhe minon mirëqenien e përgjithshme të </w:t>
      </w:r>
      <w:r w:rsidRPr="00A52B6C">
        <w:rPr>
          <w:rFonts w:ascii="Times New Roman" w:eastAsia="Times New Roman" w:hAnsi="Times New Roman"/>
          <w:i/>
          <w:sz w:val="24"/>
          <w:szCs w:val="24"/>
          <w:lang w:val="sq-AL"/>
        </w:rPr>
        <w:lastRenderedPageBreak/>
        <w:t>qytetarëve.</w:t>
      </w:r>
      <w:r w:rsidRPr="00A52B6C">
        <w:rPr>
          <w:rFonts w:ascii="Times New Roman" w:eastAsia="Times New Roman" w:hAnsi="Times New Roman"/>
          <w:sz w:val="24"/>
          <w:szCs w:val="24"/>
          <w:lang w:val="sq-AL"/>
        </w:rPr>
        <w:t>”.</w:t>
      </w:r>
      <w:r w:rsidRPr="00A52B6C">
        <w:rPr>
          <w:rFonts w:ascii="Times New Roman" w:eastAsia="Times New Roman" w:hAnsi="Times New Roman"/>
          <w:sz w:val="24"/>
          <w:szCs w:val="24"/>
          <w:vertAlign w:val="superscript"/>
          <w:lang w:val="sq-AL"/>
        </w:rPr>
        <w:footnoteReference w:id="2"/>
      </w:r>
      <w:r w:rsidRPr="00A52B6C">
        <w:rPr>
          <w:rFonts w:ascii="Times New Roman" w:eastAsia="Times New Roman" w:hAnsi="Times New Roman"/>
          <w:sz w:val="24"/>
          <w:szCs w:val="24"/>
          <w:lang w:val="sq-AL"/>
        </w:rPr>
        <w:t xml:space="preserve"> Po aty është evidentuar se tendenca më e rëndësishme që nga viti 2020 është rritja me 10% e masës së atyre që e shohin korrupsionin si çështjen më shqetësuese (nga 19%).</w:t>
      </w:r>
      <w:r w:rsidRPr="00A52B6C">
        <w:rPr>
          <w:rFonts w:ascii="Times New Roman" w:eastAsia="Times New Roman" w:hAnsi="Times New Roman"/>
          <w:sz w:val="24"/>
          <w:szCs w:val="24"/>
          <w:vertAlign w:val="superscript"/>
          <w:lang w:val="sq-AL"/>
        </w:rPr>
        <w:footnoteReference w:id="3"/>
      </w:r>
      <w:r w:rsidRPr="00A52B6C">
        <w:rPr>
          <w:rFonts w:ascii="Times New Roman" w:eastAsia="Times New Roman" w:hAnsi="Times New Roman"/>
          <w:sz w:val="24"/>
          <w:szCs w:val="24"/>
          <w:lang w:val="sq-AL"/>
        </w:rPr>
        <w:t xml:space="preserve"> </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color w:val="222222"/>
          <w:sz w:val="24"/>
          <w:szCs w:val="24"/>
          <w:lang w:val="sq-AL"/>
        </w:rPr>
        <w:t>Gjetjet e studimeve në këtë fushë tregojnë se shqiptarët mendojnë se korrupsioni është një rrezik më i lartë për sigurinë sesa krimi i organizuar. Konkretisht, 39.3% e shqiptarëve mendojnë se korrupsioni është kërcënimi kryesor për sigurinë në Shqipëri, në raport me 11.2 % që e kanë konsideruar krimin e organizuar si kërcënimin më serioz për sigurinë</w:t>
      </w:r>
      <w:r w:rsidRPr="00A52B6C">
        <w:rPr>
          <w:rFonts w:ascii="Times New Roman" w:eastAsia="Times New Roman" w:hAnsi="Times New Roman"/>
          <w:color w:val="222222"/>
          <w:sz w:val="24"/>
          <w:szCs w:val="24"/>
          <w:vertAlign w:val="superscript"/>
          <w:lang w:val="sq-AL"/>
        </w:rPr>
        <w:footnoteReference w:id="4"/>
      </w:r>
      <w:r w:rsidRPr="00A52B6C">
        <w:rPr>
          <w:rFonts w:ascii="Times New Roman" w:eastAsia="Times New Roman" w:hAnsi="Times New Roman"/>
          <w:color w:val="222222"/>
          <w:sz w:val="24"/>
          <w:szCs w:val="24"/>
          <w:lang w:val="sq-AL"/>
        </w:rPr>
        <w:t>.</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Po kështu, forcimi i masave në luftën kundër korrupsionit ka qenë kërkesë permanente dhe parësore e strukturave të Bashkimit Evropian, por edhe e partnerëve të tjerë evropianë e më gjerë që mbështesin Shqipërinë në rrugëtimin e saj drejt integrimit në strukturat evropiane dhe në forcimin e shtetit të së drejtës. Kështu, Komisioni Evropian në opinionin për aplikimin e Shqipërisë për anëtarësim në Bashkimin Evropian COM(2010)680, datë 09.11.2010, ka evidentuar se: “</w:t>
      </w:r>
      <w:r w:rsidRPr="00A52B6C">
        <w:rPr>
          <w:rFonts w:ascii="Times New Roman" w:eastAsia="Times New Roman" w:hAnsi="Times New Roman"/>
          <w:i/>
          <w:sz w:val="24"/>
          <w:szCs w:val="24"/>
          <w:lang w:val="sq-AL"/>
        </w:rPr>
        <w:t>Shqipëria ka bërë përpjekje gjatë viteve të fundit për të krijuar një kuadër ligjor dhe institucional për të luftuar korrupsionin, i cili tashmë është gjerësisht i vendosur. Pavarësisht këtyre përpjekjeve, korrupsioni është i përhapur në shumë fusha dhe përbën një problem veçanërisht serioz [...]. Shqipëria duhet të plotësojë kuadrin ligjor në fushën e luftës kundër korrupsionit dhe të adresojë pengesat për hetime efektive, veçanërisht të gjyqtarëve, ministrave dhe deputetëve që lidhen me imunitetin e pakufizuar të këtyre zyrtarëve publikë. Duhet të sigurohet zbatimi i plotë i strategjisë dhe planit të veprimit kundër korrupsionit dhe të krijohet një histori solide e hetimeve dhe ndjekjeve proaktive, si dhe e aktakuzave dhe dënimeve përfundimtare në rastet e korrupsionit në të gjitha nivelet</w:t>
      </w:r>
      <w:r w:rsidRPr="00A52B6C">
        <w:rPr>
          <w:rFonts w:ascii="Times New Roman" w:eastAsia="Times New Roman" w:hAnsi="Times New Roman"/>
          <w:sz w:val="24"/>
          <w:szCs w:val="24"/>
          <w:lang w:val="sq-AL"/>
        </w:rPr>
        <w:t>.”.</w:t>
      </w:r>
      <w:r w:rsidRPr="00A52B6C">
        <w:rPr>
          <w:rFonts w:ascii="Times New Roman" w:eastAsia="Times New Roman" w:hAnsi="Times New Roman"/>
          <w:sz w:val="24"/>
          <w:szCs w:val="24"/>
          <w:vertAlign w:val="superscript"/>
          <w:lang w:val="sq-AL"/>
        </w:rPr>
        <w:footnoteReference w:id="5"/>
      </w:r>
      <w:r w:rsidRPr="00A52B6C">
        <w:rPr>
          <w:rFonts w:ascii="Times New Roman" w:eastAsia="Times New Roman" w:hAnsi="Times New Roman"/>
          <w:sz w:val="24"/>
          <w:szCs w:val="24"/>
          <w:lang w:val="sq-AL"/>
        </w:rPr>
        <w:t xml:space="preserve"> </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Gjithashtu, në raportin e datës 24.09.2019, parlamenti gjerman (</w:t>
      </w:r>
      <w:r w:rsidRPr="00A52B6C">
        <w:rPr>
          <w:rFonts w:ascii="Times New Roman" w:eastAsia="Times New Roman" w:hAnsi="Times New Roman"/>
          <w:i/>
          <w:sz w:val="24"/>
          <w:szCs w:val="24"/>
          <w:lang w:val="sq-AL"/>
        </w:rPr>
        <w:t>Deutscher Bundestag</w:t>
      </w:r>
      <w:r w:rsidRPr="00A52B6C">
        <w:rPr>
          <w:rFonts w:ascii="Times New Roman" w:eastAsia="Times New Roman" w:hAnsi="Times New Roman"/>
          <w:sz w:val="24"/>
          <w:szCs w:val="24"/>
          <w:lang w:val="sq-AL"/>
        </w:rPr>
        <w:t xml:space="preserve">), ndër të tjera është shprehur se </w:t>
      </w:r>
      <w:r w:rsidRPr="00A52B6C">
        <w:rPr>
          <w:rFonts w:ascii="Times New Roman" w:eastAsia="Times New Roman" w:hAnsi="Times New Roman"/>
          <w:i/>
          <w:sz w:val="24"/>
          <w:szCs w:val="24"/>
          <w:lang w:val="sq-AL"/>
        </w:rPr>
        <w:t xml:space="preserve">“për të luftuar korrupsionin dhe krimin e organizuar u krijua struktura e posaçme e kërkuar SPAK, një gjykatë e posaçme për luftën kundër korrupsionit dhe krimit të organizuar [...]. Ndërkohë që hetimet proaktive, ndjekjet penale dhe dënimet në lidhje me korrupsionin dhe krimin e organizuar janë duke u zhvilluar, ato duhet të ndiqen me shpejtësi dhe energji në të gjitha nivelet, duke përfshirë edhe ato ndaj zyrtarëve të </w:t>
      </w:r>
      <w:r w:rsidRPr="00A52B6C">
        <w:rPr>
          <w:rFonts w:ascii="Times New Roman" w:eastAsia="Times New Roman" w:hAnsi="Times New Roman"/>
          <w:i/>
          <w:sz w:val="24"/>
          <w:szCs w:val="24"/>
          <w:lang w:val="sq-AL"/>
        </w:rPr>
        <w:lastRenderedPageBreak/>
        <w:t>lartë dhe politikanëve [...]. Konferenca e dytë e anëtarësimit do të zhvillohet vetëm dhe kapitujt e parë të negociatave nuk do të hapen derisa qeveria federale të ketë përcaktuar se Shqipëria plotëson kushtet e mëposhtme: [...] Ngritja e strukturës së posaçme për luftën kundër korrupsionit dhe krimit të organizuar, dhe aftësinë e tyre për të punuar [...].</w:t>
      </w:r>
      <w:r w:rsidRPr="00A52B6C">
        <w:rPr>
          <w:rFonts w:ascii="Times New Roman" w:eastAsia="Times New Roman" w:hAnsi="Times New Roman"/>
          <w:sz w:val="24"/>
          <w:szCs w:val="24"/>
          <w:lang w:val="sq-AL"/>
        </w:rPr>
        <w:t>”.</w:t>
      </w:r>
      <w:r w:rsidRPr="00A52B6C">
        <w:rPr>
          <w:rFonts w:ascii="Times New Roman" w:eastAsia="Times New Roman" w:hAnsi="Times New Roman"/>
          <w:sz w:val="24"/>
          <w:szCs w:val="24"/>
          <w:vertAlign w:val="superscript"/>
          <w:lang w:val="sq-AL"/>
        </w:rPr>
        <w:footnoteReference w:id="6"/>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Ndërsa përpara çeljes së negociatave, në mbledhjen e 25 marsit 2020, Këshilli Evropian rikonfirmoi mbështetjen politike dhe strategjike për anëtarësimin e Shqipërisë në BE dhe evidentoi se përgjegjësia për nisjen e negociatave iu takon autoriteteve shqiptare me plotësimin e kushteve. Ndër to përfshihen përfundimi i krijimit të strukturave të specializuara që luftojnë korrupsionin dhe krimin e organizuar, forcimi i luftës kundër korrupsionit dhe krimit të organizuar, përmes bashkëpunimit me vendet anëtare të BE-së dhe një planveprimi për zbatimin e rekomandimeve të FATF-ës (</w:t>
      </w:r>
      <w:r w:rsidRPr="00A52B6C">
        <w:rPr>
          <w:rFonts w:ascii="Times New Roman" w:eastAsia="Times New Roman" w:hAnsi="Times New Roman"/>
          <w:i/>
          <w:sz w:val="24"/>
          <w:szCs w:val="24"/>
          <w:lang w:val="sq-AL"/>
        </w:rPr>
        <w:t>Financial Action Task Force</w:t>
      </w:r>
      <w:r w:rsidRPr="00A52B6C">
        <w:rPr>
          <w:rFonts w:ascii="Times New Roman" w:eastAsia="Times New Roman" w:hAnsi="Times New Roman"/>
          <w:sz w:val="24"/>
          <w:szCs w:val="24"/>
          <w:lang w:val="sq-AL"/>
        </w:rPr>
        <w:t>), si dhe pasja e një baze të gjurmueshme të dhënash solide për luftën kundër korrupsionit dhe krimit të organizuar në të gjitha nivelet, përfshirë nisjen dhe përfundimin e procedimeve të para kundër zyrtarëve të lartë dhe politikanëve.</w:t>
      </w:r>
      <w:r w:rsidRPr="00A52B6C">
        <w:rPr>
          <w:rFonts w:ascii="Times New Roman" w:eastAsia="Times New Roman" w:hAnsi="Times New Roman"/>
          <w:sz w:val="24"/>
          <w:szCs w:val="24"/>
          <w:vertAlign w:val="superscript"/>
          <w:lang w:val="sq-AL"/>
        </w:rPr>
        <w:footnoteReference w:id="7"/>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Në Raportin e Departamentit Amerikan të Shtetit për të drejtat e njeriut të vitit 2021, është evidentuar: “</w:t>
      </w:r>
      <w:r w:rsidRPr="00A52B6C">
        <w:rPr>
          <w:rFonts w:ascii="Times New Roman" w:eastAsia="Times New Roman" w:hAnsi="Times New Roman"/>
          <w:i/>
          <w:iCs/>
          <w:sz w:val="24"/>
          <w:szCs w:val="24"/>
          <w:lang w:val="sq-AL"/>
        </w:rPr>
        <w:t>Ç</w:t>
      </w:r>
      <w:r w:rsidRPr="00A52B6C">
        <w:rPr>
          <w:rFonts w:ascii="Times New Roman" w:eastAsia="Times New Roman" w:hAnsi="Times New Roman"/>
          <w:i/>
          <w:iCs/>
          <w:color w:val="000000"/>
          <w:sz w:val="24"/>
          <w:szCs w:val="24"/>
          <w:lang w:val="sq-AL"/>
        </w:rPr>
        <w:t>ështjet kryesore të të drejtave të njeriut përfshin: problemet me pavarësinë e gjyqësorit teksa ai vazhdonte t’i nënshtrohej vetingut; kufizimet ndaj shprehjes së lirë dhe shtypit; korrupsionin e përhapur në të gjitha degët e qeverisë dhe institucionet bashkiake. Pandëshkueshmëria mbeti problem serioz, megjithëse Struktura e Posaçme për Luftën kundër Korrupsionit dhe gjykatat kundër korrupsionit përparuan dukshëm gjatë vitit në hetimin, ndjekjen penale dhe dënimin e zyrtarëve të lartë dhe kriminelëve</w:t>
      </w:r>
      <w:r w:rsidRPr="00A52B6C">
        <w:rPr>
          <w:rFonts w:ascii="Times New Roman" w:eastAsia="Times New Roman" w:hAnsi="Times New Roman"/>
          <w:color w:val="000000"/>
          <w:sz w:val="24"/>
          <w:szCs w:val="24"/>
          <w:lang w:val="sq-AL"/>
        </w:rPr>
        <w:t>.”.</w:t>
      </w:r>
      <w:r w:rsidRPr="00A52B6C">
        <w:rPr>
          <w:rFonts w:ascii="Times New Roman" w:eastAsia="Times New Roman" w:hAnsi="Times New Roman"/>
          <w:bCs/>
          <w:color w:val="000000"/>
          <w:sz w:val="24"/>
          <w:szCs w:val="24"/>
          <w:vertAlign w:val="superscript"/>
          <w:lang w:val="sq-AL"/>
        </w:rPr>
        <w:footnoteReference w:id="8"/>
      </w:r>
      <w:r w:rsidRPr="00A52B6C">
        <w:rPr>
          <w:rFonts w:ascii="Times New Roman" w:eastAsia="Times New Roman" w:hAnsi="Times New Roman"/>
          <w:bCs/>
          <w:color w:val="000000"/>
          <w:sz w:val="24"/>
          <w:szCs w:val="24"/>
          <w:vertAlign w:val="superscript"/>
          <w:lang w:val="sq-AL"/>
        </w:rPr>
        <w:t xml:space="preserve"> </w:t>
      </w:r>
      <w:r w:rsidRPr="00A52B6C">
        <w:rPr>
          <w:rFonts w:ascii="Times New Roman" w:eastAsia="Times New Roman" w:hAnsi="Times New Roman"/>
          <w:color w:val="000000"/>
          <w:sz w:val="24"/>
          <w:szCs w:val="24"/>
          <w:lang w:val="sq-AL"/>
        </w:rPr>
        <w:t xml:space="preserve">Sipas këtij raporti, korrupsioni ka shtrirje </w:t>
      </w:r>
      <w:r w:rsidRPr="00A52B6C">
        <w:rPr>
          <w:rFonts w:ascii="Times New Roman" w:eastAsia="Times New Roman" w:hAnsi="Times New Roman"/>
          <w:sz w:val="24"/>
          <w:szCs w:val="24"/>
          <w:lang w:val="sq-AL"/>
        </w:rPr>
        <w:t>në burgje dhe qendra paraburgimi, gjyqësor, media, qeveri dhe polici</w:t>
      </w:r>
      <w:r w:rsidRPr="00A52B6C">
        <w:rPr>
          <w:rFonts w:ascii="Times New Roman" w:eastAsia="Times New Roman" w:hAnsi="Times New Roman"/>
          <w:color w:val="000000"/>
          <w:sz w:val="24"/>
          <w:szCs w:val="24"/>
          <w:lang w:val="sq-AL"/>
        </w:rPr>
        <w:t>, që do të thotë se ai është i përhapur në shumë sektorë, përtej krimit të organizuar.</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 xml:space="preserve">Së fundmi, vlerësojmë se nuk qëndron argumenti i parashtruar nga subjektet e interesuara se ligjvënësi mund të rregullojë kompetencën lëndore për disa vepra penale që nuk kanë rëndësi të veçantë, me qëllim rritjen e eficiencës së veprimtarisë së gjykatës dhe Prokurorisë së Posaçme. Më konkretisht, ato janë shprehur se përcaktimi i kompetencës lëndore </w:t>
      </w:r>
      <w:r w:rsidRPr="00A52B6C">
        <w:rPr>
          <w:rFonts w:ascii="Times New Roman" w:eastAsia="Times New Roman" w:hAnsi="Times New Roman"/>
          <w:sz w:val="24"/>
          <w:szCs w:val="24"/>
          <w:lang w:val="sq-AL"/>
        </w:rPr>
        <w:lastRenderedPageBreak/>
        <w:t>të gjykatës që do të shqyrtojë çështjen në varësi të vlerës së përfitimit krijon mundësi reale që Prokuroria e Posaçme të fokusohet në ato çështje penale të cilat kanë rëndësi të veçantë për shkak të natyrës së tyre, rrezikshmërisë së lartë shoqërore, ndikimit të pasojave që ato sjellin në shoqëri, si dhe nivelit të korrupsionit dhe se dispozita objekt gjykimi kushtetues synon, gjithashtu, edhe garantimin e standardit të procesit të rregullt ligjor, duke përfshirë edhe atë të gjykimit brenda një afati të arsyeshëm (</w:t>
      </w:r>
      <w:r w:rsidRPr="00A52B6C">
        <w:rPr>
          <w:rFonts w:ascii="Times New Roman" w:eastAsia="Times New Roman" w:hAnsi="Times New Roman"/>
          <w:i/>
          <w:sz w:val="24"/>
          <w:szCs w:val="24"/>
          <w:lang w:val="sq-AL"/>
        </w:rPr>
        <w:t>shih paragrafin 30 të vendimit</w:t>
      </w:r>
      <w:r w:rsidRPr="00A52B6C">
        <w:rPr>
          <w:rFonts w:ascii="Times New Roman" w:eastAsia="Times New Roman" w:hAnsi="Times New Roman"/>
          <w:sz w:val="24"/>
          <w:szCs w:val="24"/>
          <w:lang w:val="sq-AL"/>
        </w:rPr>
        <w:t>). Mirëpo, siç ka pohuar Gjykata në çështje kushtetuese të lidhura me respektimin e së drejtës për proces të rregullt ligjor, ngarkesa e punës nuk përbën argument kushtetues (</w:t>
      </w:r>
      <w:r w:rsidRPr="00A52B6C">
        <w:rPr>
          <w:rFonts w:ascii="Times New Roman" w:eastAsia="Times New Roman" w:hAnsi="Times New Roman"/>
          <w:i/>
          <w:sz w:val="24"/>
          <w:szCs w:val="24"/>
          <w:lang w:val="sq-AL"/>
        </w:rPr>
        <w:t>shih vendimet nr. 3, datë 17.02.2022; nr. 2, datë 17.02.2022; nr. 33, datë 01.11.2021 të Gjykatës Kushtetuese</w:t>
      </w:r>
      <w:r w:rsidRPr="00A52B6C">
        <w:rPr>
          <w:rFonts w:ascii="Times New Roman" w:eastAsia="Times New Roman" w:hAnsi="Times New Roman"/>
          <w:sz w:val="24"/>
          <w:szCs w:val="24"/>
          <w:lang w:val="sq-AL"/>
        </w:rPr>
        <w:t>). Për më tepër, vetë kushtetutëbërësi ka përcaktuar garanci të tilla kushtetuese që t’i përgjigjen performimit profesional të gjykatave të posaçme që gjykojnë veprat penale të korrupsionit dhe krimit të organizuar, përfshirë edhe Prokurorinë e Posaçme, ku, për këtë të fundit, në nenin 148/dh, pika 2, është përcaktuar qartësisht përbërja “</w:t>
      </w:r>
      <w:r w:rsidRPr="00A52B6C">
        <w:rPr>
          <w:rFonts w:ascii="Times New Roman" w:eastAsia="Times New Roman" w:hAnsi="Times New Roman"/>
          <w:sz w:val="24"/>
          <w:szCs w:val="24"/>
          <w:u w:val="single"/>
          <w:lang w:val="sq-AL"/>
        </w:rPr>
        <w:t>nga të paktën 10 prokurorë”</w:t>
      </w:r>
      <w:r w:rsidRPr="00A52B6C">
        <w:rPr>
          <w:rFonts w:ascii="Times New Roman" w:eastAsia="Times New Roman" w:hAnsi="Times New Roman"/>
          <w:sz w:val="24"/>
          <w:szCs w:val="24"/>
          <w:lang w:val="sq-AL"/>
        </w:rPr>
        <w:t xml:space="preserve">. Në thelb të këtyre garancive qëndron fakti se organet e qeverisjes së sistemit të drejtësisë, sikurse Këshilli i Lartë i Prokurorisë dhe Këshilli i Lartë Gjyqësor, kanë kompetencën kushtetuese për të marrë masat e duhura për të siguruar pavarësinë, përgjegjshmërinë dhe mbarëvajtjen e prokurorisë dhe gjykatës së posaçme që hetojnë dhe gjykojnë veprat penale të korrupsionit dhe krimit të organizuar (nenet 149, pika 1 dhe 147, pika 1, të Kushtetutës). Po kështu, gjyqtarët dhe prokurorët e këtyre strukturave rekrutohen sipas një skeme të posaçme kushtetuese, me theks te profesionalizmi, pavarësia dhe integriteti (nenet 135, pika 4, 148, pika 4 dhe 148/dh, pikat 2, 3 dhe 5, të Kushtetutës). Kjo zgjidhje kushtetuese pa asnjë dyshim i shërben efektivitetit të këtyre strukturave dhe njëherazi edhe ndjekjes së politikës penale të unifikuar në luftën kundër korrupsionit, e cila, me zgjidhjen që ka bërë Kuvendi, rrezikon të copëzohet. </w:t>
      </w:r>
    </w:p>
    <w:p w:rsidR="00A52B6C" w:rsidRPr="00A52B6C" w:rsidRDefault="00A52B6C" w:rsidP="00A52B6C">
      <w:pPr>
        <w:numPr>
          <w:ilvl w:val="0"/>
          <w:numId w:val="10"/>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A52B6C">
        <w:rPr>
          <w:rFonts w:ascii="Times New Roman" w:eastAsia="Times New Roman" w:hAnsi="Times New Roman"/>
          <w:sz w:val="24"/>
          <w:szCs w:val="24"/>
          <w:lang w:val="sq-AL"/>
        </w:rPr>
        <w:t>Në përmbledhje të të gjitha argumenteve të mësipërme, vlerësojmë se kërkesa e gjykatës referuese duhet të ishte pranuar, pasi togfjalëshi “paragrafi 2”, pas “244”, në shkronjën “a” të nenit 7 të ligjit nr. 41/2021 bie në kundërshtim me nenet 135, pika 2, 148, pika 4 dhe 148/dh të Kushtetutës dhe, për rrjedhojë, duhet të ishte shfuqizuar.</w:t>
      </w:r>
    </w:p>
    <w:p w:rsidR="00A52B6C" w:rsidRDefault="00A52B6C" w:rsidP="00A52B6C">
      <w:pPr>
        <w:tabs>
          <w:tab w:val="left" w:pos="1080"/>
        </w:tabs>
        <w:spacing w:after="0" w:line="360" w:lineRule="auto"/>
        <w:jc w:val="both"/>
        <w:rPr>
          <w:rFonts w:ascii="Times New Roman" w:hAnsi="Times New Roman"/>
          <w:b/>
          <w:sz w:val="24"/>
          <w:szCs w:val="24"/>
          <w:lang w:val="sq-AL"/>
        </w:rPr>
      </w:pPr>
    </w:p>
    <w:p w:rsidR="007C4DB9" w:rsidRDefault="0088585D" w:rsidP="00A52B6C">
      <w:pPr>
        <w:tabs>
          <w:tab w:val="left" w:pos="1080"/>
        </w:tabs>
        <w:spacing w:after="0" w:line="360" w:lineRule="auto"/>
        <w:jc w:val="both"/>
        <w:rPr>
          <w:rFonts w:ascii="Times New Roman" w:hAnsi="Times New Roman"/>
          <w:sz w:val="24"/>
          <w:szCs w:val="24"/>
          <w:lang w:val="sq-AL"/>
        </w:rPr>
      </w:pPr>
      <w:r>
        <w:rPr>
          <w:rFonts w:ascii="Times New Roman" w:hAnsi="Times New Roman"/>
          <w:b/>
          <w:sz w:val="24"/>
          <w:szCs w:val="24"/>
          <w:lang w:val="sq-AL"/>
        </w:rPr>
        <w:t>An</w:t>
      </w:r>
      <w:r w:rsidRPr="0088585D">
        <w:rPr>
          <w:rFonts w:ascii="Times New Roman" w:eastAsia="Times New Roman" w:hAnsi="Times New Roman"/>
          <w:b/>
          <w:sz w:val="24"/>
          <w:szCs w:val="24"/>
          <w:lang w:val="sq-AL"/>
        </w:rPr>
        <w:t>ë</w:t>
      </w:r>
      <w:r>
        <w:rPr>
          <w:rFonts w:ascii="Times New Roman" w:hAnsi="Times New Roman"/>
          <w:b/>
          <w:sz w:val="24"/>
          <w:szCs w:val="24"/>
          <w:lang w:val="sq-AL"/>
        </w:rPr>
        <w:t>tar</w:t>
      </w:r>
      <w:r>
        <w:rPr>
          <w:rFonts w:ascii="Times New Roman" w:eastAsia="Times New Roman" w:hAnsi="Times New Roman"/>
          <w:b/>
          <w:sz w:val="24"/>
          <w:szCs w:val="24"/>
          <w:lang w:val="sq-AL"/>
        </w:rPr>
        <w:t>e</w:t>
      </w:r>
      <w:r>
        <w:rPr>
          <w:rFonts w:ascii="Times New Roman" w:hAnsi="Times New Roman"/>
          <w:b/>
          <w:sz w:val="24"/>
          <w:szCs w:val="24"/>
          <w:lang w:val="sq-AL"/>
        </w:rPr>
        <w:t xml:space="preserve">: Sonila Bejtja, </w:t>
      </w:r>
      <w:r w:rsidR="00A52B6C" w:rsidRPr="000473F9">
        <w:rPr>
          <w:rFonts w:ascii="Times New Roman" w:hAnsi="Times New Roman"/>
          <w:b/>
          <w:sz w:val="24"/>
          <w:szCs w:val="24"/>
          <w:lang w:val="sq-AL"/>
        </w:rPr>
        <w:t>Marsida Xhaferllari</w:t>
      </w:r>
    </w:p>
    <w:p w:rsidR="007C4DB9" w:rsidRDefault="007C4DB9" w:rsidP="007C4DB9">
      <w:pPr>
        <w:rPr>
          <w:rFonts w:ascii="Times New Roman" w:hAnsi="Times New Roman"/>
          <w:sz w:val="24"/>
          <w:szCs w:val="24"/>
          <w:lang w:val="sq-AL"/>
        </w:rPr>
      </w:pPr>
    </w:p>
    <w:p w:rsidR="00A52B6C" w:rsidRPr="007C4DB9" w:rsidRDefault="00A52B6C" w:rsidP="007C4DB9">
      <w:pPr>
        <w:spacing w:after="0" w:line="240" w:lineRule="auto"/>
        <w:jc w:val="center"/>
        <w:rPr>
          <w:rFonts w:ascii="Times New Roman" w:hAnsi="Times New Roman"/>
          <w:sz w:val="24"/>
          <w:szCs w:val="24"/>
          <w:lang w:val="sq-AL"/>
        </w:rPr>
      </w:pPr>
    </w:p>
    <w:sectPr w:rsidR="00A52B6C" w:rsidRPr="007C4DB9" w:rsidSect="004F4EBA">
      <w:footerReference w:type="default" r:id="rId8"/>
      <w:headerReference w:type="first" r:id="rId9"/>
      <w:footerReference w:type="first" r:id="rId10"/>
      <w:pgSz w:w="11906" w:h="16838"/>
      <w:pgMar w:top="990" w:right="1376" w:bottom="1350" w:left="1440" w:header="720" w:footer="31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C07F" w16cex:dateUtc="2022-07-04T17:39:00Z"/>
  <w16cex:commentExtensible w16cex:durableId="266DC0D1" w16cex:dateUtc="2022-07-04T17:41:00Z"/>
  <w16cex:commentExtensible w16cex:durableId="266DC1DD" w16cex:dateUtc="2022-07-04T17:45:00Z"/>
  <w16cex:commentExtensible w16cex:durableId="266DC11C" w16cex:dateUtc="2022-07-04T17:42:00Z"/>
  <w16cex:commentExtensible w16cex:durableId="266DC146" w16cex:dateUtc="2022-07-04T17:43:00Z"/>
  <w16cex:commentExtensible w16cex:durableId="266DC168" w16cex:dateUtc="2022-07-04T17:43:00Z"/>
  <w16cex:commentExtensible w16cex:durableId="266DC528" w16cex:dateUtc="2022-07-04T17:59:00Z"/>
  <w16cex:commentExtensible w16cex:durableId="266DC244" w16cex:dateUtc="2022-07-04T17:47:00Z"/>
  <w16cex:commentExtensible w16cex:durableId="266DC443" w16cex:dateUtc="2022-07-04T17:55:00Z"/>
  <w16cex:commentExtensible w16cex:durableId="266DC315" w16cex:dateUtc="2022-07-04T17:50:00Z"/>
  <w16cex:commentExtensible w16cex:durableId="266DC354" w16cex:dateUtc="2022-07-04T17:51:00Z"/>
  <w16cex:commentExtensible w16cex:durableId="266DC3F8" w16cex:dateUtc="2022-07-04T17:54:00Z"/>
  <w16cex:commentExtensible w16cex:durableId="266DC3D9" w16cex:dateUtc="2022-07-04T17:54:00Z"/>
  <w16cex:commentExtensible w16cex:durableId="266DC3C3" w16cex:dateUtc="2022-07-04T17: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11" w:rsidRDefault="00AE7911" w:rsidP="00D758EA">
      <w:pPr>
        <w:spacing w:after="0" w:line="240" w:lineRule="auto"/>
      </w:pPr>
      <w:r>
        <w:separator/>
      </w:r>
    </w:p>
  </w:endnote>
  <w:endnote w:type="continuationSeparator" w:id="0">
    <w:p w:rsidR="00AE7911" w:rsidRDefault="00AE7911" w:rsidP="00D7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5B" w:rsidRPr="004E7EFE" w:rsidRDefault="00D5535B" w:rsidP="0007081C">
    <w:pPr>
      <w:pStyle w:val="Footer"/>
      <w:pBdr>
        <w:top w:val="thinThickSmallGap" w:sz="24" w:space="1" w:color="622423"/>
      </w:pBdr>
      <w:spacing w:after="0" w:line="240" w:lineRule="auto"/>
      <w:rPr>
        <w:rFonts w:ascii="Cambria" w:hAnsi="Cambria"/>
        <w:lang w:val="sq-AL"/>
      </w:rPr>
    </w:pPr>
    <w:r w:rsidRPr="004E7EFE">
      <w:rPr>
        <w:rFonts w:ascii="Cambria" w:hAnsi="Cambria"/>
        <w:lang w:val="sq-AL"/>
      </w:rPr>
      <w:t xml:space="preserve">Vendim i </w:t>
    </w:r>
    <w:r>
      <w:rPr>
        <w:rFonts w:ascii="Cambria" w:hAnsi="Cambria"/>
        <w:lang w:val="sq-AL"/>
      </w:rPr>
      <w:t>Gjykatës Kushtetuese</w:t>
    </w:r>
  </w:p>
  <w:p w:rsidR="00D5535B" w:rsidRPr="004E7EFE" w:rsidRDefault="00D5535B" w:rsidP="0007081C">
    <w:pPr>
      <w:pStyle w:val="Footer"/>
      <w:pBdr>
        <w:top w:val="thinThickSmallGap" w:sz="24" w:space="1" w:color="622423"/>
      </w:pBdr>
      <w:tabs>
        <w:tab w:val="clear" w:pos="4680"/>
      </w:tabs>
      <w:spacing w:after="0" w:line="240" w:lineRule="auto"/>
      <w:rPr>
        <w:rFonts w:ascii="Cambria" w:hAnsi="Cambria"/>
        <w:lang w:val="sq-AL"/>
      </w:rPr>
    </w:pPr>
    <w:r w:rsidRPr="004E7EFE">
      <w:rPr>
        <w:rFonts w:ascii="Cambria" w:hAnsi="Cambria"/>
        <w:lang w:val="sq-AL"/>
      </w:rPr>
      <w:t>Kërkues</w:t>
    </w:r>
    <w:r>
      <w:rPr>
        <w:rFonts w:ascii="Cambria" w:hAnsi="Cambria"/>
        <w:lang w:val="sq-AL"/>
      </w:rPr>
      <w:t>e</w:t>
    </w:r>
    <w:r w:rsidRPr="004E7EFE">
      <w:rPr>
        <w:rFonts w:ascii="Cambria" w:hAnsi="Cambria"/>
        <w:lang w:val="sq-AL"/>
      </w:rPr>
      <w:t>:</w:t>
    </w:r>
    <w:r>
      <w:rPr>
        <w:rFonts w:ascii="Cambria" w:hAnsi="Cambria"/>
        <w:lang w:val="sq-AL"/>
      </w:rPr>
      <w:t xml:space="preserve"> Gjykata e Rrethit Gjyqësor Korçë</w:t>
    </w:r>
    <w:r w:rsidRPr="004E7EFE">
      <w:rPr>
        <w:rFonts w:ascii="Cambria" w:hAnsi="Cambria"/>
        <w:lang w:val="sq-AL"/>
      </w:rPr>
      <w:tab/>
      <w:t xml:space="preserve">Faqe </w:t>
    </w:r>
    <w:r w:rsidRPr="004E7EFE">
      <w:rPr>
        <w:lang w:val="sq-AL"/>
      </w:rPr>
      <w:fldChar w:fldCharType="begin"/>
    </w:r>
    <w:r w:rsidRPr="004E7EFE">
      <w:rPr>
        <w:lang w:val="sq-AL"/>
      </w:rPr>
      <w:instrText xml:space="preserve"> PAGE   \* MERGEFORMAT </w:instrText>
    </w:r>
    <w:r w:rsidRPr="004E7EFE">
      <w:rPr>
        <w:lang w:val="sq-AL"/>
      </w:rPr>
      <w:fldChar w:fldCharType="separate"/>
    </w:r>
    <w:r w:rsidR="0048236E" w:rsidRPr="0048236E">
      <w:rPr>
        <w:rFonts w:ascii="Cambria" w:hAnsi="Cambria"/>
        <w:noProof/>
        <w:lang w:val="sq-AL"/>
      </w:rPr>
      <w:t>21</w:t>
    </w:r>
    <w:r w:rsidRPr="004E7EFE">
      <w:rPr>
        <w:lang w:val="sq-AL"/>
      </w:rPr>
      <w:fldChar w:fldCharType="end"/>
    </w:r>
  </w:p>
  <w:p w:rsidR="00D5535B" w:rsidRPr="0007081C" w:rsidRDefault="00D5535B" w:rsidP="0007081C">
    <w:pPr>
      <w:pStyle w:val="Footer"/>
      <w:jc w:val="right"/>
      <w:rPr>
        <w:lang w:val="sq-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5B" w:rsidRPr="00770FA3" w:rsidRDefault="00D5535B">
    <w:pPr>
      <w:pStyle w:val="Footer"/>
      <w:jc w:val="right"/>
      <w:rPr>
        <w:rFonts w:ascii="Times New Roman" w:hAnsi="Times New Roman"/>
      </w:rPr>
    </w:pPr>
  </w:p>
  <w:p w:rsidR="00D5535B" w:rsidRDefault="00D5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11" w:rsidRDefault="00AE7911" w:rsidP="00D758EA">
      <w:pPr>
        <w:spacing w:after="0" w:line="240" w:lineRule="auto"/>
      </w:pPr>
      <w:r>
        <w:separator/>
      </w:r>
    </w:p>
  </w:footnote>
  <w:footnote w:type="continuationSeparator" w:id="0">
    <w:p w:rsidR="00AE7911" w:rsidRDefault="00AE7911" w:rsidP="00D758EA">
      <w:pPr>
        <w:spacing w:after="0" w:line="240" w:lineRule="auto"/>
      </w:pPr>
      <w:r>
        <w:continuationSeparator/>
      </w:r>
    </w:p>
  </w:footnote>
  <w:footnote w:id="1">
    <w:p w:rsidR="00A52B6C" w:rsidRPr="00E94303" w:rsidRDefault="00A52B6C" w:rsidP="00A52B6C">
      <w:pPr>
        <w:pStyle w:val="FootnoteText"/>
        <w:jc w:val="both"/>
        <w:rPr>
          <w:lang w:val="sq-AL"/>
        </w:rPr>
      </w:pPr>
      <w:r w:rsidRPr="00E94303">
        <w:rPr>
          <w:rStyle w:val="FootnoteReference"/>
          <w:lang w:val="sq-AL"/>
        </w:rPr>
        <w:footnoteRef/>
      </w:r>
      <w:r w:rsidRPr="00E94303">
        <w:rPr>
          <w:lang w:val="sq-AL"/>
        </w:rPr>
        <w:t xml:space="preserve"> Shih: </w:t>
      </w:r>
      <w:hyperlink r:id="rId1" w:history="1">
        <w:r w:rsidRPr="00E94303">
          <w:rPr>
            <w:rStyle w:val="Hyperlink1"/>
            <w:lang w:val="sq-AL"/>
          </w:rPr>
          <w:t>http://ipls.org/wp-content/uploads/2020/07/Komentar-Mbi-reformen-kushtetuese-final.pdf - faqe 149</w:t>
        </w:r>
      </w:hyperlink>
      <w:r w:rsidRPr="00E94303">
        <w:rPr>
          <w:lang w:val="sq-AL"/>
        </w:rPr>
        <w:t xml:space="preserve">, paragrafi 17, faqe 311, paragrafi 3 dhe faqe 374, paragrafi 1 - aksesuar për herë të fundit më 25.07.2022.   </w:t>
      </w:r>
    </w:p>
  </w:footnote>
  <w:footnote w:id="2">
    <w:p w:rsidR="00A52B6C" w:rsidRPr="00E94303" w:rsidRDefault="00A52B6C" w:rsidP="00A52B6C">
      <w:pPr>
        <w:pStyle w:val="FootnoteText"/>
        <w:rPr>
          <w:lang w:val="sq-AL"/>
        </w:rPr>
      </w:pPr>
      <w:r w:rsidRPr="00E94303">
        <w:rPr>
          <w:rStyle w:val="FootnoteReference"/>
          <w:lang w:val="sq-AL"/>
        </w:rPr>
        <w:footnoteRef/>
      </w:r>
      <w:r w:rsidRPr="00E94303">
        <w:rPr>
          <w:lang w:val="sq-AL"/>
        </w:rPr>
        <w:t xml:space="preserve"> </w:t>
      </w:r>
      <w:r w:rsidRPr="00E94303">
        <w:rPr>
          <w:lang w:val="sq-AL"/>
        </w:rPr>
        <w:t xml:space="preserve">Shih </w:t>
      </w:r>
      <w:hyperlink r:id="rId2" w:history="1">
        <w:r w:rsidRPr="00E94303">
          <w:rPr>
            <w:rStyle w:val="Hyperlink1"/>
            <w:lang w:val="sq-AL"/>
          </w:rPr>
          <w:t>https://www.rcc.int/balkanbarometer/publications</w:t>
        </w:r>
      </w:hyperlink>
      <w:r w:rsidRPr="00E94303">
        <w:rPr>
          <w:lang w:val="sq-AL"/>
        </w:rPr>
        <w:t xml:space="preserve"> – BB 22 “Balkan Barometer 2022 – Public Opinion”, fjalia e fundit në faqen 150 - aksesuar për herë të fundit më 25.07.2022. </w:t>
      </w:r>
    </w:p>
  </w:footnote>
  <w:footnote w:id="3">
    <w:p w:rsidR="00A52B6C" w:rsidRPr="00E94303" w:rsidRDefault="00A52B6C" w:rsidP="00A52B6C">
      <w:pPr>
        <w:pStyle w:val="FootnoteText"/>
        <w:jc w:val="both"/>
        <w:rPr>
          <w:lang w:val="sq-AL"/>
        </w:rPr>
      </w:pPr>
      <w:r w:rsidRPr="00E94303">
        <w:rPr>
          <w:rStyle w:val="FootnoteReference"/>
          <w:lang w:val="sq-AL"/>
        </w:rPr>
        <w:footnoteRef/>
      </w:r>
      <w:r w:rsidRPr="00E94303">
        <w:rPr>
          <w:lang w:val="sq-AL"/>
        </w:rPr>
        <w:t xml:space="preserve"> </w:t>
      </w:r>
      <w:r w:rsidRPr="00E94303">
        <w:rPr>
          <w:lang w:val="sq-AL"/>
        </w:rPr>
        <w:t xml:space="preserve">Po aty, paragrafi i dytë në faqen 135 - aksesuar për herë të fundit më 25.07.2022. </w:t>
      </w:r>
    </w:p>
  </w:footnote>
  <w:footnote w:id="4">
    <w:p w:rsidR="00A52B6C" w:rsidRPr="00E94303" w:rsidRDefault="00A52B6C" w:rsidP="00A52B6C">
      <w:pPr>
        <w:pStyle w:val="FootnoteText"/>
        <w:rPr>
          <w:lang w:val="sq-AL"/>
        </w:rPr>
      </w:pPr>
      <w:r w:rsidRPr="00E94303">
        <w:rPr>
          <w:rStyle w:val="FootnoteReference"/>
          <w:lang w:val="sq-AL"/>
        </w:rPr>
        <w:footnoteRef/>
      </w:r>
      <w:r w:rsidRPr="00E94303">
        <w:rPr>
          <w:lang w:val="sq-AL"/>
        </w:rPr>
        <w:t xml:space="preserve"> </w:t>
      </w:r>
      <w:r w:rsidRPr="00E94303">
        <w:rPr>
          <w:lang w:val="sq-AL"/>
        </w:rPr>
        <w:t xml:space="preserve">Shih </w:t>
      </w:r>
      <w:hyperlink r:id="rId3" w:history="1">
        <w:r w:rsidRPr="00E94303">
          <w:rPr>
            <w:rStyle w:val="Hyperlink1"/>
            <w:lang w:val="sq-AL"/>
          </w:rPr>
          <w:t>http://csdgalbania.org/sq/wp-content/uploads/2022/06/BSHS-2022-ALB.pdf</w:t>
        </w:r>
      </w:hyperlink>
      <w:r w:rsidRPr="00E94303">
        <w:rPr>
          <w:lang w:val="sq-AL"/>
        </w:rPr>
        <w:t xml:space="preserve"> - Barometri i Sigurisë Shqipëri – Anketë Kombëtare, faqe 24 - aksesuar për herë të fundit më 25.07.2022.   </w:t>
      </w:r>
    </w:p>
  </w:footnote>
  <w:footnote w:id="5">
    <w:p w:rsidR="00A52B6C" w:rsidRPr="00E94303" w:rsidRDefault="00A52B6C" w:rsidP="00A52B6C">
      <w:pPr>
        <w:pStyle w:val="FootnoteText"/>
        <w:rPr>
          <w:lang w:val="sq-AL"/>
        </w:rPr>
      </w:pPr>
      <w:r w:rsidRPr="00E94303">
        <w:rPr>
          <w:rStyle w:val="FootnoteReference"/>
          <w:lang w:val="sq-AL"/>
        </w:rPr>
        <w:footnoteRef/>
      </w:r>
      <w:r w:rsidRPr="00E94303">
        <w:rPr>
          <w:lang w:val="sq-AL"/>
        </w:rPr>
        <w:t xml:space="preserve"> </w:t>
      </w:r>
      <w:hyperlink r:id="rId4" w:history="1">
        <w:r w:rsidRPr="00E94303">
          <w:rPr>
            <w:rStyle w:val="Hyperlink1"/>
            <w:lang w:val="sq-AL"/>
          </w:rPr>
          <w:t>https://www.parlament.al/Files/Integrimi/opinioni.pdf</w:t>
        </w:r>
      </w:hyperlink>
      <w:r w:rsidRPr="00E94303">
        <w:rPr>
          <w:lang w:val="sq-AL"/>
        </w:rPr>
        <w:t xml:space="preserve"> </w:t>
      </w:r>
      <w:r w:rsidRPr="00E94303">
        <w:rPr>
          <w:lang w:val="sq-AL"/>
        </w:rPr>
        <w:t xml:space="preserve">- faqe 6 - aksesuar për herë të fundit më 25.07.2022.   </w:t>
      </w:r>
    </w:p>
  </w:footnote>
  <w:footnote w:id="6">
    <w:p w:rsidR="00A52B6C" w:rsidRPr="00E94303" w:rsidRDefault="00A52B6C" w:rsidP="00A52B6C">
      <w:pPr>
        <w:pStyle w:val="FootnoteText"/>
        <w:rPr>
          <w:lang w:val="sq-AL"/>
        </w:rPr>
      </w:pPr>
      <w:r w:rsidRPr="00E94303">
        <w:rPr>
          <w:rStyle w:val="FootnoteReference"/>
          <w:lang w:val="sq-AL"/>
        </w:rPr>
        <w:footnoteRef/>
      </w:r>
      <w:r w:rsidRPr="00E94303">
        <w:rPr>
          <w:lang w:val="sq-AL"/>
        </w:rPr>
        <w:t xml:space="preserve"> </w:t>
      </w:r>
      <w:hyperlink r:id="rId5" w:history="1">
        <w:r w:rsidRPr="00E94303">
          <w:rPr>
            <w:rStyle w:val="Hyperlink1"/>
            <w:lang w:val="sq-AL"/>
          </w:rPr>
          <w:t>https://dserver.bundestag.de/btd/19/135/1913509.pdf</w:t>
        </w:r>
      </w:hyperlink>
      <w:r w:rsidRPr="00E94303">
        <w:rPr>
          <w:lang w:val="sq-AL"/>
        </w:rPr>
        <w:t xml:space="preserve"> </w:t>
      </w:r>
      <w:r w:rsidRPr="00E94303">
        <w:rPr>
          <w:lang w:val="sq-AL"/>
        </w:rPr>
        <w:t xml:space="preserve">- aksesuar për herë të fundit më 25.07.2022.   </w:t>
      </w:r>
    </w:p>
  </w:footnote>
  <w:footnote w:id="7">
    <w:p w:rsidR="00A52B6C" w:rsidRPr="00E94303" w:rsidRDefault="00A52B6C" w:rsidP="00A52B6C">
      <w:pPr>
        <w:pStyle w:val="FootnoteText"/>
        <w:jc w:val="both"/>
        <w:rPr>
          <w:lang w:val="sq-AL"/>
        </w:rPr>
      </w:pPr>
      <w:r w:rsidRPr="00E94303">
        <w:rPr>
          <w:rStyle w:val="FootnoteReference"/>
          <w:lang w:val="sq-AL"/>
        </w:rPr>
        <w:footnoteRef/>
      </w:r>
      <w:r w:rsidRPr="00E94303">
        <w:rPr>
          <w:lang w:val="sq-AL"/>
        </w:rPr>
        <w:t xml:space="preserve"> </w:t>
      </w:r>
      <w:r w:rsidRPr="00E94303">
        <w:rPr>
          <w:lang w:val="sq-AL"/>
        </w:rPr>
        <w:t xml:space="preserve">Shih: </w:t>
      </w:r>
      <w:hyperlink r:id="rId6" w:history="1">
        <w:r w:rsidRPr="00E94303">
          <w:rPr>
            <w:rStyle w:val="Hyperlink1"/>
            <w:lang w:val="sq-AL"/>
          </w:rPr>
          <w:t>https://data.consilium.europa.eu/doc/document/ST-7002-2020-INIT/en/pdf</w:t>
        </w:r>
      </w:hyperlink>
      <w:r w:rsidRPr="00E94303">
        <w:rPr>
          <w:lang w:val="sq-AL"/>
        </w:rPr>
        <w:t xml:space="preserve"> - faqe 5 - aksesuar për herë të fundit më 25.07.2022.   </w:t>
      </w:r>
    </w:p>
  </w:footnote>
  <w:footnote w:id="8">
    <w:p w:rsidR="00A52B6C" w:rsidRPr="00E94303" w:rsidRDefault="00A52B6C" w:rsidP="00A52B6C">
      <w:pPr>
        <w:pStyle w:val="FootnoteText"/>
        <w:rPr>
          <w:lang w:val="sq-AL"/>
        </w:rPr>
      </w:pPr>
      <w:r w:rsidRPr="00E94303">
        <w:rPr>
          <w:rStyle w:val="FootnoteReference"/>
          <w:lang w:val="sq-AL"/>
        </w:rPr>
        <w:footnoteRef/>
      </w:r>
      <w:r w:rsidRPr="00E94303">
        <w:rPr>
          <w:lang w:val="sq-AL"/>
        </w:rPr>
        <w:t xml:space="preserve"> </w:t>
      </w:r>
      <w:r w:rsidRPr="00E94303">
        <w:rPr>
          <w:lang w:val="sq-AL"/>
        </w:rPr>
        <w:t xml:space="preserve">Shih: </w:t>
      </w:r>
      <w:hyperlink r:id="rId7" w:history="1">
        <w:r w:rsidRPr="00E94303">
          <w:rPr>
            <w:rStyle w:val="Hyperlink1"/>
            <w:lang w:val="sq-AL"/>
          </w:rPr>
          <w:t>https://al.usembassy.gov/sq/our-relationship-sq/official-reports-sq/</w:t>
        </w:r>
      </w:hyperlink>
      <w:r w:rsidRPr="00E94303">
        <w:rPr>
          <w:lang w:val="sq-AL"/>
        </w:rPr>
        <w:t xml:space="preserve"> - Rubrika “Marrëdhënia Jonë”/Nënrubrika “Raporte Zyrtare”/Raporti për të Drejtat e Njeriut 2021 – Shqipëria (WORD DOC 181 KB), faqe 1 – aksesuar për herë të fundit më 25.07.2022.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DB" w:rsidRDefault="003E73DB" w:rsidP="00770FA3">
    <w:pPr>
      <w:pStyle w:val="Header"/>
      <w:spacing w:after="0" w:line="240" w:lineRule="auto"/>
      <w:jc w:val="right"/>
      <w:rPr>
        <w:rFonts w:ascii="Times New Roman" w:hAnsi="Times New Roman"/>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FB0"/>
    <w:multiLevelType w:val="hybridMultilevel"/>
    <w:tmpl w:val="F3F4917C"/>
    <w:lvl w:ilvl="0" w:tplc="80966EFA">
      <w:start w:val="1"/>
      <w:numFmt w:val="decimal"/>
      <w:lvlText w:val="12.%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787A65"/>
    <w:multiLevelType w:val="hybridMultilevel"/>
    <w:tmpl w:val="C04CC7B6"/>
    <w:lvl w:ilvl="0" w:tplc="3E300DF4">
      <w:start w:val="1"/>
      <w:numFmt w:val="decimal"/>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066C"/>
    <w:multiLevelType w:val="hybridMultilevel"/>
    <w:tmpl w:val="80EA1B84"/>
    <w:lvl w:ilvl="0" w:tplc="E81E5B0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D39D8"/>
    <w:multiLevelType w:val="multilevel"/>
    <w:tmpl w:val="60C8483E"/>
    <w:lvl w:ilvl="0">
      <w:start w:val="5"/>
      <w:numFmt w:val="decimal"/>
      <w:lvlText w:val="%1."/>
      <w:lvlJc w:val="left"/>
      <w:pPr>
        <w:ind w:left="1440" w:hanging="360"/>
      </w:pPr>
      <w:rPr>
        <w:i w:val="0"/>
      </w:rPr>
    </w:lvl>
    <w:lvl w:ilvl="1">
      <w:start w:val="1"/>
      <w:numFmt w:val="decimal"/>
      <w:lvlText w:val="%1.%2."/>
      <w:lvlJc w:val="left"/>
      <w:pPr>
        <w:ind w:left="1069" w:hanging="360"/>
      </w:pPr>
      <w:rPr>
        <w:i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73401E4"/>
    <w:multiLevelType w:val="hybridMultilevel"/>
    <w:tmpl w:val="1E5611B0"/>
    <w:lvl w:ilvl="0" w:tplc="D17CFFC6">
      <w:start w:val="1"/>
      <w:numFmt w:val="decimal"/>
      <w:lvlText w:val="10.%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DA1035"/>
    <w:multiLevelType w:val="hybridMultilevel"/>
    <w:tmpl w:val="F1C25D9E"/>
    <w:lvl w:ilvl="0" w:tplc="6EDC8752">
      <w:start w:val="1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6A3CDB"/>
    <w:multiLevelType w:val="multilevel"/>
    <w:tmpl w:val="27BCA92A"/>
    <w:lvl w:ilvl="0">
      <w:start w:val="1"/>
      <w:numFmt w:val="decimal"/>
      <w:lvlText w:val="%1."/>
      <w:lvlJc w:val="left"/>
      <w:pPr>
        <w:ind w:left="3510" w:hanging="360"/>
      </w:pPr>
      <w:rPr>
        <w:b w:val="0"/>
        <w:i w:val="0"/>
      </w:rPr>
    </w:lvl>
    <w:lvl w:ilvl="1">
      <w:start w:val="1"/>
      <w:numFmt w:val="decimal"/>
      <w:isLgl/>
      <w:lvlText w:val="%1.%2"/>
      <w:lvlJc w:val="left"/>
      <w:pPr>
        <w:ind w:left="105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 w15:restartNumberingAfterBreak="0">
    <w:nsid w:val="621C1EC3"/>
    <w:multiLevelType w:val="hybridMultilevel"/>
    <w:tmpl w:val="8E3AE006"/>
    <w:lvl w:ilvl="0" w:tplc="F00C9B2A">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E7249"/>
    <w:multiLevelType w:val="hybridMultilevel"/>
    <w:tmpl w:val="6B680FF0"/>
    <w:lvl w:ilvl="0" w:tplc="958A584A">
      <w:start w:val="1"/>
      <w:numFmt w:val="decimal"/>
      <w:lvlText w:val="9.%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7B2EEA"/>
    <w:multiLevelType w:val="hybridMultilevel"/>
    <w:tmpl w:val="0144F5BC"/>
    <w:lvl w:ilvl="0" w:tplc="723CCD54">
      <w:start w:val="1"/>
      <w:numFmt w:val="decimal"/>
      <w:lvlText w:val="10.%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7"/>
  </w:num>
  <w:num w:numId="4">
    <w:abstractNumId w:val="0"/>
  </w:num>
  <w:num w:numId="5">
    <w:abstractNumId w:val="9"/>
  </w:num>
  <w:num w:numId="6">
    <w:abstractNumId w:val="2"/>
  </w:num>
  <w:num w:numId="7">
    <w:abstractNumId w:val="5"/>
  </w:num>
  <w:num w:numId="8">
    <w:abstractNumId w:val="4"/>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A"/>
    <w:rsid w:val="000022F3"/>
    <w:rsid w:val="00005472"/>
    <w:rsid w:val="000107E2"/>
    <w:rsid w:val="00012FED"/>
    <w:rsid w:val="00013575"/>
    <w:rsid w:val="00014293"/>
    <w:rsid w:val="000200F3"/>
    <w:rsid w:val="0002636B"/>
    <w:rsid w:val="00027DAC"/>
    <w:rsid w:val="0003172B"/>
    <w:rsid w:val="000318FD"/>
    <w:rsid w:val="00032C4F"/>
    <w:rsid w:val="00035CE4"/>
    <w:rsid w:val="000423AB"/>
    <w:rsid w:val="00046769"/>
    <w:rsid w:val="000473F9"/>
    <w:rsid w:val="00047430"/>
    <w:rsid w:val="00052E75"/>
    <w:rsid w:val="00053995"/>
    <w:rsid w:val="00054247"/>
    <w:rsid w:val="00066DBD"/>
    <w:rsid w:val="0006730B"/>
    <w:rsid w:val="0007081C"/>
    <w:rsid w:val="0007253D"/>
    <w:rsid w:val="00074BCD"/>
    <w:rsid w:val="00076F2E"/>
    <w:rsid w:val="00080A1C"/>
    <w:rsid w:val="00081D75"/>
    <w:rsid w:val="00082F5A"/>
    <w:rsid w:val="0008703D"/>
    <w:rsid w:val="000918B1"/>
    <w:rsid w:val="00092098"/>
    <w:rsid w:val="00092F4F"/>
    <w:rsid w:val="000931DE"/>
    <w:rsid w:val="00095C8D"/>
    <w:rsid w:val="000B17AE"/>
    <w:rsid w:val="000B4822"/>
    <w:rsid w:val="000B79CF"/>
    <w:rsid w:val="000C00C9"/>
    <w:rsid w:val="000C0164"/>
    <w:rsid w:val="000C15A4"/>
    <w:rsid w:val="000C2530"/>
    <w:rsid w:val="000C2DE0"/>
    <w:rsid w:val="000C42DC"/>
    <w:rsid w:val="000D219A"/>
    <w:rsid w:val="000D5508"/>
    <w:rsid w:val="000D62EE"/>
    <w:rsid w:val="000F1918"/>
    <w:rsid w:val="000F4007"/>
    <w:rsid w:val="000F52C4"/>
    <w:rsid w:val="000F59A1"/>
    <w:rsid w:val="000F6C33"/>
    <w:rsid w:val="00100806"/>
    <w:rsid w:val="0010160C"/>
    <w:rsid w:val="001020D7"/>
    <w:rsid w:val="00111247"/>
    <w:rsid w:val="00112A63"/>
    <w:rsid w:val="00115336"/>
    <w:rsid w:val="00117522"/>
    <w:rsid w:val="001218C6"/>
    <w:rsid w:val="00123DFF"/>
    <w:rsid w:val="00125EE5"/>
    <w:rsid w:val="001273DA"/>
    <w:rsid w:val="00131C0E"/>
    <w:rsid w:val="0013228D"/>
    <w:rsid w:val="00134693"/>
    <w:rsid w:val="00135E58"/>
    <w:rsid w:val="00143BBE"/>
    <w:rsid w:val="001474AA"/>
    <w:rsid w:val="00147F8B"/>
    <w:rsid w:val="00151A21"/>
    <w:rsid w:val="001520F3"/>
    <w:rsid w:val="001535B7"/>
    <w:rsid w:val="00154F20"/>
    <w:rsid w:val="001630DD"/>
    <w:rsid w:val="00165044"/>
    <w:rsid w:val="00165692"/>
    <w:rsid w:val="00165720"/>
    <w:rsid w:val="001667FC"/>
    <w:rsid w:val="0016788F"/>
    <w:rsid w:val="00172C9C"/>
    <w:rsid w:val="0018153A"/>
    <w:rsid w:val="00183014"/>
    <w:rsid w:val="00183871"/>
    <w:rsid w:val="0018711D"/>
    <w:rsid w:val="001871D2"/>
    <w:rsid w:val="001A0339"/>
    <w:rsid w:val="001A686D"/>
    <w:rsid w:val="001A7071"/>
    <w:rsid w:val="001B686A"/>
    <w:rsid w:val="001D60EA"/>
    <w:rsid w:val="001E3B25"/>
    <w:rsid w:val="001E56D8"/>
    <w:rsid w:val="001E5CAC"/>
    <w:rsid w:val="001F007E"/>
    <w:rsid w:val="001F0348"/>
    <w:rsid w:val="001F1F3D"/>
    <w:rsid w:val="001F23D9"/>
    <w:rsid w:val="001F6D88"/>
    <w:rsid w:val="001F7278"/>
    <w:rsid w:val="00206AB4"/>
    <w:rsid w:val="00207A06"/>
    <w:rsid w:val="00215900"/>
    <w:rsid w:val="002204BA"/>
    <w:rsid w:val="00225F15"/>
    <w:rsid w:val="00226B88"/>
    <w:rsid w:val="00230F9D"/>
    <w:rsid w:val="002317A0"/>
    <w:rsid w:val="0023246B"/>
    <w:rsid w:val="002349DA"/>
    <w:rsid w:val="00235421"/>
    <w:rsid w:val="0024437B"/>
    <w:rsid w:val="002443CB"/>
    <w:rsid w:val="00260973"/>
    <w:rsid w:val="00265825"/>
    <w:rsid w:val="0027011F"/>
    <w:rsid w:val="00270EB3"/>
    <w:rsid w:val="00276A63"/>
    <w:rsid w:val="002813AD"/>
    <w:rsid w:val="00281F5D"/>
    <w:rsid w:val="002862EC"/>
    <w:rsid w:val="00292F63"/>
    <w:rsid w:val="00296CA6"/>
    <w:rsid w:val="002A1506"/>
    <w:rsid w:val="002A314C"/>
    <w:rsid w:val="002A31FE"/>
    <w:rsid w:val="002A73C1"/>
    <w:rsid w:val="002A7920"/>
    <w:rsid w:val="002B079B"/>
    <w:rsid w:val="002B1EEB"/>
    <w:rsid w:val="002B25C5"/>
    <w:rsid w:val="002B4B48"/>
    <w:rsid w:val="002B706C"/>
    <w:rsid w:val="002C0AE0"/>
    <w:rsid w:val="002C0C77"/>
    <w:rsid w:val="002C2917"/>
    <w:rsid w:val="002C6F61"/>
    <w:rsid w:val="002C7F4C"/>
    <w:rsid w:val="002D1F99"/>
    <w:rsid w:val="002D5327"/>
    <w:rsid w:val="002D5C7E"/>
    <w:rsid w:val="002E13D9"/>
    <w:rsid w:val="002E6133"/>
    <w:rsid w:val="002F4388"/>
    <w:rsid w:val="002F4625"/>
    <w:rsid w:val="002F5909"/>
    <w:rsid w:val="002F7387"/>
    <w:rsid w:val="00301458"/>
    <w:rsid w:val="00306D90"/>
    <w:rsid w:val="00310A19"/>
    <w:rsid w:val="00311957"/>
    <w:rsid w:val="00312A66"/>
    <w:rsid w:val="00312E3F"/>
    <w:rsid w:val="0031398E"/>
    <w:rsid w:val="00315DF4"/>
    <w:rsid w:val="00325010"/>
    <w:rsid w:val="00326B58"/>
    <w:rsid w:val="00332E7C"/>
    <w:rsid w:val="0033320D"/>
    <w:rsid w:val="003401FD"/>
    <w:rsid w:val="00341504"/>
    <w:rsid w:val="003422E5"/>
    <w:rsid w:val="003471F0"/>
    <w:rsid w:val="00347224"/>
    <w:rsid w:val="00347E9F"/>
    <w:rsid w:val="00352968"/>
    <w:rsid w:val="00353743"/>
    <w:rsid w:val="003546BC"/>
    <w:rsid w:val="003611F6"/>
    <w:rsid w:val="00361FCA"/>
    <w:rsid w:val="00362E2B"/>
    <w:rsid w:val="00364D17"/>
    <w:rsid w:val="00366040"/>
    <w:rsid w:val="0036664B"/>
    <w:rsid w:val="00366CC3"/>
    <w:rsid w:val="00370BED"/>
    <w:rsid w:val="0037154F"/>
    <w:rsid w:val="0037299F"/>
    <w:rsid w:val="003739E3"/>
    <w:rsid w:val="00373BCD"/>
    <w:rsid w:val="003761B7"/>
    <w:rsid w:val="00377611"/>
    <w:rsid w:val="00380383"/>
    <w:rsid w:val="003859ED"/>
    <w:rsid w:val="003928CA"/>
    <w:rsid w:val="00392F18"/>
    <w:rsid w:val="003A1BD9"/>
    <w:rsid w:val="003A3631"/>
    <w:rsid w:val="003A7167"/>
    <w:rsid w:val="003B08B1"/>
    <w:rsid w:val="003B71E5"/>
    <w:rsid w:val="003B7614"/>
    <w:rsid w:val="003C141D"/>
    <w:rsid w:val="003C673B"/>
    <w:rsid w:val="003D49DD"/>
    <w:rsid w:val="003E15F7"/>
    <w:rsid w:val="003E2936"/>
    <w:rsid w:val="003E6686"/>
    <w:rsid w:val="003E73DB"/>
    <w:rsid w:val="003F0F62"/>
    <w:rsid w:val="003F2683"/>
    <w:rsid w:val="003F3BDB"/>
    <w:rsid w:val="0040316A"/>
    <w:rsid w:val="00405211"/>
    <w:rsid w:val="00410090"/>
    <w:rsid w:val="00417198"/>
    <w:rsid w:val="004173A5"/>
    <w:rsid w:val="00421176"/>
    <w:rsid w:val="00431A01"/>
    <w:rsid w:val="004356F4"/>
    <w:rsid w:val="00442D28"/>
    <w:rsid w:val="004523BB"/>
    <w:rsid w:val="00455D7B"/>
    <w:rsid w:val="004569C1"/>
    <w:rsid w:val="00463811"/>
    <w:rsid w:val="00465EA5"/>
    <w:rsid w:val="0047187B"/>
    <w:rsid w:val="00476B8F"/>
    <w:rsid w:val="00476C39"/>
    <w:rsid w:val="00477F98"/>
    <w:rsid w:val="00481EA1"/>
    <w:rsid w:val="0048236E"/>
    <w:rsid w:val="00483B28"/>
    <w:rsid w:val="004868F5"/>
    <w:rsid w:val="004912CD"/>
    <w:rsid w:val="004A688C"/>
    <w:rsid w:val="004B1E69"/>
    <w:rsid w:val="004B360E"/>
    <w:rsid w:val="004B5DEF"/>
    <w:rsid w:val="004B61EA"/>
    <w:rsid w:val="004B75AD"/>
    <w:rsid w:val="004C2668"/>
    <w:rsid w:val="004C6288"/>
    <w:rsid w:val="004D1957"/>
    <w:rsid w:val="004D303C"/>
    <w:rsid w:val="004D50AE"/>
    <w:rsid w:val="004E2EB2"/>
    <w:rsid w:val="004E5DCD"/>
    <w:rsid w:val="004F4EBA"/>
    <w:rsid w:val="0051208D"/>
    <w:rsid w:val="0051318E"/>
    <w:rsid w:val="00513517"/>
    <w:rsid w:val="005212E0"/>
    <w:rsid w:val="00523F8B"/>
    <w:rsid w:val="00524337"/>
    <w:rsid w:val="00530150"/>
    <w:rsid w:val="00533113"/>
    <w:rsid w:val="005334A6"/>
    <w:rsid w:val="00540350"/>
    <w:rsid w:val="00543E10"/>
    <w:rsid w:val="0054545B"/>
    <w:rsid w:val="00550D54"/>
    <w:rsid w:val="00550DDE"/>
    <w:rsid w:val="00550E48"/>
    <w:rsid w:val="00552025"/>
    <w:rsid w:val="005539C5"/>
    <w:rsid w:val="005607FF"/>
    <w:rsid w:val="0056334E"/>
    <w:rsid w:val="0056405F"/>
    <w:rsid w:val="00566ABF"/>
    <w:rsid w:val="00567CB9"/>
    <w:rsid w:val="00570F99"/>
    <w:rsid w:val="00574EE1"/>
    <w:rsid w:val="0057523D"/>
    <w:rsid w:val="0058093E"/>
    <w:rsid w:val="005809BA"/>
    <w:rsid w:val="00582277"/>
    <w:rsid w:val="00582935"/>
    <w:rsid w:val="005844EF"/>
    <w:rsid w:val="00593E67"/>
    <w:rsid w:val="0059413B"/>
    <w:rsid w:val="005A1CA0"/>
    <w:rsid w:val="005B2708"/>
    <w:rsid w:val="005B390F"/>
    <w:rsid w:val="005B717C"/>
    <w:rsid w:val="005C30E7"/>
    <w:rsid w:val="005C384D"/>
    <w:rsid w:val="005C6A43"/>
    <w:rsid w:val="005D1613"/>
    <w:rsid w:val="005D456D"/>
    <w:rsid w:val="005D4AD4"/>
    <w:rsid w:val="005D53E9"/>
    <w:rsid w:val="005E2A17"/>
    <w:rsid w:val="005F2683"/>
    <w:rsid w:val="005F3569"/>
    <w:rsid w:val="005F4270"/>
    <w:rsid w:val="005F5BEE"/>
    <w:rsid w:val="0060161F"/>
    <w:rsid w:val="0060597A"/>
    <w:rsid w:val="00606B8F"/>
    <w:rsid w:val="00612E6F"/>
    <w:rsid w:val="0061342A"/>
    <w:rsid w:val="00616788"/>
    <w:rsid w:val="00616BFB"/>
    <w:rsid w:val="00623965"/>
    <w:rsid w:val="00626301"/>
    <w:rsid w:val="00631178"/>
    <w:rsid w:val="00632148"/>
    <w:rsid w:val="00633FCD"/>
    <w:rsid w:val="006426C6"/>
    <w:rsid w:val="0064748E"/>
    <w:rsid w:val="006514F4"/>
    <w:rsid w:val="0065412F"/>
    <w:rsid w:val="00661717"/>
    <w:rsid w:val="00663D02"/>
    <w:rsid w:val="00666669"/>
    <w:rsid w:val="00667300"/>
    <w:rsid w:val="00671326"/>
    <w:rsid w:val="006714CC"/>
    <w:rsid w:val="00683E3F"/>
    <w:rsid w:val="0068427A"/>
    <w:rsid w:val="00693340"/>
    <w:rsid w:val="006938DD"/>
    <w:rsid w:val="00694A36"/>
    <w:rsid w:val="0069772D"/>
    <w:rsid w:val="006A0D21"/>
    <w:rsid w:val="006A1B4B"/>
    <w:rsid w:val="006A4889"/>
    <w:rsid w:val="006A709A"/>
    <w:rsid w:val="006B655D"/>
    <w:rsid w:val="006C04DF"/>
    <w:rsid w:val="006C1F2C"/>
    <w:rsid w:val="006E3B9D"/>
    <w:rsid w:val="006E4071"/>
    <w:rsid w:val="006F0C43"/>
    <w:rsid w:val="006F1B56"/>
    <w:rsid w:val="006F4502"/>
    <w:rsid w:val="006F5773"/>
    <w:rsid w:val="006F6303"/>
    <w:rsid w:val="0070725C"/>
    <w:rsid w:val="00707D6D"/>
    <w:rsid w:val="007134D2"/>
    <w:rsid w:val="00722AF2"/>
    <w:rsid w:val="00724105"/>
    <w:rsid w:val="00725199"/>
    <w:rsid w:val="00727758"/>
    <w:rsid w:val="0073656C"/>
    <w:rsid w:val="00745671"/>
    <w:rsid w:val="00746B3C"/>
    <w:rsid w:val="007477F1"/>
    <w:rsid w:val="007539B1"/>
    <w:rsid w:val="00755858"/>
    <w:rsid w:val="0076356B"/>
    <w:rsid w:val="0076473E"/>
    <w:rsid w:val="007706DF"/>
    <w:rsid w:val="00770FA3"/>
    <w:rsid w:val="00771A63"/>
    <w:rsid w:val="007844B9"/>
    <w:rsid w:val="00790863"/>
    <w:rsid w:val="00791B95"/>
    <w:rsid w:val="0079331E"/>
    <w:rsid w:val="00793A04"/>
    <w:rsid w:val="007945FD"/>
    <w:rsid w:val="007A054A"/>
    <w:rsid w:val="007A4FBA"/>
    <w:rsid w:val="007A56D0"/>
    <w:rsid w:val="007B00CA"/>
    <w:rsid w:val="007B47FA"/>
    <w:rsid w:val="007B5AA8"/>
    <w:rsid w:val="007B6D83"/>
    <w:rsid w:val="007C4DB9"/>
    <w:rsid w:val="007C5CCF"/>
    <w:rsid w:val="007C6FC6"/>
    <w:rsid w:val="007D2FA0"/>
    <w:rsid w:val="007D66A8"/>
    <w:rsid w:val="007E6A64"/>
    <w:rsid w:val="007F2744"/>
    <w:rsid w:val="007F4D7B"/>
    <w:rsid w:val="007F4E0E"/>
    <w:rsid w:val="007F6854"/>
    <w:rsid w:val="007F687A"/>
    <w:rsid w:val="00801C06"/>
    <w:rsid w:val="00804D82"/>
    <w:rsid w:val="00807635"/>
    <w:rsid w:val="0081157A"/>
    <w:rsid w:val="00812A76"/>
    <w:rsid w:val="00815547"/>
    <w:rsid w:val="0082518B"/>
    <w:rsid w:val="00831CCA"/>
    <w:rsid w:val="008351A6"/>
    <w:rsid w:val="0083657D"/>
    <w:rsid w:val="008377AF"/>
    <w:rsid w:val="00841D49"/>
    <w:rsid w:val="00842E5A"/>
    <w:rsid w:val="00846B2F"/>
    <w:rsid w:val="0085012D"/>
    <w:rsid w:val="008520DB"/>
    <w:rsid w:val="00855AB0"/>
    <w:rsid w:val="00856D4A"/>
    <w:rsid w:val="0086266B"/>
    <w:rsid w:val="00862C15"/>
    <w:rsid w:val="008643B2"/>
    <w:rsid w:val="00865B5A"/>
    <w:rsid w:val="00872552"/>
    <w:rsid w:val="008727F7"/>
    <w:rsid w:val="0087388F"/>
    <w:rsid w:val="00873CE2"/>
    <w:rsid w:val="00875CF2"/>
    <w:rsid w:val="008775B0"/>
    <w:rsid w:val="008837C1"/>
    <w:rsid w:val="00883AE0"/>
    <w:rsid w:val="00883F9E"/>
    <w:rsid w:val="0088585D"/>
    <w:rsid w:val="00886576"/>
    <w:rsid w:val="0089070E"/>
    <w:rsid w:val="0089162F"/>
    <w:rsid w:val="008A2BD6"/>
    <w:rsid w:val="008A3730"/>
    <w:rsid w:val="008A4383"/>
    <w:rsid w:val="008A538C"/>
    <w:rsid w:val="008A60F5"/>
    <w:rsid w:val="008B1991"/>
    <w:rsid w:val="008B55B3"/>
    <w:rsid w:val="008B6014"/>
    <w:rsid w:val="008C00B7"/>
    <w:rsid w:val="008C2653"/>
    <w:rsid w:val="008C274B"/>
    <w:rsid w:val="008D5796"/>
    <w:rsid w:val="008D7294"/>
    <w:rsid w:val="008D7C7C"/>
    <w:rsid w:val="008E13CB"/>
    <w:rsid w:val="008E6D80"/>
    <w:rsid w:val="008F2F65"/>
    <w:rsid w:val="008F4D8D"/>
    <w:rsid w:val="008F580F"/>
    <w:rsid w:val="009012F5"/>
    <w:rsid w:val="00902629"/>
    <w:rsid w:val="009040ED"/>
    <w:rsid w:val="009076C6"/>
    <w:rsid w:val="00910010"/>
    <w:rsid w:val="0091354D"/>
    <w:rsid w:val="00913DF5"/>
    <w:rsid w:val="00920778"/>
    <w:rsid w:val="00923D1B"/>
    <w:rsid w:val="0092714F"/>
    <w:rsid w:val="00927F57"/>
    <w:rsid w:val="0093026C"/>
    <w:rsid w:val="00931F03"/>
    <w:rsid w:val="00941A44"/>
    <w:rsid w:val="00950F65"/>
    <w:rsid w:val="0095130C"/>
    <w:rsid w:val="00952F81"/>
    <w:rsid w:val="00955F4C"/>
    <w:rsid w:val="00956F61"/>
    <w:rsid w:val="00960510"/>
    <w:rsid w:val="00960D91"/>
    <w:rsid w:val="00965B57"/>
    <w:rsid w:val="00966CFB"/>
    <w:rsid w:val="009752B9"/>
    <w:rsid w:val="009767FA"/>
    <w:rsid w:val="00980DB8"/>
    <w:rsid w:val="00981813"/>
    <w:rsid w:val="00984779"/>
    <w:rsid w:val="00990FCC"/>
    <w:rsid w:val="00994312"/>
    <w:rsid w:val="009967A5"/>
    <w:rsid w:val="009B05C4"/>
    <w:rsid w:val="009B5EB3"/>
    <w:rsid w:val="009B726B"/>
    <w:rsid w:val="009B7541"/>
    <w:rsid w:val="009C11EB"/>
    <w:rsid w:val="009C1B21"/>
    <w:rsid w:val="009C7C0E"/>
    <w:rsid w:val="009D0E8D"/>
    <w:rsid w:val="009D2962"/>
    <w:rsid w:val="009D4258"/>
    <w:rsid w:val="009E3F7D"/>
    <w:rsid w:val="009E4D44"/>
    <w:rsid w:val="009F3592"/>
    <w:rsid w:val="00A00064"/>
    <w:rsid w:val="00A05157"/>
    <w:rsid w:val="00A05F4C"/>
    <w:rsid w:val="00A07348"/>
    <w:rsid w:val="00A07A4B"/>
    <w:rsid w:val="00A07FAD"/>
    <w:rsid w:val="00A1685E"/>
    <w:rsid w:val="00A21EB8"/>
    <w:rsid w:val="00A252F6"/>
    <w:rsid w:val="00A30D94"/>
    <w:rsid w:val="00A334F8"/>
    <w:rsid w:val="00A35361"/>
    <w:rsid w:val="00A37956"/>
    <w:rsid w:val="00A453D0"/>
    <w:rsid w:val="00A47D6A"/>
    <w:rsid w:val="00A510B9"/>
    <w:rsid w:val="00A52B6C"/>
    <w:rsid w:val="00A53161"/>
    <w:rsid w:val="00A604DC"/>
    <w:rsid w:val="00A631F0"/>
    <w:rsid w:val="00A64AFF"/>
    <w:rsid w:val="00A6528D"/>
    <w:rsid w:val="00A664B8"/>
    <w:rsid w:val="00A676A2"/>
    <w:rsid w:val="00A70163"/>
    <w:rsid w:val="00A7037A"/>
    <w:rsid w:val="00A70BF9"/>
    <w:rsid w:val="00A726B1"/>
    <w:rsid w:val="00A7469E"/>
    <w:rsid w:val="00A75711"/>
    <w:rsid w:val="00A77BCA"/>
    <w:rsid w:val="00A81984"/>
    <w:rsid w:val="00A8286B"/>
    <w:rsid w:val="00A841B6"/>
    <w:rsid w:val="00A85835"/>
    <w:rsid w:val="00A90FD3"/>
    <w:rsid w:val="00A95839"/>
    <w:rsid w:val="00AA43DB"/>
    <w:rsid w:val="00AA4465"/>
    <w:rsid w:val="00AB0DE1"/>
    <w:rsid w:val="00AB1BEC"/>
    <w:rsid w:val="00AC3596"/>
    <w:rsid w:val="00AC3A83"/>
    <w:rsid w:val="00AC3BFE"/>
    <w:rsid w:val="00AE348F"/>
    <w:rsid w:val="00AE3F65"/>
    <w:rsid w:val="00AE53EA"/>
    <w:rsid w:val="00AE7911"/>
    <w:rsid w:val="00AF1211"/>
    <w:rsid w:val="00AF17AA"/>
    <w:rsid w:val="00AF2EC5"/>
    <w:rsid w:val="00B000BC"/>
    <w:rsid w:val="00B04D2D"/>
    <w:rsid w:val="00B05A50"/>
    <w:rsid w:val="00B10E02"/>
    <w:rsid w:val="00B10E4E"/>
    <w:rsid w:val="00B120F1"/>
    <w:rsid w:val="00B16C94"/>
    <w:rsid w:val="00B17D6B"/>
    <w:rsid w:val="00B207E3"/>
    <w:rsid w:val="00B25E04"/>
    <w:rsid w:val="00B31392"/>
    <w:rsid w:val="00B3491A"/>
    <w:rsid w:val="00B349EA"/>
    <w:rsid w:val="00B372EA"/>
    <w:rsid w:val="00B37592"/>
    <w:rsid w:val="00B40DD8"/>
    <w:rsid w:val="00B417A1"/>
    <w:rsid w:val="00B41D2C"/>
    <w:rsid w:val="00B42541"/>
    <w:rsid w:val="00B42593"/>
    <w:rsid w:val="00B42BB3"/>
    <w:rsid w:val="00B445EC"/>
    <w:rsid w:val="00B45370"/>
    <w:rsid w:val="00B47B24"/>
    <w:rsid w:val="00B51A11"/>
    <w:rsid w:val="00B51ABF"/>
    <w:rsid w:val="00B54EC2"/>
    <w:rsid w:val="00B54FA4"/>
    <w:rsid w:val="00B63E37"/>
    <w:rsid w:val="00B80A3D"/>
    <w:rsid w:val="00B81B22"/>
    <w:rsid w:val="00B91BF1"/>
    <w:rsid w:val="00B95029"/>
    <w:rsid w:val="00BA295A"/>
    <w:rsid w:val="00BA2F1B"/>
    <w:rsid w:val="00BA4A19"/>
    <w:rsid w:val="00BB003E"/>
    <w:rsid w:val="00BC01F3"/>
    <w:rsid w:val="00BC0C86"/>
    <w:rsid w:val="00BC54DE"/>
    <w:rsid w:val="00BC6C8B"/>
    <w:rsid w:val="00BD4EC7"/>
    <w:rsid w:val="00BD67EF"/>
    <w:rsid w:val="00BE0846"/>
    <w:rsid w:val="00BE3DB1"/>
    <w:rsid w:val="00BF1DB8"/>
    <w:rsid w:val="00BF44B2"/>
    <w:rsid w:val="00C10D70"/>
    <w:rsid w:val="00C11E98"/>
    <w:rsid w:val="00C165FE"/>
    <w:rsid w:val="00C20471"/>
    <w:rsid w:val="00C23A26"/>
    <w:rsid w:val="00C258B6"/>
    <w:rsid w:val="00C26E89"/>
    <w:rsid w:val="00C27871"/>
    <w:rsid w:val="00C30ABC"/>
    <w:rsid w:val="00C30B9E"/>
    <w:rsid w:val="00C31511"/>
    <w:rsid w:val="00C3415A"/>
    <w:rsid w:val="00C34B10"/>
    <w:rsid w:val="00C36AF0"/>
    <w:rsid w:val="00C4473A"/>
    <w:rsid w:val="00C471F5"/>
    <w:rsid w:val="00C501CA"/>
    <w:rsid w:val="00C5215B"/>
    <w:rsid w:val="00C54980"/>
    <w:rsid w:val="00C54E14"/>
    <w:rsid w:val="00C56199"/>
    <w:rsid w:val="00C570D8"/>
    <w:rsid w:val="00C573D5"/>
    <w:rsid w:val="00C62FE8"/>
    <w:rsid w:val="00C670B0"/>
    <w:rsid w:val="00C67B76"/>
    <w:rsid w:val="00C704AD"/>
    <w:rsid w:val="00C70E0C"/>
    <w:rsid w:val="00C711DD"/>
    <w:rsid w:val="00C71DB9"/>
    <w:rsid w:val="00C73A02"/>
    <w:rsid w:val="00C7534D"/>
    <w:rsid w:val="00C757D7"/>
    <w:rsid w:val="00C759A4"/>
    <w:rsid w:val="00C81A39"/>
    <w:rsid w:val="00C8574E"/>
    <w:rsid w:val="00C9169F"/>
    <w:rsid w:val="00C91A5A"/>
    <w:rsid w:val="00C94683"/>
    <w:rsid w:val="00C94A17"/>
    <w:rsid w:val="00CA255F"/>
    <w:rsid w:val="00CA4453"/>
    <w:rsid w:val="00CA4729"/>
    <w:rsid w:val="00CB1057"/>
    <w:rsid w:val="00CB1D8F"/>
    <w:rsid w:val="00CB3A73"/>
    <w:rsid w:val="00CB7E99"/>
    <w:rsid w:val="00CC4C44"/>
    <w:rsid w:val="00CC5570"/>
    <w:rsid w:val="00CC7F41"/>
    <w:rsid w:val="00CD23EE"/>
    <w:rsid w:val="00CD50CB"/>
    <w:rsid w:val="00CD6C7B"/>
    <w:rsid w:val="00CD6CEA"/>
    <w:rsid w:val="00CF22EB"/>
    <w:rsid w:val="00CF2BFC"/>
    <w:rsid w:val="00CF5025"/>
    <w:rsid w:val="00CF6159"/>
    <w:rsid w:val="00D00FDC"/>
    <w:rsid w:val="00D07F9E"/>
    <w:rsid w:val="00D125A3"/>
    <w:rsid w:val="00D15185"/>
    <w:rsid w:val="00D15DD4"/>
    <w:rsid w:val="00D16835"/>
    <w:rsid w:val="00D20595"/>
    <w:rsid w:val="00D226BE"/>
    <w:rsid w:val="00D244BC"/>
    <w:rsid w:val="00D252CD"/>
    <w:rsid w:val="00D262B0"/>
    <w:rsid w:val="00D34998"/>
    <w:rsid w:val="00D404FD"/>
    <w:rsid w:val="00D42532"/>
    <w:rsid w:val="00D43FA2"/>
    <w:rsid w:val="00D50E1A"/>
    <w:rsid w:val="00D54B6A"/>
    <w:rsid w:val="00D5535B"/>
    <w:rsid w:val="00D557FA"/>
    <w:rsid w:val="00D57F91"/>
    <w:rsid w:val="00D62B92"/>
    <w:rsid w:val="00D63A79"/>
    <w:rsid w:val="00D64898"/>
    <w:rsid w:val="00D64D3E"/>
    <w:rsid w:val="00D6556E"/>
    <w:rsid w:val="00D67455"/>
    <w:rsid w:val="00D713C7"/>
    <w:rsid w:val="00D72DA8"/>
    <w:rsid w:val="00D7491A"/>
    <w:rsid w:val="00D758EA"/>
    <w:rsid w:val="00D864D9"/>
    <w:rsid w:val="00D978A1"/>
    <w:rsid w:val="00DA02BF"/>
    <w:rsid w:val="00DA484F"/>
    <w:rsid w:val="00DA4F6B"/>
    <w:rsid w:val="00DA503C"/>
    <w:rsid w:val="00DA5FB8"/>
    <w:rsid w:val="00DB3698"/>
    <w:rsid w:val="00DB3A19"/>
    <w:rsid w:val="00DB3E85"/>
    <w:rsid w:val="00DB64C2"/>
    <w:rsid w:val="00DC025D"/>
    <w:rsid w:val="00DC100C"/>
    <w:rsid w:val="00DC6970"/>
    <w:rsid w:val="00DC757F"/>
    <w:rsid w:val="00DC78A9"/>
    <w:rsid w:val="00DD4B9C"/>
    <w:rsid w:val="00DE265B"/>
    <w:rsid w:val="00DE4541"/>
    <w:rsid w:val="00DE61DE"/>
    <w:rsid w:val="00DE775A"/>
    <w:rsid w:val="00DF0973"/>
    <w:rsid w:val="00DF1ADB"/>
    <w:rsid w:val="00DF6FB1"/>
    <w:rsid w:val="00E0299A"/>
    <w:rsid w:val="00E03563"/>
    <w:rsid w:val="00E1310C"/>
    <w:rsid w:val="00E166AB"/>
    <w:rsid w:val="00E22883"/>
    <w:rsid w:val="00E234FA"/>
    <w:rsid w:val="00E27801"/>
    <w:rsid w:val="00E3305A"/>
    <w:rsid w:val="00E3379D"/>
    <w:rsid w:val="00E36140"/>
    <w:rsid w:val="00E47ED8"/>
    <w:rsid w:val="00E51D63"/>
    <w:rsid w:val="00E52E01"/>
    <w:rsid w:val="00E54FB9"/>
    <w:rsid w:val="00E55E14"/>
    <w:rsid w:val="00E56432"/>
    <w:rsid w:val="00E651CE"/>
    <w:rsid w:val="00E739EB"/>
    <w:rsid w:val="00E8251C"/>
    <w:rsid w:val="00E91128"/>
    <w:rsid w:val="00E97148"/>
    <w:rsid w:val="00EA1E39"/>
    <w:rsid w:val="00EA20FB"/>
    <w:rsid w:val="00EA327F"/>
    <w:rsid w:val="00EA3740"/>
    <w:rsid w:val="00EA67EC"/>
    <w:rsid w:val="00EA697F"/>
    <w:rsid w:val="00EA6DC9"/>
    <w:rsid w:val="00EB163C"/>
    <w:rsid w:val="00EB709E"/>
    <w:rsid w:val="00EC5C38"/>
    <w:rsid w:val="00EC745B"/>
    <w:rsid w:val="00ED2084"/>
    <w:rsid w:val="00ED6341"/>
    <w:rsid w:val="00ED78BE"/>
    <w:rsid w:val="00EE7886"/>
    <w:rsid w:val="00EF07E1"/>
    <w:rsid w:val="00EF121B"/>
    <w:rsid w:val="00EF1F13"/>
    <w:rsid w:val="00F04ECA"/>
    <w:rsid w:val="00F068BD"/>
    <w:rsid w:val="00F07C81"/>
    <w:rsid w:val="00F1428C"/>
    <w:rsid w:val="00F15E5E"/>
    <w:rsid w:val="00F1609C"/>
    <w:rsid w:val="00F21D40"/>
    <w:rsid w:val="00F22E64"/>
    <w:rsid w:val="00F263CD"/>
    <w:rsid w:val="00F324F5"/>
    <w:rsid w:val="00F327D7"/>
    <w:rsid w:val="00F36414"/>
    <w:rsid w:val="00F3695C"/>
    <w:rsid w:val="00F450A3"/>
    <w:rsid w:val="00F46D57"/>
    <w:rsid w:val="00F5061E"/>
    <w:rsid w:val="00F51BE6"/>
    <w:rsid w:val="00F5402C"/>
    <w:rsid w:val="00F5531B"/>
    <w:rsid w:val="00F6434B"/>
    <w:rsid w:val="00F70CC8"/>
    <w:rsid w:val="00F7410E"/>
    <w:rsid w:val="00F7416B"/>
    <w:rsid w:val="00F75373"/>
    <w:rsid w:val="00F76F67"/>
    <w:rsid w:val="00FA493D"/>
    <w:rsid w:val="00FA6BA1"/>
    <w:rsid w:val="00FB19DF"/>
    <w:rsid w:val="00FB3FEC"/>
    <w:rsid w:val="00FB4066"/>
    <w:rsid w:val="00FB4B75"/>
    <w:rsid w:val="00FB5ABD"/>
    <w:rsid w:val="00FC0A04"/>
    <w:rsid w:val="00FC451B"/>
    <w:rsid w:val="00FD338F"/>
    <w:rsid w:val="00FD3A17"/>
    <w:rsid w:val="00FD572D"/>
    <w:rsid w:val="00FE16FA"/>
    <w:rsid w:val="00FE74B9"/>
    <w:rsid w:val="00FF038D"/>
    <w:rsid w:val="00FF0FB2"/>
    <w:rsid w:val="00FF3FF7"/>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5E3BB"/>
  <w15:chartTrackingRefBased/>
  <w15:docId w15:val="{53379497-6A58-4AAE-982C-0034F2A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q-A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B6C"/>
    <w:pPr>
      <w:spacing w:after="200" w:line="276" w:lineRule="auto"/>
    </w:pPr>
    <w:rPr>
      <w:rFonts w:ascii="Calibri" w:eastAsia="Calibri" w:hAnsi="Calibri"/>
      <w:sz w:val="22"/>
      <w:szCs w:val="22"/>
      <w:lang w:val="en-US"/>
    </w:rPr>
  </w:style>
  <w:style w:type="paragraph" w:styleId="Heading1">
    <w:name w:val="heading 1"/>
    <w:basedOn w:val="Normal"/>
    <w:next w:val="Normal"/>
    <w:link w:val="Heading1Char"/>
    <w:uiPriority w:val="9"/>
    <w:qFormat/>
    <w:rsid w:val="00E234FA"/>
    <w:pPr>
      <w:keepNext/>
      <w:jc w:val="center"/>
      <w:outlineLvl w:val="0"/>
    </w:pPr>
    <w:rPr>
      <w:b/>
    </w:rPr>
  </w:style>
  <w:style w:type="paragraph" w:styleId="Heading2">
    <w:name w:val="heading 2"/>
    <w:basedOn w:val="Normal"/>
    <w:next w:val="Normal"/>
    <w:link w:val="Heading2Char"/>
    <w:uiPriority w:val="9"/>
    <w:unhideWhenUsed/>
    <w:qFormat/>
    <w:rsid w:val="00D758EA"/>
    <w:pPr>
      <w:keepNext/>
      <w:spacing w:after="0" w:line="360" w:lineRule="auto"/>
      <w:ind w:left="2160" w:hanging="2160"/>
      <w:jc w:val="center"/>
      <w:outlineLvl w:val="1"/>
    </w:pPr>
    <w:rPr>
      <w:rFonts w:ascii="Times New Roman" w:hAnsi="Times New Roman"/>
      <w:b/>
      <w:sz w:val="24"/>
      <w:szCs w:val="24"/>
      <w:lang w:val="sq-AL"/>
    </w:rPr>
  </w:style>
  <w:style w:type="paragraph" w:styleId="Heading4">
    <w:name w:val="heading 4"/>
    <w:basedOn w:val="Normal"/>
    <w:next w:val="Normal"/>
    <w:link w:val="Heading4Char"/>
    <w:uiPriority w:val="9"/>
    <w:semiHidden/>
    <w:unhideWhenUsed/>
    <w:qFormat/>
    <w:rsid w:val="00FC0A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34FA"/>
  </w:style>
  <w:style w:type="character" w:customStyle="1" w:styleId="FootnoteTextChar">
    <w:name w:val="Footnote Text Char"/>
    <w:basedOn w:val="DefaultParagraphFont"/>
    <w:link w:val="FootnoteText"/>
    <w:uiPriority w:val="99"/>
    <w:semiHidden/>
    <w:rsid w:val="00E234FA"/>
  </w:style>
  <w:style w:type="paragraph" w:styleId="Header">
    <w:name w:val="header"/>
    <w:basedOn w:val="Normal"/>
    <w:link w:val="HeaderChar"/>
    <w:uiPriority w:val="99"/>
    <w:unhideWhenUsed/>
    <w:rsid w:val="00E234FA"/>
    <w:pPr>
      <w:tabs>
        <w:tab w:val="center" w:pos="4680"/>
        <w:tab w:val="right" w:pos="9360"/>
      </w:tabs>
    </w:pPr>
  </w:style>
  <w:style w:type="character" w:customStyle="1" w:styleId="HeaderChar">
    <w:name w:val="Header Char"/>
    <w:basedOn w:val="DefaultParagraphFont"/>
    <w:link w:val="Header"/>
    <w:uiPriority w:val="99"/>
    <w:rsid w:val="00E234FA"/>
  </w:style>
  <w:style w:type="paragraph" w:styleId="Footer">
    <w:name w:val="footer"/>
    <w:basedOn w:val="Normal"/>
    <w:link w:val="FooterChar"/>
    <w:uiPriority w:val="99"/>
    <w:unhideWhenUsed/>
    <w:rsid w:val="00E234FA"/>
    <w:pPr>
      <w:tabs>
        <w:tab w:val="center" w:pos="4680"/>
        <w:tab w:val="right" w:pos="9360"/>
      </w:tabs>
    </w:pPr>
  </w:style>
  <w:style w:type="character" w:customStyle="1" w:styleId="FooterChar">
    <w:name w:val="Footer Char"/>
    <w:basedOn w:val="DefaultParagraphFont"/>
    <w:link w:val="Footer"/>
    <w:uiPriority w:val="99"/>
    <w:rsid w:val="00E234FA"/>
  </w:style>
  <w:style w:type="character" w:styleId="FootnoteReference">
    <w:name w:val="footnote reference"/>
    <w:basedOn w:val="DefaultParagraphFont"/>
    <w:uiPriority w:val="99"/>
    <w:semiHidden/>
    <w:unhideWhenUsed/>
    <w:rsid w:val="00E234FA"/>
    <w:rPr>
      <w:rFonts w:ascii="Times New Roman" w:hAnsi="Times New Roman"/>
      <w:sz w:val="20"/>
      <w:vertAlign w:val="superscript"/>
    </w:rPr>
  </w:style>
  <w:style w:type="paragraph" w:styleId="BodyTextIndent">
    <w:name w:val="Body Text Indent"/>
    <w:basedOn w:val="Normal"/>
    <w:link w:val="BodyTextIndentChar"/>
    <w:uiPriority w:val="99"/>
    <w:unhideWhenUsed/>
    <w:rsid w:val="00E234FA"/>
    <w:pPr>
      <w:spacing w:after="120"/>
      <w:ind w:left="360"/>
    </w:pPr>
  </w:style>
  <w:style w:type="character" w:customStyle="1" w:styleId="BodyTextIndentChar">
    <w:name w:val="Body Text Indent Char"/>
    <w:basedOn w:val="DefaultParagraphFont"/>
    <w:link w:val="BodyTextIndent"/>
    <w:uiPriority w:val="99"/>
    <w:rsid w:val="00E234FA"/>
    <w:rPr>
      <w:rFonts w:ascii="Calibri" w:eastAsia="Calibri" w:hAnsi="Calibri"/>
      <w:sz w:val="22"/>
      <w:szCs w:val="22"/>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E234FA"/>
    <w:pPr>
      <w:ind w:left="720"/>
      <w:contextualSpacing/>
    </w:p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E234FA"/>
  </w:style>
  <w:style w:type="character" w:customStyle="1" w:styleId="Heading1Char">
    <w:name w:val="Heading 1 Char"/>
    <w:basedOn w:val="DefaultParagraphFont"/>
    <w:link w:val="Heading1"/>
    <w:uiPriority w:val="9"/>
    <w:rsid w:val="00E234FA"/>
    <w:rPr>
      <w:b/>
    </w:rPr>
  </w:style>
  <w:style w:type="paragraph" w:styleId="BodyTextIndent2">
    <w:name w:val="Body Text Indent 2"/>
    <w:basedOn w:val="Normal"/>
    <w:link w:val="BodyTextIndent2Char"/>
    <w:uiPriority w:val="99"/>
    <w:unhideWhenUsed/>
    <w:rsid w:val="00E234FA"/>
    <w:pPr>
      <w:ind w:left="2880" w:hanging="2160"/>
      <w:jc w:val="both"/>
    </w:pPr>
    <w:rPr>
      <w:b/>
    </w:rPr>
  </w:style>
  <w:style w:type="character" w:customStyle="1" w:styleId="BodyTextIndent2Char">
    <w:name w:val="Body Text Indent 2 Char"/>
    <w:basedOn w:val="DefaultParagraphFont"/>
    <w:link w:val="BodyTextIndent2"/>
    <w:uiPriority w:val="99"/>
    <w:rsid w:val="00E234FA"/>
    <w:rPr>
      <w:b/>
    </w:rPr>
  </w:style>
  <w:style w:type="character" w:customStyle="1" w:styleId="Heading2Char">
    <w:name w:val="Heading 2 Char"/>
    <w:basedOn w:val="DefaultParagraphFont"/>
    <w:link w:val="Heading2"/>
    <w:uiPriority w:val="9"/>
    <w:rsid w:val="00D758EA"/>
    <w:rPr>
      <w:rFonts w:eastAsia="Calibri"/>
      <w:b/>
    </w:rPr>
  </w:style>
  <w:style w:type="character" w:customStyle="1" w:styleId="Heading4Char">
    <w:name w:val="Heading 4 Char"/>
    <w:basedOn w:val="DefaultParagraphFont"/>
    <w:link w:val="Heading4"/>
    <w:uiPriority w:val="9"/>
    <w:semiHidden/>
    <w:rsid w:val="00FC0A04"/>
    <w:rPr>
      <w:rFonts w:asciiTheme="majorHAnsi" w:eastAsiaTheme="majorEastAsia" w:hAnsiTheme="majorHAnsi" w:cstheme="majorBidi"/>
      <w:i/>
      <w:iCs/>
      <w:color w:val="2E74B5" w:themeColor="accent1" w:themeShade="BF"/>
      <w:sz w:val="22"/>
      <w:szCs w:val="22"/>
      <w:lang w:val="en-US"/>
    </w:rPr>
  </w:style>
  <w:style w:type="paragraph" w:styleId="BodyTextIndent3">
    <w:name w:val="Body Text Indent 3"/>
    <w:basedOn w:val="Normal"/>
    <w:link w:val="BodyTextIndent3Char"/>
    <w:uiPriority w:val="99"/>
    <w:semiHidden/>
    <w:unhideWhenUsed/>
    <w:rsid w:val="00CC4C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4C44"/>
    <w:rPr>
      <w:rFonts w:ascii="Calibri" w:eastAsia="Calibri" w:hAnsi="Calibri"/>
      <w:sz w:val="16"/>
      <w:szCs w:val="16"/>
      <w:lang w:val="en-US"/>
    </w:rPr>
  </w:style>
  <w:style w:type="paragraph" w:styleId="BodyText">
    <w:name w:val="Body Text"/>
    <w:basedOn w:val="Normal"/>
    <w:link w:val="BodyTextChar"/>
    <w:uiPriority w:val="99"/>
    <w:unhideWhenUsed/>
    <w:rsid w:val="00CC4C44"/>
    <w:pPr>
      <w:tabs>
        <w:tab w:val="left" w:pos="1080"/>
      </w:tabs>
      <w:spacing w:after="0" w:line="360" w:lineRule="auto"/>
      <w:jc w:val="both"/>
    </w:pPr>
    <w:rPr>
      <w:rFonts w:ascii="Times New Roman" w:hAnsi="Times New Roman"/>
      <w:sz w:val="24"/>
      <w:szCs w:val="24"/>
      <w:lang w:val="sq-AL"/>
    </w:rPr>
  </w:style>
  <w:style w:type="character" w:customStyle="1" w:styleId="BodyTextChar">
    <w:name w:val="Body Text Char"/>
    <w:basedOn w:val="DefaultParagraphFont"/>
    <w:link w:val="BodyText"/>
    <w:uiPriority w:val="99"/>
    <w:rsid w:val="00CC4C44"/>
    <w:rPr>
      <w:rFonts w:eastAsia="Calibri"/>
    </w:rPr>
  </w:style>
  <w:style w:type="paragraph" w:customStyle="1" w:styleId="JuPara">
    <w:name w:val="Ju_Para"/>
    <w:aliases w:val="Left,First line:  0 cm"/>
    <w:basedOn w:val="Normal"/>
    <w:link w:val="JuParaCar"/>
    <w:uiPriority w:val="99"/>
    <w:rsid w:val="00B05A50"/>
    <w:pPr>
      <w:suppressAutoHyphens/>
      <w:spacing w:after="0" w:line="240" w:lineRule="auto"/>
      <w:ind w:firstLine="284"/>
      <w:jc w:val="both"/>
    </w:pPr>
    <w:rPr>
      <w:rFonts w:ascii="Times New Roman" w:eastAsia="Times New Roman" w:hAnsi="Times New Roman"/>
      <w:sz w:val="24"/>
      <w:szCs w:val="20"/>
      <w:lang w:val="fr-FR" w:eastAsia="fr-FR"/>
    </w:rPr>
  </w:style>
  <w:style w:type="character" w:customStyle="1" w:styleId="JuParaCar">
    <w:name w:val="Ju_Para Car"/>
    <w:basedOn w:val="DefaultParagraphFont"/>
    <w:link w:val="JuPara"/>
    <w:uiPriority w:val="99"/>
    <w:rsid w:val="00B05A50"/>
    <w:rPr>
      <w:rFonts w:eastAsia="Times New Roman"/>
      <w:szCs w:val="20"/>
      <w:lang w:val="fr-FR" w:eastAsia="fr-FR"/>
    </w:rPr>
  </w:style>
  <w:style w:type="paragraph" w:styleId="BalloonText">
    <w:name w:val="Balloon Text"/>
    <w:basedOn w:val="Normal"/>
    <w:link w:val="BalloonTextChar"/>
    <w:uiPriority w:val="99"/>
    <w:semiHidden/>
    <w:unhideWhenUsed/>
    <w:rsid w:val="00A4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D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CB1D8F"/>
    <w:rPr>
      <w:sz w:val="16"/>
      <w:szCs w:val="16"/>
    </w:rPr>
  </w:style>
  <w:style w:type="paragraph" w:styleId="CommentText">
    <w:name w:val="annotation text"/>
    <w:basedOn w:val="Normal"/>
    <w:link w:val="CommentTextChar"/>
    <w:uiPriority w:val="99"/>
    <w:unhideWhenUsed/>
    <w:rsid w:val="00CB1D8F"/>
    <w:pPr>
      <w:spacing w:line="240" w:lineRule="auto"/>
    </w:pPr>
    <w:rPr>
      <w:sz w:val="20"/>
      <w:szCs w:val="20"/>
    </w:rPr>
  </w:style>
  <w:style w:type="character" w:customStyle="1" w:styleId="CommentTextChar">
    <w:name w:val="Comment Text Char"/>
    <w:basedOn w:val="DefaultParagraphFont"/>
    <w:link w:val="CommentText"/>
    <w:uiPriority w:val="99"/>
    <w:rsid w:val="00CB1D8F"/>
    <w:rPr>
      <w:rFonts w:ascii="Calibri" w:eastAsia="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CB1D8F"/>
    <w:rPr>
      <w:b/>
      <w:bCs/>
    </w:rPr>
  </w:style>
  <w:style w:type="character" w:customStyle="1" w:styleId="CommentSubjectChar">
    <w:name w:val="Comment Subject Char"/>
    <w:basedOn w:val="CommentTextChar"/>
    <w:link w:val="CommentSubject"/>
    <w:uiPriority w:val="99"/>
    <w:semiHidden/>
    <w:rsid w:val="00CB1D8F"/>
    <w:rPr>
      <w:rFonts w:ascii="Calibri" w:eastAsia="Calibri" w:hAnsi="Calibri"/>
      <w:b/>
      <w:bCs/>
      <w:sz w:val="20"/>
      <w:szCs w:val="20"/>
      <w:lang w:val="en-US"/>
    </w:rPr>
  </w:style>
  <w:style w:type="character" w:customStyle="1" w:styleId="Hyperlink1">
    <w:name w:val="Hyperlink1"/>
    <w:basedOn w:val="DefaultParagraphFont"/>
    <w:uiPriority w:val="99"/>
    <w:unhideWhenUsed/>
    <w:rsid w:val="00A52B6C"/>
    <w:rPr>
      <w:color w:val="0563C1"/>
      <w:u w:val="single"/>
    </w:rPr>
  </w:style>
  <w:style w:type="character" w:styleId="Hyperlink">
    <w:name w:val="Hyperlink"/>
    <w:basedOn w:val="DefaultParagraphFont"/>
    <w:uiPriority w:val="99"/>
    <w:semiHidden/>
    <w:unhideWhenUsed/>
    <w:rsid w:val="00A52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2560">
      <w:bodyDiv w:val="1"/>
      <w:marLeft w:val="0"/>
      <w:marRight w:val="0"/>
      <w:marTop w:val="0"/>
      <w:marBottom w:val="0"/>
      <w:divBdr>
        <w:top w:val="none" w:sz="0" w:space="0" w:color="auto"/>
        <w:left w:val="none" w:sz="0" w:space="0" w:color="auto"/>
        <w:bottom w:val="none" w:sz="0" w:space="0" w:color="auto"/>
        <w:right w:val="none" w:sz="0" w:space="0" w:color="auto"/>
      </w:divBdr>
      <w:divsChild>
        <w:div w:id="1263152391">
          <w:marLeft w:val="0"/>
          <w:marRight w:val="0"/>
          <w:marTop w:val="0"/>
          <w:marBottom w:val="0"/>
          <w:divBdr>
            <w:top w:val="none" w:sz="0" w:space="0" w:color="auto"/>
            <w:left w:val="none" w:sz="0" w:space="0" w:color="auto"/>
            <w:bottom w:val="none" w:sz="0" w:space="0" w:color="auto"/>
            <w:right w:val="none" w:sz="0" w:space="0" w:color="auto"/>
          </w:divBdr>
        </w:div>
        <w:div w:id="1764762743">
          <w:marLeft w:val="0"/>
          <w:marRight w:val="0"/>
          <w:marTop w:val="0"/>
          <w:marBottom w:val="0"/>
          <w:divBdr>
            <w:top w:val="none" w:sz="0" w:space="0" w:color="auto"/>
            <w:left w:val="none" w:sz="0" w:space="0" w:color="auto"/>
            <w:bottom w:val="none" w:sz="0" w:space="0" w:color="auto"/>
            <w:right w:val="none" w:sz="0" w:space="0" w:color="auto"/>
          </w:divBdr>
        </w:div>
      </w:divsChild>
    </w:div>
    <w:div w:id="709182129">
      <w:bodyDiv w:val="1"/>
      <w:marLeft w:val="0"/>
      <w:marRight w:val="0"/>
      <w:marTop w:val="0"/>
      <w:marBottom w:val="0"/>
      <w:divBdr>
        <w:top w:val="none" w:sz="0" w:space="0" w:color="auto"/>
        <w:left w:val="none" w:sz="0" w:space="0" w:color="auto"/>
        <w:bottom w:val="none" w:sz="0" w:space="0" w:color="auto"/>
        <w:right w:val="none" w:sz="0" w:space="0" w:color="auto"/>
      </w:divBdr>
      <w:divsChild>
        <w:div w:id="1941179925">
          <w:marLeft w:val="0"/>
          <w:marRight w:val="0"/>
          <w:marTop w:val="0"/>
          <w:marBottom w:val="0"/>
          <w:divBdr>
            <w:top w:val="none" w:sz="0" w:space="0" w:color="auto"/>
            <w:left w:val="none" w:sz="0" w:space="0" w:color="auto"/>
            <w:bottom w:val="none" w:sz="0" w:space="0" w:color="auto"/>
            <w:right w:val="none" w:sz="0" w:space="0" w:color="auto"/>
          </w:divBdr>
        </w:div>
        <w:div w:id="1366909038">
          <w:marLeft w:val="0"/>
          <w:marRight w:val="0"/>
          <w:marTop w:val="0"/>
          <w:marBottom w:val="0"/>
          <w:divBdr>
            <w:top w:val="none" w:sz="0" w:space="0" w:color="auto"/>
            <w:left w:val="none" w:sz="0" w:space="0" w:color="auto"/>
            <w:bottom w:val="none" w:sz="0" w:space="0" w:color="auto"/>
            <w:right w:val="none" w:sz="0" w:space="0" w:color="auto"/>
          </w:divBdr>
        </w:div>
        <w:div w:id="116992739">
          <w:marLeft w:val="0"/>
          <w:marRight w:val="0"/>
          <w:marTop w:val="0"/>
          <w:marBottom w:val="0"/>
          <w:divBdr>
            <w:top w:val="none" w:sz="0" w:space="0" w:color="auto"/>
            <w:left w:val="none" w:sz="0" w:space="0" w:color="auto"/>
            <w:bottom w:val="none" w:sz="0" w:space="0" w:color="auto"/>
            <w:right w:val="none" w:sz="0" w:space="0" w:color="auto"/>
          </w:divBdr>
        </w:div>
        <w:div w:id="1419864649">
          <w:marLeft w:val="0"/>
          <w:marRight w:val="0"/>
          <w:marTop w:val="0"/>
          <w:marBottom w:val="0"/>
          <w:divBdr>
            <w:top w:val="none" w:sz="0" w:space="0" w:color="auto"/>
            <w:left w:val="none" w:sz="0" w:space="0" w:color="auto"/>
            <w:bottom w:val="none" w:sz="0" w:space="0" w:color="auto"/>
            <w:right w:val="none" w:sz="0" w:space="0" w:color="auto"/>
          </w:divBdr>
        </w:div>
      </w:divsChild>
    </w:div>
    <w:div w:id="1580022180">
      <w:bodyDiv w:val="1"/>
      <w:marLeft w:val="0"/>
      <w:marRight w:val="0"/>
      <w:marTop w:val="0"/>
      <w:marBottom w:val="0"/>
      <w:divBdr>
        <w:top w:val="none" w:sz="0" w:space="0" w:color="auto"/>
        <w:left w:val="none" w:sz="0" w:space="0" w:color="auto"/>
        <w:bottom w:val="none" w:sz="0" w:space="0" w:color="auto"/>
        <w:right w:val="none" w:sz="0" w:space="0" w:color="auto"/>
      </w:divBdr>
      <w:divsChild>
        <w:div w:id="238368396">
          <w:marLeft w:val="0"/>
          <w:marRight w:val="0"/>
          <w:marTop w:val="0"/>
          <w:marBottom w:val="0"/>
          <w:divBdr>
            <w:top w:val="none" w:sz="0" w:space="0" w:color="auto"/>
            <w:left w:val="none" w:sz="0" w:space="0" w:color="auto"/>
            <w:bottom w:val="none" w:sz="0" w:space="0" w:color="auto"/>
            <w:right w:val="none" w:sz="0" w:space="0" w:color="auto"/>
          </w:divBdr>
        </w:div>
        <w:div w:id="1070690398">
          <w:marLeft w:val="0"/>
          <w:marRight w:val="0"/>
          <w:marTop w:val="0"/>
          <w:marBottom w:val="0"/>
          <w:divBdr>
            <w:top w:val="none" w:sz="0" w:space="0" w:color="auto"/>
            <w:left w:val="none" w:sz="0" w:space="0" w:color="auto"/>
            <w:bottom w:val="none" w:sz="0" w:space="0" w:color="auto"/>
            <w:right w:val="none" w:sz="0" w:space="0" w:color="auto"/>
          </w:divBdr>
        </w:div>
        <w:div w:id="1837769862">
          <w:marLeft w:val="0"/>
          <w:marRight w:val="0"/>
          <w:marTop w:val="0"/>
          <w:marBottom w:val="0"/>
          <w:divBdr>
            <w:top w:val="none" w:sz="0" w:space="0" w:color="auto"/>
            <w:left w:val="none" w:sz="0" w:space="0" w:color="auto"/>
            <w:bottom w:val="none" w:sz="0" w:space="0" w:color="auto"/>
            <w:right w:val="none" w:sz="0" w:space="0" w:color="auto"/>
          </w:divBdr>
        </w:div>
        <w:div w:id="1110053962">
          <w:marLeft w:val="0"/>
          <w:marRight w:val="0"/>
          <w:marTop w:val="0"/>
          <w:marBottom w:val="0"/>
          <w:divBdr>
            <w:top w:val="none" w:sz="0" w:space="0" w:color="auto"/>
            <w:left w:val="none" w:sz="0" w:space="0" w:color="auto"/>
            <w:bottom w:val="none" w:sz="0" w:space="0" w:color="auto"/>
            <w:right w:val="none" w:sz="0" w:space="0" w:color="auto"/>
          </w:divBdr>
        </w:div>
        <w:div w:id="2073968846">
          <w:marLeft w:val="0"/>
          <w:marRight w:val="0"/>
          <w:marTop w:val="0"/>
          <w:marBottom w:val="0"/>
          <w:divBdr>
            <w:top w:val="none" w:sz="0" w:space="0" w:color="auto"/>
            <w:left w:val="none" w:sz="0" w:space="0" w:color="auto"/>
            <w:bottom w:val="none" w:sz="0" w:space="0" w:color="auto"/>
            <w:right w:val="none" w:sz="0" w:space="0" w:color="auto"/>
          </w:divBdr>
        </w:div>
        <w:div w:id="1286042751">
          <w:marLeft w:val="0"/>
          <w:marRight w:val="0"/>
          <w:marTop w:val="0"/>
          <w:marBottom w:val="0"/>
          <w:divBdr>
            <w:top w:val="none" w:sz="0" w:space="0" w:color="auto"/>
            <w:left w:val="none" w:sz="0" w:space="0" w:color="auto"/>
            <w:bottom w:val="none" w:sz="0" w:space="0" w:color="auto"/>
            <w:right w:val="none" w:sz="0" w:space="0" w:color="auto"/>
          </w:divBdr>
        </w:div>
        <w:div w:id="1494755188">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sChild>
    </w:div>
    <w:div w:id="1778022524">
      <w:bodyDiv w:val="1"/>
      <w:marLeft w:val="0"/>
      <w:marRight w:val="0"/>
      <w:marTop w:val="0"/>
      <w:marBottom w:val="0"/>
      <w:divBdr>
        <w:top w:val="none" w:sz="0" w:space="0" w:color="auto"/>
        <w:left w:val="none" w:sz="0" w:space="0" w:color="auto"/>
        <w:bottom w:val="none" w:sz="0" w:space="0" w:color="auto"/>
        <w:right w:val="none" w:sz="0" w:space="0" w:color="auto"/>
      </w:divBdr>
      <w:divsChild>
        <w:div w:id="242185948">
          <w:marLeft w:val="0"/>
          <w:marRight w:val="0"/>
          <w:marTop w:val="0"/>
          <w:marBottom w:val="0"/>
          <w:divBdr>
            <w:top w:val="none" w:sz="0" w:space="0" w:color="auto"/>
            <w:left w:val="none" w:sz="0" w:space="0" w:color="auto"/>
            <w:bottom w:val="none" w:sz="0" w:space="0" w:color="auto"/>
            <w:right w:val="none" w:sz="0" w:space="0" w:color="auto"/>
          </w:divBdr>
        </w:div>
        <w:div w:id="9602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csdgalbania.org/sq/wp-content/uploads/2022/06/BSHS-2022-ALB.pdf" TargetMode="External"/><Relationship Id="rId7" Type="http://schemas.openxmlformats.org/officeDocument/2006/relationships/hyperlink" Target="https://al.usembassy.gov/sq/our-relationship-sq/official-reports-sq/" TargetMode="External"/><Relationship Id="rId2" Type="http://schemas.openxmlformats.org/officeDocument/2006/relationships/hyperlink" Target="https://www.rcc.int/balkanbarometer/publications" TargetMode="External"/><Relationship Id="rId1" Type="http://schemas.openxmlformats.org/officeDocument/2006/relationships/hyperlink" Target="http://ipls.org/wp-content/uploads/2020/07/Komentar-Mbi-reformen-kushtetuese-final.pdf%20-%20faqe%20149" TargetMode="External"/><Relationship Id="rId6" Type="http://schemas.openxmlformats.org/officeDocument/2006/relationships/hyperlink" Target="https://data.consilium.europa.eu/doc/document/ST-7002-2020-INIT/en/pdf" TargetMode="External"/><Relationship Id="rId5" Type="http://schemas.openxmlformats.org/officeDocument/2006/relationships/hyperlink" Target="https://dserver.bundestag.de/btd/19/135/1913509.pdf" TargetMode="External"/><Relationship Id="rId4" Type="http://schemas.openxmlformats.org/officeDocument/2006/relationships/hyperlink" Target="https://www.parlament.al/Files/Integrimi/opinio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6929D94-94B2-49D4-A8B7-2A25A5B3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9198</Words>
  <Characters>52431</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GJYKATA E RRETHIT GJYQËSOR KORÇË (për juridiksionin e gjyk. të zakonshme dhe atyre të posaçme për korrupsionin nën dhe mbi shumën 50.000 lekë)</vt:lpstr>
    </vt:vector>
  </TitlesOfParts>
  <Company/>
  <LinksUpToDate>false</LinksUpToDate>
  <CharactersWithSpaces>61506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dritantelhaj@gmail.com</cp:lastModifiedBy>
  <cp:revision>11</cp:revision>
  <cp:lastPrinted>2022-07-26T13:43:00Z</cp:lastPrinted>
  <dcterms:created xsi:type="dcterms:W3CDTF">2022-07-26T09:35:00Z</dcterms:created>
  <dcterms:modified xsi:type="dcterms:W3CDTF">2022-07-26T16:35:00Z</dcterms:modified>
</cp:coreProperties>
</file>