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E4" w:rsidRPr="00B55675" w:rsidRDefault="00CA36E4" w:rsidP="00F002AD">
      <w:pPr>
        <w:keepNext/>
        <w:spacing w:line="360" w:lineRule="auto"/>
        <w:jc w:val="center"/>
        <w:outlineLvl w:val="0"/>
        <w:rPr>
          <w:b/>
        </w:rPr>
      </w:pPr>
      <w:r w:rsidRPr="00B55675">
        <w:rPr>
          <w:b/>
        </w:rPr>
        <w:t>V</w:t>
      </w:r>
      <w:r w:rsidR="004E0B9A">
        <w:rPr>
          <w:b/>
        </w:rPr>
        <w:t>endim nr. 78 datë 27.12.</w:t>
      </w:r>
      <w:r w:rsidR="00F002AD">
        <w:rPr>
          <w:b/>
        </w:rPr>
        <w:t>2016</w:t>
      </w:r>
    </w:p>
    <w:p w:rsidR="00F002AD" w:rsidRDefault="00F002AD" w:rsidP="00F002AD">
      <w:pPr>
        <w:spacing w:line="360" w:lineRule="auto"/>
        <w:ind w:right="36" w:firstLine="720"/>
        <w:jc w:val="both"/>
        <w:rPr>
          <w:rFonts w:eastAsia="Calibri"/>
        </w:rPr>
      </w:pPr>
    </w:p>
    <w:p w:rsidR="00CA36E4" w:rsidRPr="00B55675" w:rsidRDefault="00CA36E4" w:rsidP="00F002AD">
      <w:pPr>
        <w:spacing w:line="360" w:lineRule="auto"/>
        <w:ind w:right="36" w:firstLine="720"/>
        <w:jc w:val="both"/>
      </w:pPr>
      <w:r w:rsidRPr="00B55675">
        <w:rPr>
          <w:rFonts w:eastAsia="Calibri"/>
        </w:rPr>
        <w:t>Gjykata Kushtetuese e Republikës së Shqipërisë, e përbërë nga:</w:t>
      </w:r>
      <w:r w:rsidR="00F002AD">
        <w:rPr>
          <w:rFonts w:eastAsia="Calibri"/>
        </w:rPr>
        <w:t xml:space="preserve"> </w:t>
      </w:r>
      <w:r w:rsidRPr="00B55675">
        <w:t>Bashkim Dedja,</w:t>
      </w:r>
      <w:r w:rsidR="00F002AD">
        <w:t xml:space="preserve"> </w:t>
      </w:r>
      <w:r w:rsidRPr="00B55675">
        <w:t>Kryetar</w:t>
      </w:r>
      <w:r w:rsidR="00F002AD">
        <w:t>,</w:t>
      </w:r>
      <w:r w:rsidRPr="00B55675">
        <w:t xml:space="preserve"> Vladimir Kristo,</w:t>
      </w:r>
      <w:r w:rsidR="00F002AD">
        <w:t xml:space="preserve"> Fatmir Hoxha, </w:t>
      </w:r>
      <w:r w:rsidRPr="00B55675">
        <w:t>Gani Dizdari,</w:t>
      </w:r>
      <w:r w:rsidR="00F002AD">
        <w:t xml:space="preserve"> </w:t>
      </w:r>
      <w:r w:rsidRPr="00B55675">
        <w:t>Besnik Imeraj,</w:t>
      </w:r>
      <w:r w:rsidR="00F002AD">
        <w:t xml:space="preserve"> </w:t>
      </w:r>
      <w:r w:rsidRPr="00B55675">
        <w:t>Fatos Lulo,</w:t>
      </w:r>
      <w:r w:rsidR="00F002AD">
        <w:t xml:space="preserve"> </w:t>
      </w:r>
      <w:r w:rsidR="000F7223" w:rsidRPr="00B55675">
        <w:t>Vitore Tusha,</w:t>
      </w:r>
      <w:r w:rsidR="00F002AD">
        <w:t xml:space="preserve"> </w:t>
      </w:r>
      <w:r w:rsidRPr="00B55675">
        <w:t>me sekretare Edmira Babaj</w:t>
      </w:r>
      <w:r w:rsidR="00763B86" w:rsidRPr="00B55675">
        <w:t xml:space="preserve">, në datën </w:t>
      </w:r>
      <w:r w:rsidR="00763B86" w:rsidRPr="00B55675">
        <w:softHyphen/>
      </w:r>
      <w:r w:rsidR="00763B86" w:rsidRPr="00B55675">
        <w:softHyphen/>
      </w:r>
      <w:r w:rsidR="00763B86" w:rsidRPr="00B55675">
        <w:softHyphen/>
      </w:r>
      <w:r w:rsidR="00763B86" w:rsidRPr="00B55675">
        <w:softHyphen/>
      </w:r>
      <w:r w:rsidR="00763B86" w:rsidRPr="00B55675">
        <w:softHyphen/>
      </w:r>
      <w:r w:rsidR="00763B86" w:rsidRPr="00B55675">
        <w:softHyphen/>
        <w:t>17.11.</w:t>
      </w:r>
      <w:r w:rsidRPr="00B55675">
        <w:t>201</w:t>
      </w:r>
      <w:r w:rsidR="00F6789E" w:rsidRPr="00B55675">
        <w:t>6</w:t>
      </w:r>
      <w:r w:rsidRPr="00B55675">
        <w:t xml:space="preserve"> mori në shqyrtim në seancë gjyqësore</w:t>
      </w:r>
      <w:r w:rsidR="003C5415" w:rsidRPr="00B55675">
        <w:t>,</w:t>
      </w:r>
      <w:r w:rsidRPr="00B55675">
        <w:t xml:space="preserve"> mbi bazë dokumentesh,  çështjen me nr.</w:t>
      </w:r>
      <w:r w:rsidR="00580941" w:rsidRPr="00B55675">
        <w:t xml:space="preserve"> 58</w:t>
      </w:r>
      <w:r w:rsidRPr="00B55675">
        <w:t xml:space="preserve"> Akti, që i përket:</w:t>
      </w:r>
    </w:p>
    <w:p w:rsidR="00CA36E4" w:rsidRPr="00B55675" w:rsidRDefault="00CA36E4" w:rsidP="00B55675">
      <w:pPr>
        <w:spacing w:line="360" w:lineRule="auto"/>
        <w:jc w:val="both"/>
      </w:pPr>
    </w:p>
    <w:p w:rsidR="00CA36E4" w:rsidRPr="00B55675" w:rsidRDefault="00CA36E4" w:rsidP="00B55675">
      <w:pPr>
        <w:spacing w:line="360" w:lineRule="auto"/>
        <w:ind w:firstLine="720"/>
        <w:jc w:val="both"/>
        <w:rPr>
          <w:b/>
          <w:bCs/>
        </w:rPr>
      </w:pPr>
      <w:r w:rsidRPr="00B55675">
        <w:rPr>
          <w:b/>
          <w:bCs/>
        </w:rPr>
        <w:t>KËRKUES</w:t>
      </w:r>
      <w:r w:rsidR="00F6789E" w:rsidRPr="00B55675">
        <w:rPr>
          <w:b/>
          <w:bCs/>
        </w:rPr>
        <w:t>E</w:t>
      </w:r>
      <w:r w:rsidRPr="00B55675">
        <w:rPr>
          <w:b/>
          <w:bCs/>
        </w:rPr>
        <w:t>:</w:t>
      </w:r>
      <w:r w:rsidRPr="00B55675">
        <w:rPr>
          <w:b/>
          <w:bCs/>
        </w:rPr>
        <w:tab/>
        <w:t xml:space="preserve">  </w:t>
      </w:r>
      <w:r w:rsidR="00F6789E" w:rsidRPr="00B55675">
        <w:rPr>
          <w:b/>
          <w:bCs/>
        </w:rPr>
        <w:tab/>
        <w:t>NARGIS LUNGU SHKRELI</w:t>
      </w:r>
    </w:p>
    <w:p w:rsidR="00CA36E4" w:rsidRPr="00B55675" w:rsidRDefault="00CA36E4" w:rsidP="00B55675">
      <w:pPr>
        <w:spacing w:line="360" w:lineRule="auto"/>
        <w:ind w:firstLine="720"/>
        <w:jc w:val="both"/>
        <w:rPr>
          <w:b/>
          <w:bCs/>
        </w:rPr>
      </w:pPr>
    </w:p>
    <w:p w:rsidR="00CA36E4" w:rsidRPr="00B55675" w:rsidRDefault="00CA36E4" w:rsidP="00B55675">
      <w:pPr>
        <w:spacing w:line="360" w:lineRule="auto"/>
        <w:ind w:firstLine="720"/>
        <w:jc w:val="both"/>
        <w:rPr>
          <w:b/>
          <w:bCs/>
        </w:rPr>
      </w:pPr>
      <w:r w:rsidRPr="00B55675">
        <w:rPr>
          <w:b/>
          <w:bCs/>
        </w:rPr>
        <w:t>SUBJEKTE TË INTERESUARA:</w:t>
      </w:r>
      <w:r w:rsidRPr="00B55675">
        <w:rPr>
          <w:b/>
          <w:bCs/>
        </w:rPr>
        <w:tab/>
      </w:r>
    </w:p>
    <w:p w:rsidR="00873166" w:rsidRPr="00B55675" w:rsidRDefault="00F6789E" w:rsidP="00B55675">
      <w:pPr>
        <w:spacing w:line="360" w:lineRule="auto"/>
        <w:jc w:val="both"/>
        <w:rPr>
          <w:b/>
        </w:rPr>
      </w:pPr>
      <w:r w:rsidRPr="00B55675">
        <w:rPr>
          <w:b/>
          <w:bCs/>
        </w:rPr>
        <w:tab/>
      </w:r>
      <w:r w:rsidRPr="00B55675">
        <w:rPr>
          <w:b/>
          <w:bCs/>
        </w:rPr>
        <w:tab/>
      </w:r>
      <w:r w:rsidRPr="00B55675">
        <w:rPr>
          <w:b/>
          <w:bCs/>
        </w:rPr>
        <w:tab/>
      </w:r>
      <w:r w:rsidR="00267739" w:rsidRPr="00B55675">
        <w:rPr>
          <w:b/>
          <w:bCs/>
        </w:rPr>
        <w:tab/>
      </w:r>
      <w:r w:rsidR="00873166" w:rsidRPr="00B55675">
        <w:rPr>
          <w:b/>
        </w:rPr>
        <w:t xml:space="preserve">LIVIA SHKRELI </w:t>
      </w:r>
    </w:p>
    <w:p w:rsidR="00873166" w:rsidRPr="00B55675" w:rsidRDefault="00873166" w:rsidP="00B55675">
      <w:pPr>
        <w:spacing w:line="360" w:lineRule="auto"/>
        <w:ind w:left="2160" w:firstLine="720"/>
        <w:jc w:val="both"/>
        <w:rPr>
          <w:b/>
        </w:rPr>
      </w:pPr>
      <w:r w:rsidRPr="00B55675">
        <w:rPr>
          <w:b/>
        </w:rPr>
        <w:t xml:space="preserve">MARLIND SHKRELI </w:t>
      </w:r>
    </w:p>
    <w:p w:rsidR="00F6789E" w:rsidRPr="00B55675" w:rsidRDefault="00873166" w:rsidP="00B55675">
      <w:pPr>
        <w:spacing w:line="360" w:lineRule="auto"/>
        <w:ind w:left="2160" w:firstLine="720"/>
        <w:jc w:val="both"/>
        <w:rPr>
          <w:b/>
          <w:bCs/>
        </w:rPr>
      </w:pPr>
      <w:r w:rsidRPr="00B55675">
        <w:rPr>
          <w:b/>
        </w:rPr>
        <w:t>INGRID SHKRELI DANO</w:t>
      </w:r>
    </w:p>
    <w:p w:rsidR="00CA36E4" w:rsidRPr="00B55675" w:rsidRDefault="00CA36E4" w:rsidP="00B55675">
      <w:pPr>
        <w:spacing w:line="360" w:lineRule="auto"/>
        <w:ind w:left="2160" w:firstLine="720"/>
        <w:jc w:val="both"/>
        <w:rPr>
          <w:b/>
          <w:bCs/>
        </w:rPr>
      </w:pPr>
    </w:p>
    <w:p w:rsidR="00444CFD" w:rsidRPr="00B55675" w:rsidRDefault="00CA36E4" w:rsidP="00B55675">
      <w:pPr>
        <w:spacing w:line="360" w:lineRule="auto"/>
        <w:ind w:left="2880" w:hanging="2160"/>
        <w:jc w:val="both"/>
        <w:rPr>
          <w:b/>
        </w:rPr>
      </w:pPr>
      <w:r w:rsidRPr="00B55675">
        <w:rPr>
          <w:b/>
          <w:bCs/>
        </w:rPr>
        <w:t>OBJEKTI:</w:t>
      </w:r>
      <w:r w:rsidRPr="00B55675">
        <w:rPr>
          <w:b/>
          <w:bCs/>
        </w:rPr>
        <w:tab/>
      </w:r>
      <w:r w:rsidR="00444CFD" w:rsidRPr="00B55675">
        <w:rPr>
          <w:b/>
        </w:rPr>
        <w:t>Shfuqizimi si të papajtuesh</w:t>
      </w:r>
      <w:r w:rsidRPr="00B55675">
        <w:rPr>
          <w:b/>
        </w:rPr>
        <w:t>m</w:t>
      </w:r>
      <w:r w:rsidR="00444CFD" w:rsidRPr="00B55675">
        <w:rPr>
          <w:b/>
        </w:rPr>
        <w:t>e me Kushtetutën</w:t>
      </w:r>
      <w:r w:rsidRPr="00B55675">
        <w:rPr>
          <w:b/>
        </w:rPr>
        <w:t xml:space="preserve"> i vendimeve </w:t>
      </w:r>
      <w:r w:rsidR="00C01A01" w:rsidRPr="00B55675">
        <w:rPr>
          <w:b/>
        </w:rPr>
        <w:t>nr.</w:t>
      </w:r>
      <w:r w:rsidR="004217C0" w:rsidRPr="00B55675">
        <w:rPr>
          <w:b/>
        </w:rPr>
        <w:t xml:space="preserve"> </w:t>
      </w:r>
      <w:r w:rsidR="00444CFD" w:rsidRPr="00B55675">
        <w:rPr>
          <w:b/>
        </w:rPr>
        <w:t>00-2015-761, datë 05.02.2015 të Kolegjit Civ</w:t>
      </w:r>
      <w:r w:rsidR="006F4E45" w:rsidRPr="00B55675">
        <w:rPr>
          <w:b/>
        </w:rPr>
        <w:t>il të Gjykatës së Lartë dhe nr.</w:t>
      </w:r>
      <w:r w:rsidR="00444CFD" w:rsidRPr="00B55675">
        <w:rPr>
          <w:b/>
        </w:rPr>
        <w:t xml:space="preserve">2592, datë 30.11.2011 të Gjykatës së Apelit Tiranë.  </w:t>
      </w:r>
    </w:p>
    <w:p w:rsidR="00444CFD" w:rsidRPr="00B55675" w:rsidRDefault="00444CFD" w:rsidP="00B55675">
      <w:pPr>
        <w:spacing w:line="360" w:lineRule="auto"/>
        <w:ind w:left="2160" w:hanging="2160"/>
        <w:jc w:val="both"/>
        <w:rPr>
          <w:b/>
          <w:bCs/>
        </w:rPr>
      </w:pPr>
    </w:p>
    <w:p w:rsidR="00CA36E4" w:rsidRPr="00B55675" w:rsidRDefault="00CA36E4" w:rsidP="00B55675">
      <w:pPr>
        <w:spacing w:line="360" w:lineRule="auto"/>
        <w:ind w:left="2880" w:hanging="2160"/>
        <w:jc w:val="both"/>
      </w:pPr>
      <w:r w:rsidRPr="00B55675">
        <w:rPr>
          <w:b/>
        </w:rPr>
        <w:t>BAZA LIGJORE:</w:t>
      </w:r>
      <w:r w:rsidRPr="00B55675">
        <w:rPr>
          <w:b/>
        </w:rPr>
        <w:tab/>
      </w:r>
      <w:r w:rsidR="006F4E45" w:rsidRPr="00B55675">
        <w:t>Nenet 42, 131/f</w:t>
      </w:r>
      <w:r w:rsidR="008943F0" w:rsidRPr="00B55675">
        <w:t xml:space="preserve"> dhe </w:t>
      </w:r>
      <w:r w:rsidR="00323C1C" w:rsidRPr="00B55675">
        <w:t>134/1/i</w:t>
      </w:r>
      <w:r w:rsidRPr="00B55675">
        <w:t xml:space="preserve"> të Kushtetutës s</w:t>
      </w:r>
      <w:r w:rsidR="006F4E45" w:rsidRPr="00B55675">
        <w:t>ë Republikës së Shqipërisë, neni 6 i Konventës Eu</w:t>
      </w:r>
      <w:r w:rsidRPr="00B55675">
        <w:t xml:space="preserve">ropiane për të </w:t>
      </w:r>
      <w:r w:rsidR="00462490" w:rsidRPr="00B55675">
        <w:t>Drejtat e Njeriut dhe ligji nr.</w:t>
      </w:r>
      <w:r w:rsidRPr="00B55675">
        <w:t>8577, datë 10.02.2000 “Për organizimin dhe funksionimin e Gjykatës Kushtetuese të Republikës së Shqipërisë”</w:t>
      </w:r>
      <w:r w:rsidR="00735C13" w:rsidRPr="00B55675">
        <w:t>.</w:t>
      </w:r>
    </w:p>
    <w:p w:rsidR="00CA36E4" w:rsidRPr="00B55675" w:rsidRDefault="00CA36E4" w:rsidP="00B55675">
      <w:pPr>
        <w:spacing w:line="360" w:lineRule="auto"/>
        <w:ind w:firstLine="720"/>
        <w:jc w:val="both"/>
        <w:rPr>
          <w:b/>
        </w:rPr>
      </w:pPr>
    </w:p>
    <w:p w:rsidR="00CA36E4" w:rsidRPr="00B55675" w:rsidRDefault="00CA36E4" w:rsidP="00B55675">
      <w:pPr>
        <w:spacing w:line="360" w:lineRule="auto"/>
        <w:jc w:val="center"/>
        <w:rPr>
          <w:b/>
          <w:bCs/>
        </w:rPr>
      </w:pPr>
      <w:r w:rsidRPr="00B55675">
        <w:rPr>
          <w:b/>
          <w:bCs/>
        </w:rPr>
        <w:t>GJYKATA  KUSHTETUESE,</w:t>
      </w:r>
    </w:p>
    <w:p w:rsidR="00CA36E4" w:rsidRPr="00B55675" w:rsidRDefault="00A07D7E" w:rsidP="00B55675">
      <w:pPr>
        <w:spacing w:line="360" w:lineRule="auto"/>
        <w:ind w:firstLine="720"/>
        <w:jc w:val="both"/>
      </w:pPr>
      <w:r w:rsidRPr="00B55675">
        <w:t>pasi dëgjoi relator</w:t>
      </w:r>
      <w:r w:rsidR="001823AC" w:rsidRPr="00B55675">
        <w:t>e</w:t>
      </w:r>
      <w:r w:rsidR="003C52F1" w:rsidRPr="00B55675">
        <w:t>n e çështjes</w:t>
      </w:r>
      <w:r w:rsidR="00CA36E4" w:rsidRPr="00B55675">
        <w:t xml:space="preserve"> </w:t>
      </w:r>
      <w:r w:rsidRPr="00B55675">
        <w:t>Vitore Tusha</w:t>
      </w:r>
      <w:r w:rsidR="00CA36E4" w:rsidRPr="00B55675">
        <w:t>, mori në shqyrtim pr</w:t>
      </w:r>
      <w:r w:rsidRPr="00B55675">
        <w:t>etendimet me shkrim të kërkueses, e cila</w:t>
      </w:r>
      <w:r w:rsidR="00CA36E4" w:rsidRPr="00B55675">
        <w:t xml:space="preserve"> ka kërkuar pranimin e kërkesës, prapësimet me shkrim të subjektit të interesuar, </w:t>
      </w:r>
      <w:r w:rsidR="001823AC" w:rsidRPr="00B55675">
        <w:t>Livia Shkreli</w:t>
      </w:r>
      <w:r w:rsidR="00CA36E4" w:rsidRPr="00B55675">
        <w:t>, që ka</w:t>
      </w:r>
      <w:r w:rsidR="008B1F2F" w:rsidRPr="00B55675">
        <w:t xml:space="preserve"> kërkuar rrëzimin e kërkesës</w:t>
      </w:r>
      <w:r w:rsidR="00CA36E4" w:rsidRPr="00B55675">
        <w:t>,</w:t>
      </w:r>
      <w:r w:rsidR="008B1F2F" w:rsidRPr="00B55675">
        <w:t xml:space="preserve"> konstatoi se </w:t>
      </w:r>
      <w:r w:rsidR="00A15D0E" w:rsidRPr="00B55675">
        <w:t>subjektet e tjera të interesuara, Marlind dhe Ingrid Shkreli</w:t>
      </w:r>
      <w:r w:rsidR="00277AE8" w:rsidRPr="00B55675">
        <w:t>,</w:t>
      </w:r>
      <w:r w:rsidR="00A15D0E" w:rsidRPr="00B55675">
        <w:t xml:space="preserve"> nuk kanë paraqitur prapësime</w:t>
      </w:r>
      <w:r w:rsidR="00277AE8" w:rsidRPr="00B55675">
        <w:t>, si dhe</w:t>
      </w:r>
      <w:r w:rsidR="00CA36E4" w:rsidRPr="00B55675">
        <w:t xml:space="preserve"> diskutoi çështjen në tërësi,</w:t>
      </w:r>
    </w:p>
    <w:p w:rsidR="00CA36E4" w:rsidRPr="00B55675" w:rsidRDefault="00CA36E4" w:rsidP="00B55675">
      <w:pPr>
        <w:spacing w:line="360" w:lineRule="auto"/>
        <w:jc w:val="center"/>
        <w:rPr>
          <w:b/>
          <w:bCs/>
        </w:rPr>
      </w:pPr>
    </w:p>
    <w:p w:rsidR="00CA36E4" w:rsidRPr="00B55675" w:rsidRDefault="00CA36E4" w:rsidP="00B55675">
      <w:pPr>
        <w:spacing w:line="360" w:lineRule="auto"/>
        <w:jc w:val="center"/>
        <w:rPr>
          <w:b/>
          <w:bCs/>
        </w:rPr>
      </w:pPr>
      <w:r w:rsidRPr="00B55675">
        <w:rPr>
          <w:b/>
          <w:bCs/>
        </w:rPr>
        <w:t>V Ë R E N:</w:t>
      </w:r>
    </w:p>
    <w:p w:rsidR="00CA36E4" w:rsidRPr="00B55675" w:rsidRDefault="00CA36E4" w:rsidP="00B55675">
      <w:pPr>
        <w:spacing w:line="360" w:lineRule="auto"/>
        <w:jc w:val="center"/>
        <w:rPr>
          <w:b/>
          <w:bCs/>
        </w:rPr>
      </w:pPr>
      <w:r w:rsidRPr="00B55675">
        <w:rPr>
          <w:b/>
          <w:bCs/>
        </w:rPr>
        <w:lastRenderedPageBreak/>
        <w:t>I</w:t>
      </w:r>
    </w:p>
    <w:p w:rsidR="00D53475" w:rsidRPr="00B55675" w:rsidRDefault="006D3EA7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rPr>
          <w:bCs/>
        </w:rPr>
        <w:t>Me testamentin nr.</w:t>
      </w:r>
      <w:r w:rsidR="005B6B8E" w:rsidRPr="00B55675">
        <w:rPr>
          <w:bCs/>
        </w:rPr>
        <w:t>6, datë 13.02</w:t>
      </w:r>
      <w:r w:rsidR="00685B16" w:rsidRPr="00B55675">
        <w:rPr>
          <w:bCs/>
        </w:rPr>
        <w:t>.1996, testatorja Lejla Shkreli</w:t>
      </w:r>
      <w:r w:rsidR="005B6B8E" w:rsidRPr="00B55675">
        <w:rPr>
          <w:bCs/>
        </w:rPr>
        <w:t xml:space="preserve"> ka përcaktuar si trashëgimtare vajzën e saj Nargis Lungu Shkreli (kërkuesja). Testatorja ka pasur tre fëmijë, përkatësisht kërkuesen dhe djemtë</w:t>
      </w:r>
      <w:r w:rsidR="005C753B" w:rsidRPr="00B55675">
        <w:rPr>
          <w:bCs/>
        </w:rPr>
        <w:t>,</w:t>
      </w:r>
      <w:r w:rsidR="00157B0B" w:rsidRPr="00B55675">
        <w:rPr>
          <w:bCs/>
        </w:rPr>
        <w:t xml:space="preserve"> Tarik</w:t>
      </w:r>
      <w:r w:rsidR="005B6B8E" w:rsidRPr="00B55675">
        <w:rPr>
          <w:bCs/>
        </w:rPr>
        <w:t xml:space="preserve"> dhe Vildan Shkreli. Subjektet e interesuara, Livia Shkreli (stërmbesa e testatores) dhe Ingrid Shkreli (mbesa e testatores)</w:t>
      </w:r>
      <w:r w:rsidR="00B97BB2" w:rsidRPr="00B55675">
        <w:rPr>
          <w:bCs/>
        </w:rPr>
        <w:t>,</w:t>
      </w:r>
      <w:r w:rsidR="005B6B8E" w:rsidRPr="00B55675">
        <w:rPr>
          <w:bCs/>
        </w:rPr>
        <w:t xml:space="preserve"> kanë ngritur padi në gjykatë për pavlefshmërinë e testamentit, duke kërkuar</w:t>
      </w:r>
      <w:r w:rsidR="005C753B" w:rsidRPr="00B55675">
        <w:rPr>
          <w:bCs/>
        </w:rPr>
        <w:t xml:space="preserve"> njohjen e tyre si trashëgimtare</w:t>
      </w:r>
      <w:r w:rsidR="00B97BB2" w:rsidRPr="00B55675">
        <w:rPr>
          <w:bCs/>
        </w:rPr>
        <w:t xml:space="preserve"> ligjore</w:t>
      </w:r>
      <w:r w:rsidR="005B6B8E" w:rsidRPr="00B55675">
        <w:rPr>
          <w:bCs/>
        </w:rPr>
        <w:t xml:space="preserve"> të Lejla Shkrelit në 1/3-ën pjesë të pasurisë të përcaktuar në testamentin e lënë prej saj. </w:t>
      </w:r>
    </w:p>
    <w:p w:rsidR="005B6B8E" w:rsidRPr="00B55675" w:rsidRDefault="005B6B8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rPr>
          <w:bCs/>
        </w:rPr>
        <w:t>Gjykata e Rrethit Gjyqësor Tiranë</w:t>
      </w:r>
      <w:r w:rsidR="00B97BB2" w:rsidRPr="00B55675">
        <w:rPr>
          <w:bCs/>
        </w:rPr>
        <w:t>, me vendimin nr.</w:t>
      </w:r>
      <w:r w:rsidRPr="00B55675">
        <w:rPr>
          <w:bCs/>
        </w:rPr>
        <w:t>10018, datë 23.12.2010</w:t>
      </w:r>
      <w:r w:rsidR="003042DF" w:rsidRPr="00B55675">
        <w:rPr>
          <w:bCs/>
        </w:rPr>
        <w:t>, ka vendosur rrëzimin e padisë së subjekteve të interesuara.</w:t>
      </w:r>
      <w:r w:rsidRPr="00B55675">
        <w:rPr>
          <w:bCs/>
        </w:rPr>
        <w:t xml:space="preserve"> </w:t>
      </w:r>
    </w:p>
    <w:p w:rsidR="005B6B8E" w:rsidRPr="00B55675" w:rsidRDefault="005B6B8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rPr>
          <w:bCs/>
        </w:rPr>
        <w:t>Gjykata e Apelit Tiranë, me vendimin nr.</w:t>
      </w:r>
      <w:r w:rsidRPr="00B55675">
        <w:t>2592, datë 30.11.2011</w:t>
      </w:r>
      <w:r w:rsidRPr="00B55675">
        <w:rPr>
          <w:i/>
        </w:rPr>
        <w:t xml:space="preserve">, </w:t>
      </w:r>
      <w:r w:rsidRPr="00B55675">
        <w:rPr>
          <w:bCs/>
        </w:rPr>
        <w:t xml:space="preserve">ka vendosur ndryshimin e vendimit të mësipërm, konstatimin pjesërisht të pavlefshëm të testamentit dhe detyrimin e kërkueses të njohë Livia Shkrelin si trashëgimtare të trashëgimlënëses Lejla Shkreli në 1/3-ën pjesë të pasurisë së disponuar me testament, si dhe rrëzimin e padisë për Ingrid Shkrelin. </w:t>
      </w:r>
    </w:p>
    <w:p w:rsidR="005B6B8E" w:rsidRPr="00B55675" w:rsidRDefault="005B6B8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rPr>
          <w:bCs/>
        </w:rPr>
        <w:t>Kolegji Civil i Gjykatës së Lartë, me vendimin nr.</w:t>
      </w:r>
      <w:r w:rsidRPr="00B55675">
        <w:t xml:space="preserve"> 00-2015-761, datë 05.02.2015</w:t>
      </w:r>
      <w:r w:rsidRPr="00B55675">
        <w:rPr>
          <w:i/>
        </w:rPr>
        <w:t xml:space="preserve">, </w:t>
      </w:r>
      <w:r w:rsidRPr="00B55675">
        <w:rPr>
          <w:bCs/>
        </w:rPr>
        <w:t>ka vendosur lënien në fuqi të vendimit nr.</w:t>
      </w:r>
      <w:r w:rsidRPr="00B55675">
        <w:t xml:space="preserve"> 2592, datë 30.11.2011</w:t>
      </w:r>
      <w:r w:rsidRPr="00B55675">
        <w:rPr>
          <w:bCs/>
        </w:rPr>
        <w:t xml:space="preserve"> të Gjykatës së Apelit Tiranë. </w:t>
      </w:r>
    </w:p>
    <w:p w:rsidR="005B6B8E" w:rsidRDefault="00725EEF" w:rsidP="00B55675">
      <w:pPr>
        <w:spacing w:line="360" w:lineRule="auto"/>
        <w:jc w:val="center"/>
        <w:rPr>
          <w:b/>
          <w:bCs/>
        </w:rPr>
      </w:pPr>
      <w:r w:rsidRPr="00B55675">
        <w:rPr>
          <w:b/>
          <w:bCs/>
        </w:rPr>
        <w:t>II</w:t>
      </w:r>
    </w:p>
    <w:p w:rsidR="00B55675" w:rsidRPr="00B55675" w:rsidRDefault="00B55675" w:rsidP="00B55675">
      <w:pPr>
        <w:spacing w:line="360" w:lineRule="auto"/>
        <w:jc w:val="center"/>
        <w:rPr>
          <w:b/>
          <w:bCs/>
        </w:rPr>
      </w:pPr>
    </w:p>
    <w:p w:rsidR="003E0954" w:rsidRPr="00B55675" w:rsidRDefault="00CA36E4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</w:pPr>
      <w:r w:rsidRPr="00B55675">
        <w:rPr>
          <w:b/>
          <w:i/>
        </w:rPr>
        <w:t xml:space="preserve">Kërkuesja </w:t>
      </w:r>
      <w:r w:rsidR="00684014" w:rsidRPr="00B55675">
        <w:rPr>
          <w:b/>
          <w:bCs/>
          <w:i/>
        </w:rPr>
        <w:t>Nargis Lungu Shkreli</w:t>
      </w:r>
      <w:r w:rsidR="00684014" w:rsidRPr="00B55675">
        <w:rPr>
          <w:bCs/>
        </w:rPr>
        <w:t xml:space="preserve"> i është drejtuar Gjykatës Kushtetuese (Gjykata), duke pretenduar se ndaj saj është zhvilluar një proces i parregullt ligjor. Më konkretisht, ajo ka parashtruar se:</w:t>
      </w:r>
    </w:p>
    <w:p w:rsidR="00684014" w:rsidRPr="00B55675" w:rsidRDefault="00684014" w:rsidP="00B55675">
      <w:pPr>
        <w:pStyle w:val="ListParagraph"/>
        <w:numPr>
          <w:ilvl w:val="1"/>
          <w:numId w:val="2"/>
        </w:numPr>
        <w:spacing w:line="360" w:lineRule="auto"/>
        <w:ind w:left="1260" w:hanging="450"/>
        <w:jc w:val="both"/>
      </w:pPr>
      <w:r w:rsidRPr="00B55675">
        <w:rPr>
          <w:bCs/>
        </w:rPr>
        <w:t>Është cenuar parimi i sigurisë juridike</w:t>
      </w:r>
      <w:r w:rsidR="002A0C8D" w:rsidRPr="00B55675">
        <w:rPr>
          <w:bCs/>
        </w:rPr>
        <w:t>,</w:t>
      </w:r>
      <w:r w:rsidRPr="00B55675">
        <w:rPr>
          <w:bCs/>
        </w:rPr>
        <w:t xml:space="preserve"> pasi ajo i ka fituar të drejtat e pronësisë në bazë të testamentit. Padia për kundërshtimin e testamentit është ngritur pas 8 vjetësh</w:t>
      </w:r>
      <w:r w:rsidR="00834DBA" w:rsidRPr="00B55675">
        <w:rPr>
          <w:bCs/>
        </w:rPr>
        <w:t>,</w:t>
      </w:r>
      <w:r w:rsidRPr="00B55675">
        <w:rPr>
          <w:bCs/>
        </w:rPr>
        <w:t xml:space="preserve"> pasi ishte çelur trashëgimia, ndërkohë që sipas nenit 411 të Kodit Civil (KC) kjo lloj padie ngrihet brenda tre vjetëve nga çelja e trashëgimisë. Vendimet gjyqësore të kundërshtuara kanë cenuar të drejtën e pronës, duke e zgjidhur çështjen në kundërshtim të hapur me dispozitat ligjore në fuqi (nenet 94, 112, 361, 379 e 411 të KC-së). </w:t>
      </w:r>
    </w:p>
    <w:p w:rsidR="00684014" w:rsidRPr="00B55675" w:rsidRDefault="00684014" w:rsidP="00B55675">
      <w:pPr>
        <w:pStyle w:val="ListParagraph"/>
        <w:numPr>
          <w:ilvl w:val="1"/>
          <w:numId w:val="2"/>
        </w:numPr>
        <w:spacing w:line="360" w:lineRule="auto"/>
        <w:ind w:left="1260" w:hanging="450"/>
        <w:jc w:val="both"/>
      </w:pPr>
      <w:r w:rsidRPr="00B55675">
        <w:rPr>
          <w:bCs/>
        </w:rPr>
        <w:t>Gjykata e Lartë ka mbajtur qëndrim të ndryshëm në çështje të ngjashme, duke shkelur parimin e paanshmërisë dhe objektivitetin në gjykim. Gjyqtarët</w:t>
      </w:r>
      <w:r w:rsidR="00825FA3" w:rsidRPr="00B55675">
        <w:rPr>
          <w:bCs/>
        </w:rPr>
        <w:t>,</w:t>
      </w:r>
      <w:r w:rsidRPr="00B55675">
        <w:rPr>
          <w:bCs/>
        </w:rPr>
        <w:t xml:space="preserve"> pjesë e </w:t>
      </w:r>
      <w:r w:rsidRPr="00B55675">
        <w:rPr>
          <w:bCs/>
        </w:rPr>
        <w:lastRenderedPageBreak/>
        <w:t>trupit gjykues</w:t>
      </w:r>
      <w:r w:rsidR="00825FA3" w:rsidRPr="00B55675">
        <w:rPr>
          <w:bCs/>
        </w:rPr>
        <w:t>,</w:t>
      </w:r>
      <w:r w:rsidRPr="00B55675">
        <w:rPr>
          <w:bCs/>
        </w:rPr>
        <w:t xml:space="preserve"> kanë mbajtur qëndrime</w:t>
      </w:r>
      <w:r w:rsidR="00834DBA" w:rsidRPr="00B55675">
        <w:rPr>
          <w:bCs/>
        </w:rPr>
        <w:t xml:space="preserve"> të kundërta me zgjidhjen që ata</w:t>
      </w:r>
      <w:r w:rsidRPr="00B55675">
        <w:rPr>
          <w:bCs/>
        </w:rPr>
        <w:t xml:space="preserve"> kanë dhënë në vendime të tjera</w:t>
      </w:r>
      <w:r w:rsidR="00825FA3" w:rsidRPr="00B55675">
        <w:rPr>
          <w:bCs/>
        </w:rPr>
        <w:t xml:space="preserve"> gjyqësore</w:t>
      </w:r>
      <w:r w:rsidRPr="00B55675">
        <w:rPr>
          <w:bCs/>
        </w:rPr>
        <w:t xml:space="preserve"> për të njëjtin shkak ligjor.  </w:t>
      </w:r>
    </w:p>
    <w:p w:rsidR="00684014" w:rsidRPr="00B55675" w:rsidRDefault="00C62A27" w:rsidP="00B55675">
      <w:pPr>
        <w:pStyle w:val="ListParagraph"/>
        <w:numPr>
          <w:ilvl w:val="1"/>
          <w:numId w:val="2"/>
        </w:numPr>
        <w:spacing w:line="360" w:lineRule="auto"/>
        <w:ind w:left="1260" w:hanging="450"/>
        <w:jc w:val="both"/>
      </w:pPr>
      <w:r w:rsidRPr="00B55675">
        <w:rPr>
          <w:bCs/>
        </w:rPr>
        <w:t>Vendimet e gjykatave</w:t>
      </w:r>
      <w:r w:rsidR="002B6FD9" w:rsidRPr="00B55675">
        <w:rPr>
          <w:bCs/>
        </w:rPr>
        <w:t>,</w:t>
      </w:r>
      <w:r w:rsidRPr="00B55675">
        <w:rPr>
          <w:bCs/>
        </w:rPr>
        <w:t xml:space="preserve"> </w:t>
      </w:r>
      <w:r w:rsidR="00BF386D" w:rsidRPr="00B55675">
        <w:rPr>
          <w:bCs/>
        </w:rPr>
        <w:t>përveçse</w:t>
      </w:r>
      <w:r w:rsidRPr="00B55675">
        <w:rPr>
          <w:bCs/>
        </w:rPr>
        <w:t xml:space="preserve"> </w:t>
      </w:r>
      <w:r w:rsidR="00684014" w:rsidRPr="00B55675">
        <w:rPr>
          <w:bCs/>
        </w:rPr>
        <w:t xml:space="preserve">vijnë në kundërshtim </w:t>
      </w:r>
      <w:r w:rsidRPr="00B55675">
        <w:rPr>
          <w:bCs/>
        </w:rPr>
        <w:t>me përmbajtjen e nenit 379 të KC-së</w:t>
      </w:r>
      <w:r w:rsidR="00816484" w:rsidRPr="00B55675">
        <w:rPr>
          <w:bCs/>
        </w:rPr>
        <w:t>,</w:t>
      </w:r>
      <w:r w:rsidRPr="00B55675">
        <w:rPr>
          <w:bCs/>
        </w:rPr>
        <w:t xml:space="preserve"> </w:t>
      </w:r>
      <w:r w:rsidR="00BF386D" w:rsidRPr="00B55675">
        <w:rPr>
          <w:bCs/>
        </w:rPr>
        <w:t xml:space="preserve">nuk kanë marrë parasysh faktin se </w:t>
      </w:r>
      <w:r w:rsidR="00684014" w:rsidRPr="00B55675">
        <w:rPr>
          <w:bCs/>
        </w:rPr>
        <w:t>në rastin konkret kemi të bëjmë me një testament me titull të pos</w:t>
      </w:r>
      <w:r w:rsidR="00BF386D" w:rsidRPr="00B55675">
        <w:rPr>
          <w:bCs/>
        </w:rPr>
        <w:t xml:space="preserve">açëm dhe jo me titull universal, ndaj për rrjedhojë testatorja nuk i ka përjashtuar </w:t>
      </w:r>
      <w:r w:rsidR="00157B0B" w:rsidRPr="00B55675">
        <w:rPr>
          <w:bCs/>
        </w:rPr>
        <w:t>nga trashëgimia ligjore dy djemtë e saj, Vildan e Tarik Shkreli.</w:t>
      </w:r>
      <w:r w:rsidR="00816484" w:rsidRPr="00B55675">
        <w:rPr>
          <w:bCs/>
        </w:rPr>
        <w:t xml:space="preserve"> Ato</w:t>
      </w:r>
      <w:r w:rsidR="00684014" w:rsidRPr="00B55675">
        <w:rPr>
          <w:bCs/>
        </w:rPr>
        <w:t xml:space="preserve"> vijnë gjithashtu në kundër</w:t>
      </w:r>
      <w:r w:rsidR="00A720A2" w:rsidRPr="00B55675">
        <w:rPr>
          <w:bCs/>
        </w:rPr>
        <w:t>shtim me vendimin unifikues nr.</w:t>
      </w:r>
      <w:r w:rsidR="00684014" w:rsidRPr="00B55675">
        <w:rPr>
          <w:bCs/>
        </w:rPr>
        <w:t xml:space="preserve">1/2014 të Gjykatës së Lartë.   </w:t>
      </w:r>
    </w:p>
    <w:p w:rsidR="00D27DC7" w:rsidRPr="00B55675" w:rsidRDefault="00D27DC7" w:rsidP="00B55675">
      <w:pPr>
        <w:pStyle w:val="ListParagraph"/>
        <w:numPr>
          <w:ilvl w:val="0"/>
          <w:numId w:val="2"/>
        </w:numPr>
        <w:spacing w:line="360" w:lineRule="auto"/>
        <w:ind w:left="1080"/>
        <w:jc w:val="both"/>
        <w:rPr>
          <w:bCs/>
        </w:rPr>
      </w:pPr>
      <w:r w:rsidRPr="00B55675">
        <w:rPr>
          <w:b/>
          <w:bCs/>
          <w:i/>
        </w:rPr>
        <w:t>Subjekti i interesuar</w:t>
      </w:r>
      <w:r w:rsidRPr="00B55675">
        <w:rPr>
          <w:bCs/>
        </w:rPr>
        <w:t xml:space="preserve"> </w:t>
      </w:r>
      <w:r w:rsidRPr="00B55675">
        <w:rPr>
          <w:b/>
          <w:bCs/>
          <w:i/>
        </w:rPr>
        <w:t>Livia Shkreli</w:t>
      </w:r>
      <w:r w:rsidRPr="00B55675">
        <w:rPr>
          <w:bCs/>
        </w:rPr>
        <w:t xml:space="preserve"> ka prapësuar si vijon: </w:t>
      </w:r>
    </w:p>
    <w:p w:rsidR="00D27DC7" w:rsidRPr="00B55675" w:rsidRDefault="00D27DC7" w:rsidP="00B55675">
      <w:pPr>
        <w:pStyle w:val="ListParagraph"/>
        <w:numPr>
          <w:ilvl w:val="1"/>
          <w:numId w:val="2"/>
        </w:numPr>
        <w:tabs>
          <w:tab w:val="left" w:pos="1260"/>
        </w:tabs>
        <w:spacing w:line="360" w:lineRule="auto"/>
        <w:ind w:left="1260"/>
        <w:jc w:val="both"/>
        <w:rPr>
          <w:bCs/>
        </w:rPr>
      </w:pPr>
      <w:r w:rsidRPr="00B55675">
        <w:rPr>
          <w:bCs/>
        </w:rPr>
        <w:t xml:space="preserve">Pretendimet e kërkueses janë të njëjta me ato që ajo ka paraqitur në rekurs dhe kanë të bëjnë me problemet e zbatimit të normave konkrete të ligjit material. Këto lloj pretendimesh nuk përbëjnë juridiksion kushtetues bazuar në jurisprudencën e Gjykatës. Kërkuesja ka kërkuar shqyrtimin në themel të natyrës së testamentit, pretendim i cili del haptazi jashtë natyrës së gjykimit kushtetues. </w:t>
      </w:r>
    </w:p>
    <w:p w:rsidR="00D27DC7" w:rsidRPr="00B55675" w:rsidRDefault="00D27DC7" w:rsidP="00B55675">
      <w:pPr>
        <w:pStyle w:val="ListParagraph"/>
        <w:numPr>
          <w:ilvl w:val="1"/>
          <w:numId w:val="2"/>
        </w:numPr>
        <w:tabs>
          <w:tab w:val="left" w:pos="1260"/>
        </w:tabs>
        <w:spacing w:line="360" w:lineRule="auto"/>
        <w:ind w:left="1260"/>
        <w:jc w:val="both"/>
        <w:rPr>
          <w:bCs/>
        </w:rPr>
      </w:pPr>
      <w:r w:rsidRPr="00B55675">
        <w:rPr>
          <w:bCs/>
        </w:rPr>
        <w:t xml:space="preserve"> Ligji është respektuar plot</w:t>
      </w:r>
      <w:r w:rsidR="00825FA3" w:rsidRPr="00B55675">
        <w:rPr>
          <w:bCs/>
        </w:rPr>
        <w:t xml:space="preserve">ësisht nga </w:t>
      </w:r>
      <w:r w:rsidR="00A720A2" w:rsidRPr="00B55675">
        <w:rPr>
          <w:bCs/>
        </w:rPr>
        <w:t xml:space="preserve">të </w:t>
      </w:r>
      <w:r w:rsidR="00825FA3" w:rsidRPr="00B55675">
        <w:rPr>
          <w:bCs/>
        </w:rPr>
        <w:t>dy</w:t>
      </w:r>
      <w:r w:rsidR="00A720A2" w:rsidRPr="00B55675">
        <w:rPr>
          <w:bCs/>
        </w:rPr>
        <w:t>ja</w:t>
      </w:r>
      <w:r w:rsidR="00825FA3" w:rsidRPr="00B55675">
        <w:rPr>
          <w:bCs/>
        </w:rPr>
        <w:t xml:space="preserve"> gjykatat më të larta</w:t>
      </w:r>
      <w:r w:rsidRPr="00B55675">
        <w:rPr>
          <w:bCs/>
        </w:rPr>
        <w:t>. Kërkuesja e lexon ligjin gabim; qëndrimi i saj se testatori mund ta përjashtojë nga testamenti pasardhësin e mitur të thirrur me zëvendësim</w:t>
      </w:r>
      <w:r w:rsidR="00A720A2" w:rsidRPr="00B55675">
        <w:rPr>
          <w:bCs/>
        </w:rPr>
        <w:t>,</w:t>
      </w:r>
      <w:r w:rsidRPr="00B55675">
        <w:rPr>
          <w:bCs/>
        </w:rPr>
        <w:t xml:space="preserve"> bie ndesh me praktikën gjyqë</w:t>
      </w:r>
      <w:r w:rsidR="00A720A2" w:rsidRPr="00B55675">
        <w:rPr>
          <w:bCs/>
        </w:rPr>
        <w:t>sore dhe vendimin unifikues nr.</w:t>
      </w:r>
      <w:r w:rsidRPr="00B55675">
        <w:rPr>
          <w:bCs/>
        </w:rPr>
        <w:t>1/2014 të Gjykatës së Lartë. Padia e kërkimit të trashëgimisë, ndryshe nga sa pretendon kërkuesja</w:t>
      </w:r>
      <w:r w:rsidR="00A720A2" w:rsidRPr="00B55675">
        <w:rPr>
          <w:bCs/>
        </w:rPr>
        <w:t>,</w:t>
      </w:r>
      <w:r w:rsidRPr="00B55675">
        <w:rPr>
          <w:bCs/>
        </w:rPr>
        <w:t xml:space="preserve"> nuk parashkruhet</w:t>
      </w:r>
      <w:r w:rsidR="00702D4C" w:rsidRPr="00B55675">
        <w:rPr>
          <w:bCs/>
        </w:rPr>
        <w:t>,</w:t>
      </w:r>
      <w:r w:rsidRPr="00B55675">
        <w:rPr>
          <w:bCs/>
        </w:rPr>
        <w:t xml:space="preserve"> bazuar kjo në</w:t>
      </w:r>
      <w:r w:rsidR="00702D4C" w:rsidRPr="00B55675">
        <w:rPr>
          <w:bCs/>
        </w:rPr>
        <w:t xml:space="preserve"> vendimin unifikues nr.</w:t>
      </w:r>
      <w:r w:rsidRPr="00B55675">
        <w:rPr>
          <w:bCs/>
        </w:rPr>
        <w:t xml:space="preserve">5/2011 të Gjykatës së Lartë. </w:t>
      </w:r>
    </w:p>
    <w:p w:rsidR="00717A02" w:rsidRPr="00B55675" w:rsidRDefault="00717A02" w:rsidP="00B55675">
      <w:pPr>
        <w:spacing w:line="360" w:lineRule="auto"/>
        <w:jc w:val="center"/>
        <w:rPr>
          <w:b/>
        </w:rPr>
      </w:pPr>
    </w:p>
    <w:p w:rsidR="00F62F68" w:rsidRPr="00B55675" w:rsidRDefault="00F62F68" w:rsidP="00B55675">
      <w:pPr>
        <w:spacing w:line="360" w:lineRule="auto"/>
        <w:jc w:val="center"/>
        <w:rPr>
          <w:b/>
        </w:rPr>
      </w:pPr>
      <w:r w:rsidRPr="00B55675">
        <w:rPr>
          <w:b/>
        </w:rPr>
        <w:t>III</w:t>
      </w:r>
    </w:p>
    <w:p w:rsidR="00F62F68" w:rsidRPr="00B55675" w:rsidRDefault="00F62F68" w:rsidP="00B55675">
      <w:pPr>
        <w:spacing w:line="360" w:lineRule="auto"/>
        <w:jc w:val="center"/>
        <w:rPr>
          <w:b/>
        </w:rPr>
      </w:pPr>
      <w:r w:rsidRPr="00B55675">
        <w:rPr>
          <w:b/>
        </w:rPr>
        <w:t>Vlerësimi i Gjykatës Kushtetuese</w:t>
      </w:r>
    </w:p>
    <w:p w:rsidR="00F62F68" w:rsidRPr="00B55675" w:rsidRDefault="00F62F68" w:rsidP="00B55675">
      <w:pPr>
        <w:spacing w:line="360" w:lineRule="auto"/>
        <w:jc w:val="center"/>
        <w:rPr>
          <w:b/>
        </w:rPr>
      </w:pPr>
    </w:p>
    <w:p w:rsidR="00D27DC7" w:rsidRPr="00B55675" w:rsidRDefault="00F62F68" w:rsidP="00B55675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rPr>
          <w:i/>
        </w:rPr>
      </w:pPr>
      <w:r w:rsidRPr="00B55675">
        <w:rPr>
          <w:i/>
        </w:rPr>
        <w:t>Lidhur me legjitimimin e kërkueses</w:t>
      </w:r>
    </w:p>
    <w:p w:rsidR="00027F7A" w:rsidRPr="00B55675" w:rsidRDefault="007E4F3B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</w:pPr>
      <w:r w:rsidRPr="00B55675">
        <w:t>Gjykata vlerëson se k</w:t>
      </w:r>
      <w:r w:rsidR="00027F7A" w:rsidRPr="00B55675">
        <w:t xml:space="preserve">ërkuesja legjitimohet </w:t>
      </w:r>
      <w:r w:rsidR="00027F7A" w:rsidRPr="00B55675">
        <w:rPr>
          <w:i/>
        </w:rPr>
        <w:t>ratione personae</w:t>
      </w:r>
      <w:r w:rsidR="00027F7A" w:rsidRPr="00B55675">
        <w:t xml:space="preserve"> në lidhje me pretendimet e saj, të cilat i ka paraqitur në kërkesë, në k</w:t>
      </w:r>
      <w:r w:rsidR="00415EC0" w:rsidRPr="00B55675">
        <w:t>uptim të nenit 131/f dhe 134/1/i</w:t>
      </w:r>
      <w:r w:rsidR="00027F7A" w:rsidRPr="00B55675">
        <w:t xml:space="preserve"> të Kushtetutës dhe </w:t>
      </w:r>
      <w:r w:rsidR="00027F7A" w:rsidRPr="00B55675">
        <w:rPr>
          <w:i/>
        </w:rPr>
        <w:t>ratione temporis</w:t>
      </w:r>
      <w:r w:rsidR="00027F7A" w:rsidRPr="00B55675">
        <w:t xml:space="preserve">, pasi kërkesa është paraqitur në Gjykatën Kushtetuese brenda afatit të parashikuar nga neni 30 i ligjit </w:t>
      </w:r>
      <w:r w:rsidR="00434AF7" w:rsidRPr="00B55675">
        <w:rPr>
          <w:bCs/>
          <w:color w:val="000000"/>
        </w:rPr>
        <w:t>nr.</w:t>
      </w:r>
      <w:r w:rsidR="00027F7A" w:rsidRPr="00B55675">
        <w:rPr>
          <w:bCs/>
          <w:color w:val="000000"/>
        </w:rPr>
        <w:t xml:space="preserve">8577, </w:t>
      </w:r>
      <w:r w:rsidR="00434AF7" w:rsidRPr="00B55675">
        <w:rPr>
          <w:bCs/>
          <w:color w:val="000000"/>
        </w:rPr>
        <w:t>datë 10.02.2000</w:t>
      </w:r>
      <w:r w:rsidR="00027F7A" w:rsidRPr="00B55675">
        <w:rPr>
          <w:bCs/>
          <w:color w:val="000000"/>
        </w:rPr>
        <w:t xml:space="preserve"> “</w:t>
      </w:r>
      <w:r w:rsidR="00027F7A" w:rsidRPr="00B55675">
        <w:rPr>
          <w:color w:val="000000"/>
        </w:rPr>
        <w:t xml:space="preserve">Për organizimin dhe funksionimin e Gjykatës Kushtetuese të Republikës së Shqipërisë”.  </w:t>
      </w:r>
    </w:p>
    <w:p w:rsidR="00774236" w:rsidRPr="00B55675" w:rsidRDefault="00774236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</w:pPr>
      <w:r w:rsidRPr="00B55675">
        <w:rPr>
          <w:color w:val="000000"/>
        </w:rPr>
        <w:lastRenderedPageBreak/>
        <w:t xml:space="preserve">Në lidhje me legjitimimin </w:t>
      </w:r>
      <w:r w:rsidRPr="00B55675">
        <w:rPr>
          <w:i/>
          <w:color w:val="000000"/>
        </w:rPr>
        <w:t>ratione materiae</w:t>
      </w:r>
      <w:r w:rsidRPr="00B55675">
        <w:rPr>
          <w:color w:val="000000"/>
        </w:rPr>
        <w:t xml:space="preserve"> vërehet se</w:t>
      </w:r>
      <w:r w:rsidR="00D26933" w:rsidRPr="00B55675">
        <w:t xml:space="preserve"> kërkuesja ka ngritur pretendime </w:t>
      </w:r>
      <w:r w:rsidR="00817A76" w:rsidRPr="00B55675">
        <w:t>për</w:t>
      </w:r>
      <w:r w:rsidR="00D26933" w:rsidRPr="00B55675">
        <w:t xml:space="preserve"> cenimin e parimit të sigurisë juridike</w:t>
      </w:r>
      <w:r w:rsidR="00E40D2C" w:rsidRPr="00B55675">
        <w:t>.</w:t>
      </w:r>
      <w:r w:rsidR="00CC763A" w:rsidRPr="00B55675">
        <w:t xml:space="preserve"> </w:t>
      </w:r>
      <w:r w:rsidR="00E40D2C" w:rsidRPr="00B55675">
        <w:t xml:space="preserve">Këto pretendime </w:t>
      </w:r>
      <w:r w:rsidR="008B5614" w:rsidRPr="00B55675">
        <w:t xml:space="preserve">të paraqitura nga kërkuesja </w:t>
      </w:r>
      <w:r w:rsidR="00E40D2C" w:rsidRPr="00B55675">
        <w:t xml:space="preserve">janë shqyrtuar në vijim nga Gjykata në kuadrin e procesit të rregullt ligjor.  </w:t>
      </w:r>
    </w:p>
    <w:p w:rsidR="008B5614" w:rsidRPr="00B55675" w:rsidRDefault="008B5614" w:rsidP="00B55675">
      <w:pPr>
        <w:pStyle w:val="ListParagraph"/>
        <w:tabs>
          <w:tab w:val="left" w:pos="1080"/>
        </w:tabs>
        <w:spacing w:line="360" w:lineRule="auto"/>
        <w:ind w:left="0" w:firstLine="720"/>
        <w:jc w:val="both"/>
      </w:pPr>
    </w:p>
    <w:p w:rsidR="008B5614" w:rsidRPr="00B55675" w:rsidRDefault="008B5614" w:rsidP="00B55675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both"/>
        <w:rPr>
          <w:i/>
        </w:rPr>
      </w:pPr>
      <w:r w:rsidRPr="00B55675">
        <w:rPr>
          <w:i/>
        </w:rPr>
        <w:t xml:space="preserve">Për pretendimin e cenimit të parimit të sigurisë juridike </w:t>
      </w:r>
    </w:p>
    <w:p w:rsidR="00582D52" w:rsidRPr="00B55675" w:rsidRDefault="002A0C8D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 xml:space="preserve">Kërkuesja ka pretenduar cenimin </w:t>
      </w:r>
      <w:r w:rsidR="00F40C4E" w:rsidRPr="00B55675">
        <w:t>e</w:t>
      </w:r>
      <w:r w:rsidRPr="00B55675">
        <w:t xml:space="preserve"> parimit të sigurisë juridike</w:t>
      </w:r>
      <w:r w:rsidR="00937CD7" w:rsidRPr="00B55675">
        <w:t>,</w:t>
      </w:r>
      <w:r w:rsidR="00653245" w:rsidRPr="00B55675">
        <w:t xml:space="preserve"> duke parashtruar se </w:t>
      </w:r>
      <w:r w:rsidRPr="00B55675">
        <w:rPr>
          <w:bCs/>
        </w:rPr>
        <w:t xml:space="preserve">të drejtat e pronësisë </w:t>
      </w:r>
      <w:r w:rsidR="00653245" w:rsidRPr="00B55675">
        <w:rPr>
          <w:bCs/>
        </w:rPr>
        <w:t xml:space="preserve">ajo </w:t>
      </w:r>
      <w:r w:rsidRPr="00B55675">
        <w:rPr>
          <w:bCs/>
        </w:rPr>
        <w:t xml:space="preserve">i ka fituar në bazë të testamentit. Padia për kundërshtimin </w:t>
      </w:r>
      <w:r w:rsidR="00D26B42" w:rsidRPr="00B55675">
        <w:rPr>
          <w:bCs/>
        </w:rPr>
        <w:t>e testamentit është ngritur 8 vjet</w:t>
      </w:r>
      <w:r w:rsidRPr="00B55675">
        <w:rPr>
          <w:bCs/>
        </w:rPr>
        <w:t xml:space="preserve"> pasi ishte çelur trashëgimia, ndërkohë që sipas nenit 411 të KC</w:t>
      </w:r>
      <w:r w:rsidR="00937CD7" w:rsidRPr="00B55675">
        <w:rPr>
          <w:bCs/>
        </w:rPr>
        <w:t>-së</w:t>
      </w:r>
      <w:r w:rsidRPr="00B55675">
        <w:rPr>
          <w:bCs/>
        </w:rPr>
        <w:t xml:space="preserve"> kjo lloj padie ngrihet brenda tre vjetëve nga çelja e trashëgimisë. Gjithashtu</w:t>
      </w:r>
      <w:r w:rsidR="00937CD7" w:rsidRPr="00B55675">
        <w:rPr>
          <w:bCs/>
        </w:rPr>
        <w:t>,</w:t>
      </w:r>
      <w:r w:rsidRPr="00B55675">
        <w:rPr>
          <w:bCs/>
        </w:rPr>
        <w:t xml:space="preserve"> ajo ka pretenduar se Gjykata e Lartë ka mbajtur qëndrim të ndryshëm në çështje të ngjashme</w:t>
      </w:r>
      <w:r w:rsidR="00E46B4B" w:rsidRPr="00B55675">
        <w:rPr>
          <w:bCs/>
        </w:rPr>
        <w:t xml:space="preserve"> t</w:t>
      </w:r>
      <w:r w:rsidR="00937CD7" w:rsidRPr="00B55675">
        <w:rPr>
          <w:bCs/>
        </w:rPr>
        <w:t>ë cenim</w:t>
      </w:r>
      <w:r w:rsidR="00E46B4B" w:rsidRPr="00B55675">
        <w:rPr>
          <w:bCs/>
        </w:rPr>
        <w:t>it</w:t>
      </w:r>
      <w:r w:rsidR="00937CD7" w:rsidRPr="00B55675">
        <w:rPr>
          <w:bCs/>
        </w:rPr>
        <w:t xml:space="preserve"> të parimit të sigurisë juridike</w:t>
      </w:r>
      <w:r w:rsidRPr="00B55675">
        <w:rPr>
          <w:bCs/>
        </w:rPr>
        <w:t xml:space="preserve"> dhe se vendimet e gjykatave vijnë në kundërshtim me përmbajtjen e testamentit,</w:t>
      </w:r>
      <w:r w:rsidR="00FC6D1D" w:rsidRPr="00B55675">
        <w:rPr>
          <w:bCs/>
        </w:rPr>
        <w:t xml:space="preserve"> me dispozitat ligjore në fuqi,</w:t>
      </w:r>
      <w:r w:rsidRPr="00B55675">
        <w:rPr>
          <w:bCs/>
        </w:rPr>
        <w:t xml:space="preserve"> s</w:t>
      </w:r>
      <w:r w:rsidR="00E46B4B" w:rsidRPr="00B55675">
        <w:rPr>
          <w:bCs/>
        </w:rPr>
        <w:t>i dhe me vendimin unifikues nr.</w:t>
      </w:r>
      <w:r w:rsidRPr="00B55675">
        <w:rPr>
          <w:bCs/>
        </w:rPr>
        <w:t xml:space="preserve">1/2014 të Gjykatës së Lartë.  </w:t>
      </w:r>
    </w:p>
    <w:p w:rsidR="00B11D2E" w:rsidRPr="00B55675" w:rsidRDefault="00B11D2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 xml:space="preserve">Gjykata ka theksuar </w:t>
      </w:r>
      <w:r w:rsidR="00CD0ECB" w:rsidRPr="00B55675">
        <w:rPr>
          <w:bCs/>
        </w:rPr>
        <w:t>vazhdimisht në jurisprudencën e saj rëndësinë e parimit të sigurisë juridike si një nga aspektet themelore të shtetit të së drejtës</w:t>
      </w:r>
      <w:r w:rsidRPr="00B55675">
        <w:t xml:space="preserve">. Parimi i shtetit të së drejtës ku </w:t>
      </w:r>
      <w:r w:rsidR="00E46B4B" w:rsidRPr="00B55675">
        <w:t>mbështetet një shtet demokratik</w:t>
      </w:r>
      <w:r w:rsidRPr="00B55675">
        <w:t xml:space="preserve"> nënkupton sundimin e ligjit dhe mënjanimin e arbitraritetit, me qëllim që të arrihet respektimi dhe garantimi i dinjitetit njerëzor, drejtësisë dhe sigurisë juridike </w:t>
      </w:r>
      <w:r w:rsidRPr="00B55675">
        <w:rPr>
          <w:i/>
        </w:rPr>
        <w:t>(shih vendimet</w:t>
      </w:r>
      <w:r w:rsidRPr="00B55675">
        <w:t xml:space="preserve"> </w:t>
      </w:r>
      <w:r w:rsidR="00E46B4B" w:rsidRPr="00B55675">
        <w:rPr>
          <w:i/>
        </w:rPr>
        <w:t xml:space="preserve">nr.25, datë 28.04.2014; </w:t>
      </w:r>
      <w:r w:rsidRPr="00B55675">
        <w:rPr>
          <w:i/>
        </w:rPr>
        <w:t xml:space="preserve">nr.20, datë 11.07.2006 të Gjykatës Kushtetuese). </w:t>
      </w:r>
      <w:r w:rsidRPr="00B55675">
        <w:t>Siguria juridike nënkupton, ndërmjet të tjerash, garantimin e besueshmërisë së individit te shteti, institucionet e tij dhe tek aktet që ato nxjerrin (</w:t>
      </w:r>
      <w:r w:rsidR="00E46B4B" w:rsidRPr="00B55675">
        <w:rPr>
          <w:i/>
          <w:iCs/>
        </w:rPr>
        <w:t>shih vendimet nr.</w:t>
      </w:r>
      <w:r w:rsidRPr="00B55675">
        <w:rPr>
          <w:i/>
          <w:iCs/>
        </w:rPr>
        <w:t xml:space="preserve">15, datë 19.04.2013; </w:t>
      </w:r>
      <w:r w:rsidR="00E46B4B" w:rsidRPr="00B55675">
        <w:rPr>
          <w:i/>
        </w:rPr>
        <w:t>nr.</w:t>
      </w:r>
      <w:r w:rsidR="008371DC" w:rsidRPr="00B55675">
        <w:rPr>
          <w:i/>
        </w:rPr>
        <w:t xml:space="preserve">37, datë 13.06.2012; </w:t>
      </w:r>
      <w:r w:rsidRPr="00B55675">
        <w:rPr>
          <w:i/>
          <w:iCs/>
        </w:rPr>
        <w:t>nr.23, datë 08.06.2007 të Gjykatës Kushtetuese</w:t>
      </w:r>
      <w:r w:rsidRPr="00B55675">
        <w:t xml:space="preserve">). </w:t>
      </w:r>
    </w:p>
    <w:p w:rsidR="0039213B" w:rsidRPr="00B55675" w:rsidRDefault="00B11D2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 xml:space="preserve">Nga rrethanat e çështjes konkrete </w:t>
      </w:r>
      <w:r w:rsidR="00895CA8" w:rsidRPr="00B55675">
        <w:t xml:space="preserve">Gjykata vëren </w:t>
      </w:r>
      <w:r w:rsidRPr="00B55675">
        <w:t>se testamenti është përpiluar në datën 13.02.1996 nga testatorja Lejla Shkreli, e cila ka ndërruar jetë në datën 12.10.2002. Në këtë testament përcaktohet si trashëgimtare e v</w:t>
      </w:r>
      <w:r w:rsidR="0098452E" w:rsidRPr="00B55675">
        <w:t>etme e pasurive të përcaktuara, konkretisht e pronave të</w:t>
      </w:r>
      <w:r w:rsidRPr="00B55675">
        <w:t xml:space="preserve"> kthyera me vendime të KKKP-ve</w:t>
      </w:r>
      <w:r w:rsidR="00605A2A" w:rsidRPr="00B55675">
        <w:t>,</w:t>
      </w:r>
      <w:r w:rsidRPr="00B55675">
        <w:t xml:space="preserve"> që testatorja </w:t>
      </w:r>
      <w:r w:rsidR="0098452E" w:rsidRPr="00B55675">
        <w:t>i ka trashëguar nga babai i saj,</w:t>
      </w:r>
      <w:r w:rsidRPr="00B55675">
        <w:t xml:space="preserve"> vajza e saj Nargis Lungu Shkreli. </w:t>
      </w:r>
      <w:r w:rsidR="00605A2A" w:rsidRPr="00B55675">
        <w:t>Me vendimin nr.</w:t>
      </w:r>
      <w:r w:rsidR="00A00150" w:rsidRPr="00B55675">
        <w:t>6479, datë 09.07.2008 të Gjykatës së Rrethit Gjyqësor Tiranë është lëshuar dëshmia e trashëgimisë ligjore</w:t>
      </w:r>
      <w:r w:rsidR="008D75F4" w:rsidRPr="00B55675">
        <w:t>,</w:t>
      </w:r>
      <w:r w:rsidR="00A00150" w:rsidRPr="00B55675">
        <w:t xml:space="preserve"> ku janë përcaktuar si trashëgimtarë ligjorë të radhës së parë fëmijët e testatores, pra vajza Nargis Lungu Shkreli</w:t>
      </w:r>
      <w:r w:rsidR="00B84B52" w:rsidRPr="00B55675">
        <w:t>,</w:t>
      </w:r>
      <w:r w:rsidR="00824961" w:rsidRPr="00B55675">
        <w:t xml:space="preserve"> si dhe djemtë, Vildan</w:t>
      </w:r>
      <w:r w:rsidR="00A00150" w:rsidRPr="00B55675">
        <w:t xml:space="preserve"> dhe Tarik Shkreli. </w:t>
      </w:r>
      <w:r w:rsidR="00AD3248" w:rsidRPr="00B55675">
        <w:t xml:space="preserve">Testatorja i ka përjashtuar të dy djemtë nga testamenti në mënyrë të heshtur. </w:t>
      </w:r>
      <w:r w:rsidRPr="00B55675">
        <w:t xml:space="preserve">Subjekti i interesuar, Livia Shkreli, </w:t>
      </w:r>
      <w:r w:rsidR="00B84B52" w:rsidRPr="00B55675">
        <w:t>si</w:t>
      </w:r>
      <w:r w:rsidRPr="00B55675">
        <w:t xml:space="preserve"> mbesa e Vildan Shkrelit</w:t>
      </w:r>
      <w:r w:rsidR="00F16C39" w:rsidRPr="00B55675">
        <w:t>,</w:t>
      </w:r>
      <w:r w:rsidRPr="00B55675">
        <w:t xml:space="preserve"> ka kërkuar në gjykatë pavlefshmërinë absolute të testamentit</w:t>
      </w:r>
      <w:r w:rsidR="005E453B" w:rsidRPr="00B55675">
        <w:t xml:space="preserve"> dhe njohjen si trashëgimtare për shkak të rezervës ligjore</w:t>
      </w:r>
      <w:r w:rsidRPr="00B55675">
        <w:t xml:space="preserve">, </w:t>
      </w:r>
      <w:r w:rsidR="00E41C62" w:rsidRPr="00B55675">
        <w:t>pasi</w:t>
      </w:r>
      <w:r w:rsidRPr="00B55675">
        <w:t xml:space="preserve"> në kohën e çeljes së trashëgimisë ka qenë në barkun e nënës dhe për këtë arsye, </w:t>
      </w:r>
      <w:r w:rsidR="00D10CBC" w:rsidRPr="00B55675">
        <w:t xml:space="preserve">sipas nenit </w:t>
      </w:r>
      <w:r w:rsidR="00D10CBC" w:rsidRPr="00B55675">
        <w:lastRenderedPageBreak/>
        <w:t>379 të KC-së</w:t>
      </w:r>
      <w:r w:rsidR="008D75F4" w:rsidRPr="00B55675">
        <w:t>,</w:t>
      </w:r>
      <w:r w:rsidRPr="00B55675">
        <w:t xml:space="preserve"> nuk mund të </w:t>
      </w:r>
      <w:r w:rsidR="00605A2A" w:rsidRPr="00B55675">
        <w:t xml:space="preserve">përjashtohej nga trashëgimi. </w:t>
      </w:r>
      <w:r w:rsidR="00E41C62" w:rsidRPr="00B55675">
        <w:t>Duke qenë se</w:t>
      </w:r>
      <w:r w:rsidRPr="00B55675">
        <w:t xml:space="preserve"> gjyshi i saj Vildan Shkreli</w:t>
      </w:r>
      <w:r w:rsidR="00471AF9" w:rsidRPr="00B55675">
        <w:t xml:space="preserve"> dhe babai i saj Marlind Shkreli</w:t>
      </w:r>
      <w:r w:rsidRPr="00B55675">
        <w:t xml:space="preserve"> ka</w:t>
      </w:r>
      <w:r w:rsidR="00471AF9" w:rsidRPr="00B55675">
        <w:t>në qenë të</w:t>
      </w:r>
      <w:r w:rsidRPr="00B55675">
        <w:t xml:space="preserve"> përjashtuar nga trashëgimi</w:t>
      </w:r>
      <w:r w:rsidR="00471AF9" w:rsidRPr="00B55675">
        <w:t>,</w:t>
      </w:r>
      <w:r w:rsidRPr="00B55675">
        <w:t xml:space="preserve"> asaj (Livias)</w:t>
      </w:r>
      <w:r w:rsidR="00D10CBC" w:rsidRPr="00B55675">
        <w:t>, si trashëgimtare me zëvendësim,</w:t>
      </w:r>
      <w:r w:rsidRPr="00B55675">
        <w:t xml:space="preserve"> nuk mund t’i cenohej </w:t>
      </w:r>
      <w:r w:rsidR="00D10CBC" w:rsidRPr="00B55675">
        <w:t>rezerva ligjore e parashikuar në nenin 379 të KC-së.</w:t>
      </w:r>
      <w:r w:rsidRPr="00B55675">
        <w:t xml:space="preserve"> </w:t>
      </w:r>
    </w:p>
    <w:p w:rsidR="0039213B" w:rsidRPr="00B55675" w:rsidRDefault="00B11D2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 xml:space="preserve">Sipas nenit </w:t>
      </w:r>
      <w:r w:rsidR="00821057" w:rsidRPr="00B55675">
        <w:t>379 të KC-së “trashëgimlënësi nuk mund të përjashtojë nga trashëgimia ligjore fëmijët e tij të mitur ose trashëgimtarë të tjerë të mitur që trashëgojnë me zëvendësim (neni 361, paragrafi i dytë), si dhe trashëgimtarët e tij të tjerë të paaftë për punë</w:t>
      </w:r>
      <w:r w:rsidR="000D3263" w:rsidRPr="00B55675">
        <w:t>,</w:t>
      </w:r>
      <w:r w:rsidR="00821057" w:rsidRPr="00B55675">
        <w:t xml:space="preserve"> në qoftë se thirren në trashëgim, dhe as të cenojë me testament në çdo mënyrë qoftë, pjesën që u takon këtyre trashëgimtarëve në bazë të trashëgimisë ligjore, përveç kur këta janë bërë të padenjë për të trashëguar”. </w:t>
      </w:r>
      <w:r w:rsidR="00805FC1" w:rsidRPr="00B55675">
        <w:t>Kjo rezervë ligjore referon në nen</w:t>
      </w:r>
      <w:r w:rsidR="000D3263" w:rsidRPr="00B55675">
        <w:t>in 361/2 të KC-së që parashikon: “K</w:t>
      </w:r>
      <w:r w:rsidR="000C15A9" w:rsidRPr="00B55675">
        <w:t>ur një nga fëmijët [...] është përjashtuar nga trashëgimi, në vend të tij hyjnë me zëvendësim fëmijët e tij dhe kur për shkaqet e sipërme nuk mund të jenë trashëgimtarë, vijnë në trashëgim të paslindurit e tyre pa kufizim. Në këtë rast, p</w:t>
      </w:r>
      <w:r w:rsidR="000D3263" w:rsidRPr="00B55675">
        <w:t>jesa e prindit që nuk trashëgon</w:t>
      </w:r>
      <w:r w:rsidR="000C15A9" w:rsidRPr="00B55675">
        <w:t xml:space="preserve"> ndahet ndërmjet të paslindurve në pjesë të barabarta</w:t>
      </w:r>
      <w:r w:rsidR="0004369C" w:rsidRPr="00B55675">
        <w:t>”</w:t>
      </w:r>
      <w:r w:rsidR="000C15A9" w:rsidRPr="00B55675">
        <w:t xml:space="preserve">. </w:t>
      </w:r>
      <w:r w:rsidR="00821057" w:rsidRPr="00B55675">
        <w:t xml:space="preserve"> </w:t>
      </w:r>
    </w:p>
    <w:p w:rsidR="00B11D2E" w:rsidRPr="00B55675" w:rsidRDefault="00B11D2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>Bazuar në këto dispozita ligjore materiale gjykata e shkallës së parë ka konkluduar</w:t>
      </w:r>
      <w:r w:rsidR="00947766" w:rsidRPr="00B55675">
        <w:t>, ndër të tjera,</w:t>
      </w:r>
      <w:r w:rsidRPr="00B55675">
        <w:t xml:space="preserve"> se pretendimi i paditëses</w:t>
      </w:r>
      <w:r w:rsidR="00F16C39" w:rsidRPr="00B55675">
        <w:t xml:space="preserve"> Livia Shkreli</w:t>
      </w:r>
      <w:r w:rsidRPr="00B55675">
        <w:t xml:space="preserve"> për pavlefshmërinë e testamentit, për arsye se ka cenuar rezervën ligjore (nenin 379 të KC-së), është i pabazuar</w:t>
      </w:r>
      <w:r w:rsidR="0043743C" w:rsidRPr="00B55675">
        <w:t>, dhe</w:t>
      </w:r>
      <w:r w:rsidRPr="00B55675">
        <w:t xml:space="preserve"> për rrjedhojë ka rrëzuar kërkesëpadinë. </w:t>
      </w:r>
      <w:r w:rsidR="00AF5D1E" w:rsidRPr="00B55675">
        <w:t>Më konkretisht</w:t>
      </w:r>
      <w:r w:rsidR="0043743C" w:rsidRPr="00B55675">
        <w:t>,</w:t>
      </w:r>
      <w:r w:rsidR="00D8476E" w:rsidRPr="00B55675">
        <w:t xml:space="preserve"> ajo ka arsyetuar: “M</w:t>
      </w:r>
      <w:r w:rsidR="00AF5D1E" w:rsidRPr="00B55675">
        <w:t>egjithëse Livia Shkreli ka qenë zënë para vdekjes së testatores</w:t>
      </w:r>
      <w:r w:rsidR="00D8476E" w:rsidRPr="00B55675">
        <w:t>,</w:t>
      </w:r>
      <w:r w:rsidR="00AF5D1E" w:rsidRPr="00B55675">
        <w:t xml:space="preserve"> vetëm ky moment nuk e bën atë trashëgimtare ligjore të saj. Në testament është përjashtuar në mënyrë të heshtur djali Vildan Shkreli (babai i Ingridit dhe gjyshi i Livias), por në momentin e çeljes së trashëgimisë fëmijët e Vildanit (Marlind dhe Ingrid) kanë qenë madhorë mbi 18 vjeç. Për rrjedhojë</w:t>
      </w:r>
      <w:r w:rsidR="00D8476E" w:rsidRPr="00B55675">
        <w:t>,</w:t>
      </w:r>
      <w:r w:rsidR="00AF5D1E" w:rsidRPr="00B55675">
        <w:t xml:space="preserve"> Livia Shkreli nuk thirret në trashëgimin ligjor edhe sikur të kishte lindur para vdekjes së testatores, pasi në trashëgiminë e saj ligjore thirret babai i saj Marlind me cilësinë e fëmijës së përjashtuar nga trashëgimi. Pra, Livia Shkreli nuk gëzon mbrojtjen e rezervës ligjore, pasi trashëgimtar ligjor i testatores është babai Marlind së bashku me motrën Ingrid</w:t>
      </w:r>
      <w:r w:rsidR="00D8476E" w:rsidRPr="00B55675">
        <w:t>,</w:t>
      </w:r>
      <w:r w:rsidR="00AF5D1E" w:rsidRPr="00B55675">
        <w:t xml:space="preserve"> të cilët zënë vendin e  babait të tyre të përjashtuar Vildan” </w:t>
      </w:r>
      <w:r w:rsidR="00D8476E" w:rsidRPr="00B55675">
        <w:rPr>
          <w:i/>
        </w:rPr>
        <w:t>(shih fq.</w:t>
      </w:r>
      <w:r w:rsidR="00426EED" w:rsidRPr="00B55675">
        <w:rPr>
          <w:i/>
        </w:rPr>
        <w:t>7-8 të vendimit nr.</w:t>
      </w:r>
      <w:r w:rsidRPr="00B55675">
        <w:rPr>
          <w:i/>
        </w:rPr>
        <w:t>10018, datë 23.12.2010 të Gjykatës së Rrethit Gjyqësor Tiranë)</w:t>
      </w:r>
      <w:r w:rsidRPr="00B55675">
        <w:rPr>
          <w:bCs/>
          <w:i/>
        </w:rPr>
        <w:t>.</w:t>
      </w:r>
    </w:p>
    <w:p w:rsidR="00F52434" w:rsidRPr="00B55675" w:rsidRDefault="00426EED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>Gjykata e A</w:t>
      </w:r>
      <w:r w:rsidR="00F64E99" w:rsidRPr="00B55675">
        <w:t>pelit</w:t>
      </w:r>
      <w:r w:rsidR="00915124" w:rsidRPr="00B55675">
        <w:t xml:space="preserve"> e ka vlerësuar të gabuar interpretimin e ligjit </w:t>
      </w:r>
      <w:r w:rsidR="00263338" w:rsidRPr="00B55675">
        <w:t>që ka bërë</w:t>
      </w:r>
      <w:r w:rsidR="00B11D2E" w:rsidRPr="00B55675">
        <w:t xml:space="preserve"> gjykata e shkallës së parë</w:t>
      </w:r>
      <w:r w:rsidR="00915124" w:rsidRPr="00B55675">
        <w:t xml:space="preserve">. Ajo </w:t>
      </w:r>
      <w:r w:rsidR="00B11D2E" w:rsidRPr="00B55675">
        <w:t>është shprehur se</w:t>
      </w:r>
      <w:r w:rsidR="004B2EA9" w:rsidRPr="00B55675">
        <w:t xml:space="preserve"> </w:t>
      </w:r>
      <w:r w:rsidR="00B11D2E" w:rsidRPr="00B55675">
        <w:t>trashëgimlënësja ka vepruar në kundërshtim me neni</w:t>
      </w:r>
      <w:r w:rsidR="00E92B63" w:rsidRPr="00B55675">
        <w:t>n</w:t>
      </w:r>
      <w:r w:rsidR="00B11D2E" w:rsidRPr="00B55675">
        <w:t xml:space="preserve"> 379 të KC-së kur ka përjashtuar të miturën Livia Shkreli që trashëgon me zëvendësim</w:t>
      </w:r>
      <w:r w:rsidR="004D000E" w:rsidRPr="00B55675">
        <w:t>,</w:t>
      </w:r>
      <w:r w:rsidR="00B11D2E" w:rsidRPr="00B55675">
        <w:t xml:space="preserve"> sipas nenit 361/2 të KC-së, në rrethanat kur</w:t>
      </w:r>
      <w:r w:rsidR="004D000E" w:rsidRPr="00B55675">
        <w:t>,</w:t>
      </w:r>
      <w:r w:rsidR="00B11D2E" w:rsidRPr="00B55675">
        <w:t xml:space="preserve"> ashtu siç është përjashtuar nga trashëgimi indirekt </w:t>
      </w:r>
      <w:r w:rsidR="00B11D2E" w:rsidRPr="00B55675">
        <w:lastRenderedPageBreak/>
        <w:t>(nëpërmjet heshtjes) fëm</w:t>
      </w:r>
      <w:r w:rsidRPr="00B55675">
        <w:t>ija trashëgimtar Vildan Shkreli,</w:t>
      </w:r>
      <w:r w:rsidR="00B11D2E" w:rsidRPr="00B55675">
        <w:t xml:space="preserve"> është përjashtuar nga trashëgimi edhe fëmija i Vildanit, Marlind Shkreli, duke bërë që me zëvendësim për këtë trashëgimtar (Vildan Shkrelin) të hyjë fëmija i fëmijës së tij</w:t>
      </w:r>
      <w:r w:rsidR="00E92B63" w:rsidRPr="00B55675">
        <w:t>,</w:t>
      </w:r>
      <w:r w:rsidR="00B11D2E" w:rsidRPr="00B55675">
        <w:t xml:space="preserve"> Livia Shkreli</w:t>
      </w:r>
      <w:r w:rsidR="003460D6" w:rsidRPr="00B55675">
        <w:t xml:space="preserve"> </w:t>
      </w:r>
      <w:r w:rsidR="00B11D2E" w:rsidRPr="00B55675">
        <w:t>(</w:t>
      </w:r>
      <w:r w:rsidRPr="00B55675">
        <w:rPr>
          <w:i/>
        </w:rPr>
        <w:t>shih fq. 11-12 të vendimit nr.</w:t>
      </w:r>
      <w:r w:rsidR="00B11D2E" w:rsidRPr="00B55675">
        <w:rPr>
          <w:i/>
        </w:rPr>
        <w:t>2592, datë 30.11.2011 të Gjykatës së Apelit Tiranë)</w:t>
      </w:r>
      <w:r w:rsidR="00B11D2E" w:rsidRPr="00B55675">
        <w:t xml:space="preserve">. </w:t>
      </w:r>
    </w:p>
    <w:p w:rsidR="002E5E10" w:rsidRPr="00B55675" w:rsidRDefault="00B11D2E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 xml:space="preserve">  Gjykata e Lartë ka mbajtur të njëjtin qëndrim si </w:t>
      </w:r>
      <w:r w:rsidR="00426EED" w:rsidRPr="00B55675">
        <w:t>Gjykata e A</w:t>
      </w:r>
      <w:r w:rsidRPr="00B55675">
        <w:t>pelit, duke e konsideruar absolutisht të pavlefshëm testamentin. Ajo në</w:t>
      </w:r>
      <w:r w:rsidR="00426EED" w:rsidRPr="00B55675">
        <w:t xml:space="preserve"> të njëjtën linjë arsyetimi me Gjykatën e A</w:t>
      </w:r>
      <w:r w:rsidR="00737A65" w:rsidRPr="00B55675">
        <w:t>pelit ka vlerësuar</w:t>
      </w:r>
      <w:r w:rsidR="00E92B63" w:rsidRPr="00B55675">
        <w:t xml:space="preserve">: </w:t>
      </w:r>
      <w:r w:rsidR="00737A65" w:rsidRPr="00B55675">
        <w:t>“N</w:t>
      </w:r>
      <w:r w:rsidR="00390244" w:rsidRPr="00B55675">
        <w:t>ëse trashëgimlënësja ka vepruar në përputhje me të drejtën e saj të ligjshme kur ka përjashtuar nga trashëgimia trashëgimtarin ligjor të saj, fëmijën Vildan Shkreli, ajo ka disponuar në kundërshtim me nenin 379 të KC-së kur ka përjashtuar nga trashëgimia ligjore edhe të miturën Livia Shkreli që trashëgon me zëvendësim referuar nenit 361/2 të KC-së, në rrethanat kur ashtu siç është përjashtuar nga trashëgimi indirekt (nëpërmjet heshtjes) fëmija trashëgimtar Vildan Shkreli, është përjashtuar nga trashëgimi edhe fëmija i tij, Marlind Shkreli, duke bërë kështu që me zëvendësim për këtë trashëgimtar (Vildan Shkrelin) të hyjë fëmija i fëmijës së tij Livia Shkreli [...]</w:t>
      </w:r>
      <w:r w:rsidR="00737A65" w:rsidRPr="00B55675">
        <w:t>.</w:t>
      </w:r>
      <w:r w:rsidR="00390244" w:rsidRPr="00B55675">
        <w:t xml:space="preserve"> Nisur nga një përfundim i tillë</w:t>
      </w:r>
      <w:r w:rsidR="00737A65" w:rsidRPr="00B55675">
        <w:t>,</w:t>
      </w:r>
      <w:r w:rsidR="00390244" w:rsidRPr="00B55675">
        <w:t xml:space="preserve"> referuar nenit 407 të Kodit Civil, testamenti objekt gjykimi është absolutisht i pavlefshëm, për sa i përket disponimit me këtë testament për përjashtimin nga trashëgimia ligjore të trashëgimtares së mitur Livia Shkreli”</w:t>
      </w:r>
      <w:r w:rsidR="008A3F18" w:rsidRPr="00B55675">
        <w:t xml:space="preserve"> </w:t>
      </w:r>
      <w:r w:rsidR="00737A65" w:rsidRPr="00B55675">
        <w:rPr>
          <w:i/>
        </w:rPr>
        <w:t>(shih fq. 4-5 të vendimit nr.</w:t>
      </w:r>
      <w:r w:rsidRPr="00B55675">
        <w:rPr>
          <w:i/>
        </w:rPr>
        <w:t xml:space="preserve">00-2015-761, datë 05.02.2015 të Gjykatës së Lartë).    </w:t>
      </w:r>
    </w:p>
    <w:p w:rsidR="00D60D09" w:rsidRPr="00B55675" w:rsidRDefault="00AC1EEF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 xml:space="preserve">Kërkuesja ka </w:t>
      </w:r>
      <w:r w:rsidR="00733525" w:rsidRPr="00B55675">
        <w:t>pretenduar</w:t>
      </w:r>
      <w:r w:rsidRPr="00B55675">
        <w:t xml:space="preserve"> se </w:t>
      </w:r>
      <w:r w:rsidR="00DF581A" w:rsidRPr="00B55675">
        <w:t xml:space="preserve">gjykatat </w:t>
      </w:r>
      <w:r w:rsidR="005D0B34" w:rsidRPr="00B55675">
        <w:t xml:space="preserve">e </w:t>
      </w:r>
      <w:r w:rsidR="00DF581A" w:rsidRPr="00B55675">
        <w:t xml:space="preserve">kanë </w:t>
      </w:r>
      <w:r w:rsidR="00E916EC" w:rsidRPr="00B55675">
        <w:rPr>
          <w:bCs/>
        </w:rPr>
        <w:t>zgjidhur çështjen në kundërshtim të hapur me dispozitat ligjore në fuqi</w:t>
      </w:r>
      <w:r w:rsidR="005D0B34" w:rsidRPr="00B55675">
        <w:rPr>
          <w:bCs/>
        </w:rPr>
        <w:t xml:space="preserve"> dhe</w:t>
      </w:r>
      <w:r w:rsidR="00E916EC" w:rsidRPr="00B55675">
        <w:rPr>
          <w:bCs/>
        </w:rPr>
        <w:t xml:space="preserve"> </w:t>
      </w:r>
      <w:r w:rsidR="00C063D6" w:rsidRPr="00B55675">
        <w:rPr>
          <w:bCs/>
        </w:rPr>
        <w:t>me vendimin unifikues nr.</w:t>
      </w:r>
      <w:r w:rsidR="005D0B34" w:rsidRPr="00B55675">
        <w:rPr>
          <w:bCs/>
        </w:rPr>
        <w:t xml:space="preserve">1/2014 të Gjykatës së Lartë. </w:t>
      </w:r>
      <w:r w:rsidR="00733525" w:rsidRPr="00B55675">
        <w:rPr>
          <w:bCs/>
        </w:rPr>
        <w:t xml:space="preserve">Lidhur me </w:t>
      </w:r>
      <w:r w:rsidR="00A948FA" w:rsidRPr="00B55675">
        <w:rPr>
          <w:bCs/>
        </w:rPr>
        <w:t xml:space="preserve">këtë pretendim, </w:t>
      </w:r>
      <w:r w:rsidR="00E916EC" w:rsidRPr="00B55675">
        <w:rPr>
          <w:bCs/>
        </w:rPr>
        <w:t xml:space="preserve">Gjykata rithekson </w:t>
      </w:r>
      <w:r w:rsidR="00F36CF1" w:rsidRPr="00B55675">
        <w:rPr>
          <w:bCs/>
        </w:rPr>
        <w:t xml:space="preserve">qëndrimin e saj </w:t>
      </w:r>
      <w:r w:rsidR="00B40B0C" w:rsidRPr="00B55675">
        <w:rPr>
          <w:bCs/>
        </w:rPr>
        <w:t xml:space="preserve">të konsoliduar </w:t>
      </w:r>
      <w:r w:rsidR="00E916EC" w:rsidRPr="00B55675">
        <w:rPr>
          <w:bCs/>
        </w:rPr>
        <w:t xml:space="preserve">se </w:t>
      </w:r>
      <w:r w:rsidR="00A06144" w:rsidRPr="00B55675">
        <w:t xml:space="preserve">mënyra e vlerësimit të provave dhe mënyra e zbatimit të ligjit material janë, si rregull, atribut i gjykatave të zakonshme, ndërsa detyra e Gjykatës Kushtetuese është të sigurojë nëse procesi në tërësinë e tij, përfshirë edhe mënyrën në të cilën janë marrë provat, ka qenë i rregullt. Roli i saj nuk është të rivlerësojë faktet, zbatimin e ligjit material apo zgjidhjen e dhënë nga gjykatat e zakonshme. Kontrolli kushtetues që kjo Gjykatë ushtron ndaj vendimeve gjyqësore është i kufizuar vetëm në funksion të mbrojtjes së të drejtave kushtetuese të individit për një proces të rregullt ligjor. Problemet e interpretimit dhe të zbatimit të ligjit për zgjidhjen e çështjeve konkrete nuk përbëjnë juridiksion kushtetues, nëse ato nuk shoqërohen me cenimin e këtyre të drejtave </w:t>
      </w:r>
      <w:r w:rsidR="00A06144" w:rsidRPr="00B55675">
        <w:rPr>
          <w:i/>
        </w:rPr>
        <w:t>(s</w:t>
      </w:r>
      <w:r w:rsidR="00C063D6" w:rsidRPr="00B55675">
        <w:rPr>
          <w:i/>
          <w:iCs/>
        </w:rPr>
        <w:t>hih vendimet nr.40, datë 25.06.2015; nr.</w:t>
      </w:r>
      <w:r w:rsidR="00A06144" w:rsidRPr="00B55675">
        <w:rPr>
          <w:i/>
          <w:iCs/>
        </w:rPr>
        <w:t xml:space="preserve">4, datë 05.02.2014; </w:t>
      </w:r>
      <w:r w:rsidR="00C063D6" w:rsidRPr="00B55675">
        <w:rPr>
          <w:i/>
        </w:rPr>
        <w:t>nr.</w:t>
      </w:r>
      <w:r w:rsidR="00A06144" w:rsidRPr="00B55675">
        <w:rPr>
          <w:i/>
        </w:rPr>
        <w:t>34, datë 12.07.2013 të Gjykatës Kushtetuese).</w:t>
      </w:r>
      <w:r w:rsidR="00A06144" w:rsidRPr="00B55675">
        <w:t xml:space="preserve"> </w:t>
      </w:r>
      <w:r w:rsidR="00A948FA" w:rsidRPr="00B55675">
        <w:t xml:space="preserve">Kërkuesja ka pretenduar se </w:t>
      </w:r>
      <w:r w:rsidR="00A948FA" w:rsidRPr="00B55675">
        <w:rPr>
          <w:bCs/>
        </w:rPr>
        <w:t xml:space="preserve">Gjykata e Lartë ka mbajtur qëndrim të ndryshëm në çështje të ngjashme. </w:t>
      </w:r>
      <w:r w:rsidR="00F526D2" w:rsidRPr="00B55675">
        <w:t>Për sa i përket këtij pretendimi,</w:t>
      </w:r>
      <w:r w:rsidR="00780E0F" w:rsidRPr="00B55675">
        <w:t xml:space="preserve"> Gjykata nënvizon se</w:t>
      </w:r>
      <w:r w:rsidR="00B40B0C" w:rsidRPr="00B55675">
        <w:t xml:space="preserve"> k</w:t>
      </w:r>
      <w:r w:rsidR="0060136D" w:rsidRPr="00B55675">
        <w:rPr>
          <w:bCs/>
        </w:rPr>
        <w:t xml:space="preserve">ontrolli i zbatimit në mënyrë uniforme të ligjit </w:t>
      </w:r>
      <w:r w:rsidR="0060136D" w:rsidRPr="00B55675">
        <w:rPr>
          <w:bCs/>
        </w:rPr>
        <w:lastRenderedPageBreak/>
        <w:t xml:space="preserve">material </w:t>
      </w:r>
      <w:r w:rsidR="003477C9" w:rsidRPr="00B55675">
        <w:rPr>
          <w:bCs/>
        </w:rPr>
        <w:t>hyn</w:t>
      </w:r>
      <w:r w:rsidR="0060136D" w:rsidRPr="00B55675">
        <w:rPr>
          <w:bCs/>
        </w:rPr>
        <w:t xml:space="preserve"> </w:t>
      </w:r>
      <w:r w:rsidR="007C774F" w:rsidRPr="00B55675">
        <w:rPr>
          <w:bCs/>
        </w:rPr>
        <w:t xml:space="preserve">në </w:t>
      </w:r>
      <w:r w:rsidR="0060136D" w:rsidRPr="00B55675">
        <w:rPr>
          <w:bCs/>
        </w:rPr>
        <w:t>ju</w:t>
      </w:r>
      <w:r w:rsidR="00B40B0C" w:rsidRPr="00B55675">
        <w:rPr>
          <w:bCs/>
        </w:rPr>
        <w:t xml:space="preserve">ridiksionin e Gjykatës së Lartë, e cila vendos të bëjë unifikim të praktikës nëse janë rastet për </w:t>
      </w:r>
      <w:r w:rsidR="00D20648" w:rsidRPr="00B55675">
        <w:rPr>
          <w:bCs/>
        </w:rPr>
        <w:t>ta bërë këtë.</w:t>
      </w:r>
      <w:r w:rsidR="0060136D" w:rsidRPr="00B55675">
        <w:rPr>
          <w:bCs/>
        </w:rPr>
        <w:t xml:space="preserve"> </w:t>
      </w:r>
      <w:r w:rsidR="00D21E92" w:rsidRPr="00B55675">
        <w:rPr>
          <w:bCs/>
        </w:rPr>
        <w:t xml:space="preserve">Gjithashtu, </w:t>
      </w:r>
      <w:r w:rsidR="00E4453F" w:rsidRPr="00B55675">
        <w:rPr>
          <w:bCs/>
        </w:rPr>
        <w:t xml:space="preserve">Gjykata vëren se </w:t>
      </w:r>
      <w:r w:rsidR="00D21E92" w:rsidRPr="00B55675">
        <w:t xml:space="preserve">pasi janë dhënë vendimet gjyqësore objekt shqyrtimi, </w:t>
      </w:r>
      <w:r w:rsidR="00282219" w:rsidRPr="00B55675">
        <w:t>i një</w:t>
      </w:r>
      <w:r w:rsidR="00E4453F" w:rsidRPr="00B55675">
        <w:t>j</w:t>
      </w:r>
      <w:r w:rsidR="00282219" w:rsidRPr="00B55675">
        <w:t xml:space="preserve">ti testament </w:t>
      </w:r>
      <w:r w:rsidR="007F565F" w:rsidRPr="00B55675">
        <w:t xml:space="preserve">i </w:t>
      </w:r>
      <w:r w:rsidR="00282219" w:rsidRPr="00B55675">
        <w:t xml:space="preserve">është </w:t>
      </w:r>
      <w:r w:rsidR="007F565F" w:rsidRPr="00B55675">
        <w:t xml:space="preserve">nënshtruar </w:t>
      </w:r>
      <w:r w:rsidR="005C444A" w:rsidRPr="00B55675">
        <w:t xml:space="preserve">përsëri </w:t>
      </w:r>
      <w:r w:rsidR="007F565F" w:rsidRPr="00B55675">
        <w:t xml:space="preserve">shqyrtimit gjyqësor për pavlefshmëri dhe njohje të pjesës trashëgimore në gjykatat e zakonshme. </w:t>
      </w:r>
      <w:r w:rsidR="00DC6312" w:rsidRPr="00B55675">
        <w:t xml:space="preserve">Gjatë këtij gjykimi </w:t>
      </w:r>
      <w:r w:rsidR="003A50ED" w:rsidRPr="00B55675">
        <w:t>Gjykata e A</w:t>
      </w:r>
      <w:r w:rsidR="00FA0A96" w:rsidRPr="00B55675">
        <w:t>pelit</w:t>
      </w:r>
      <w:r w:rsidR="00BF2525" w:rsidRPr="00B55675">
        <w:t xml:space="preserve"> Tiranë</w:t>
      </w:r>
      <w:r w:rsidR="00C843CE" w:rsidRPr="00B55675">
        <w:t>,</w:t>
      </w:r>
      <w:r w:rsidR="00FA0A96" w:rsidRPr="00B55675">
        <w:t xml:space="preserve"> me vendimin nr.</w:t>
      </w:r>
      <w:r w:rsidR="00727D45" w:rsidRPr="00B55675">
        <w:t>553</w:t>
      </w:r>
      <w:r w:rsidR="00347E9C" w:rsidRPr="00B55675">
        <w:t>,</w:t>
      </w:r>
      <w:r w:rsidR="00FA0A96" w:rsidRPr="00B55675">
        <w:t xml:space="preserve"> datë 27.02.2015</w:t>
      </w:r>
      <w:r w:rsidR="00727D45" w:rsidRPr="00B55675">
        <w:t xml:space="preserve"> të formës së prerë,</w:t>
      </w:r>
      <w:r w:rsidR="00FA0A96" w:rsidRPr="00B55675">
        <w:t xml:space="preserve"> </w:t>
      </w:r>
      <w:r w:rsidR="00282219" w:rsidRPr="00B55675">
        <w:t xml:space="preserve">ka </w:t>
      </w:r>
      <w:r w:rsidR="0098496D" w:rsidRPr="00B55675">
        <w:t xml:space="preserve">arsyetuar në </w:t>
      </w:r>
      <w:r w:rsidR="006B48E2" w:rsidRPr="00B55675">
        <w:t xml:space="preserve">harmoni me qëndrimin e </w:t>
      </w:r>
      <w:r w:rsidR="00555D41" w:rsidRPr="00B55675">
        <w:t xml:space="preserve">mbajtur nga </w:t>
      </w:r>
      <w:r w:rsidR="006B48E2" w:rsidRPr="00B55675">
        <w:t>Kolegje</w:t>
      </w:r>
      <w:r w:rsidR="00555D41" w:rsidRPr="00B55675">
        <w:t>t</w:t>
      </w:r>
      <w:r w:rsidR="006B48E2" w:rsidRPr="00B55675">
        <w:t xml:space="preserve"> </w:t>
      </w:r>
      <w:r w:rsidR="00555D41" w:rsidRPr="00B55675">
        <w:t>e</w:t>
      </w:r>
      <w:r w:rsidR="005618B9" w:rsidRPr="00B55675">
        <w:t xml:space="preserve"> Bashkuara të Gjykatës së Lartë në</w:t>
      </w:r>
      <w:r w:rsidR="00282219" w:rsidRPr="00B55675">
        <w:t xml:space="preserve"> vendimin nr.</w:t>
      </w:r>
      <w:r w:rsidR="007A1E9D" w:rsidRPr="00B55675">
        <w:t>1, datë 19.02.2014</w:t>
      </w:r>
      <w:r w:rsidR="002D7994" w:rsidRPr="00B55675">
        <w:t xml:space="preserve"> </w:t>
      </w:r>
      <w:r w:rsidR="005618B9" w:rsidRPr="00B55675">
        <w:t>dhe</w:t>
      </w:r>
      <w:r w:rsidR="002D7994" w:rsidRPr="00B55675">
        <w:t xml:space="preserve"> </w:t>
      </w:r>
      <w:r w:rsidR="00555D41" w:rsidRPr="00B55675">
        <w:t>në</w:t>
      </w:r>
      <w:r w:rsidR="005618B9" w:rsidRPr="00B55675">
        <w:t xml:space="preserve"> </w:t>
      </w:r>
      <w:r w:rsidR="006B48E2" w:rsidRPr="00B55675">
        <w:t xml:space="preserve">të njëjtën linjë </w:t>
      </w:r>
      <w:r w:rsidR="00380331" w:rsidRPr="00B55675">
        <w:t>që kanë ndjekur</w:t>
      </w:r>
      <w:r w:rsidR="00D60D09" w:rsidRPr="00B55675">
        <w:t xml:space="preserve"> gjykatat në</w:t>
      </w:r>
      <w:r w:rsidR="00381420" w:rsidRPr="00B55675">
        <w:t xml:space="preserve"> vendimet</w:t>
      </w:r>
      <w:r w:rsidR="00D60D09" w:rsidRPr="00B55675">
        <w:t xml:space="preserve"> objekt shqyrtimi</w:t>
      </w:r>
      <w:r w:rsidR="006B48E2" w:rsidRPr="00B55675">
        <w:t xml:space="preserve">. </w:t>
      </w:r>
      <w:r w:rsidR="000B4C31" w:rsidRPr="00B55675">
        <w:t xml:space="preserve">Për pasojë, </w:t>
      </w:r>
      <w:r w:rsidR="006F3F1E" w:rsidRPr="00B55675">
        <w:t xml:space="preserve">argumentet e parashtruara si më lart nga kërkuesja nuk </w:t>
      </w:r>
      <w:r w:rsidR="00841484" w:rsidRPr="00B55675">
        <w:t>janë të</w:t>
      </w:r>
      <w:r w:rsidR="007F5748" w:rsidRPr="00B55675">
        <w:t xml:space="preserve"> mjaftueshme</w:t>
      </w:r>
      <w:r w:rsidR="00841484" w:rsidRPr="00B55675">
        <w:t xml:space="preserve"> që të bindin Gjykatën për cenimin</w:t>
      </w:r>
      <w:r w:rsidR="00E2245D" w:rsidRPr="00B55675">
        <w:t xml:space="preserve"> e parimit të sigurisë juridike</w:t>
      </w:r>
      <w:r w:rsidR="00841484" w:rsidRPr="00B55675">
        <w:t xml:space="preserve"> </w:t>
      </w:r>
      <w:r w:rsidR="00934255" w:rsidRPr="00B55675">
        <w:t>në kuadrin e procesit të rregullt ligjor.</w:t>
      </w:r>
      <w:r w:rsidR="006F3F1E" w:rsidRPr="00B55675">
        <w:t xml:space="preserve"> </w:t>
      </w:r>
    </w:p>
    <w:p w:rsidR="007E4F3B" w:rsidRPr="00B55675" w:rsidRDefault="00054861" w:rsidP="00B55675">
      <w:pPr>
        <w:pStyle w:val="ListParagraph"/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bCs/>
        </w:rPr>
      </w:pPr>
      <w:r w:rsidRPr="00B55675">
        <w:t>Rrjedhimisht</w:t>
      </w:r>
      <w:r w:rsidR="007E1358" w:rsidRPr="00B55675">
        <w:t xml:space="preserve">, bazuar në sa më sipër, Gjykata vlerëson se </w:t>
      </w:r>
      <w:r w:rsidR="00504BC9" w:rsidRPr="00B55675">
        <w:t>pretendimi i kërkueses</w:t>
      </w:r>
      <w:r w:rsidR="00DE08E1" w:rsidRPr="00B55675">
        <w:t xml:space="preserve"> për cenimin e parimit të sigurisë juridike, në kuptim të nenit 42 të Kushtetutës, është i pabazuar. </w:t>
      </w:r>
    </w:p>
    <w:p w:rsidR="00717A02" w:rsidRPr="00B55675" w:rsidRDefault="00717A02" w:rsidP="00B55675">
      <w:pPr>
        <w:spacing w:line="360" w:lineRule="auto"/>
        <w:jc w:val="center"/>
        <w:rPr>
          <w:b/>
        </w:rPr>
      </w:pPr>
    </w:p>
    <w:p w:rsidR="00CA36E4" w:rsidRPr="00B55675" w:rsidRDefault="00CA36E4" w:rsidP="00B55675">
      <w:pPr>
        <w:pStyle w:val="JuPara"/>
        <w:spacing w:line="360" w:lineRule="auto"/>
        <w:ind w:firstLine="0"/>
        <w:jc w:val="center"/>
        <w:rPr>
          <w:b/>
          <w:bCs/>
          <w:szCs w:val="24"/>
          <w:lang w:val="sq-AL"/>
        </w:rPr>
      </w:pPr>
      <w:r w:rsidRPr="00B55675">
        <w:rPr>
          <w:b/>
          <w:bCs/>
          <w:szCs w:val="24"/>
          <w:lang w:val="sq-AL"/>
        </w:rPr>
        <w:t>PËR KËTO ARSYE,</w:t>
      </w:r>
    </w:p>
    <w:p w:rsidR="00CA36E4" w:rsidRPr="00B55675" w:rsidRDefault="00CA36E4" w:rsidP="00B55675">
      <w:pPr>
        <w:pStyle w:val="JuPara"/>
        <w:spacing w:line="360" w:lineRule="auto"/>
        <w:ind w:firstLine="720"/>
        <w:rPr>
          <w:szCs w:val="24"/>
          <w:lang w:val="sq-AL"/>
        </w:rPr>
      </w:pPr>
      <w:r w:rsidRPr="00B55675">
        <w:rPr>
          <w:szCs w:val="24"/>
          <w:lang w:val="sq-AL"/>
        </w:rPr>
        <w:t>Gjykata Kushtetuese e Republikës së Shqipërisë, në mbështetje të nen</w:t>
      </w:r>
      <w:r w:rsidR="000B330C" w:rsidRPr="00B55675">
        <w:rPr>
          <w:szCs w:val="24"/>
          <w:lang w:val="sq-AL"/>
        </w:rPr>
        <w:t>eve 131/f dhe 134/1/</w:t>
      </w:r>
      <w:r w:rsidR="00FD193A" w:rsidRPr="00B55675">
        <w:rPr>
          <w:szCs w:val="24"/>
          <w:lang w:val="sq-AL"/>
        </w:rPr>
        <w:t>i</w:t>
      </w:r>
      <w:r w:rsidRPr="00B55675">
        <w:rPr>
          <w:szCs w:val="24"/>
          <w:lang w:val="sq-AL"/>
        </w:rPr>
        <w:t xml:space="preserve"> të Kushtetutës, si dhe të nenit 72 të ligjit nr.8577, datë 10.02.2000 “Për organizimin dhe funksionimin e Gjykatës Kushtetuese të Republikës së Shqipërisë”, </w:t>
      </w:r>
      <w:r w:rsidR="00EE22EA" w:rsidRPr="00B55675">
        <w:rPr>
          <w:szCs w:val="24"/>
          <w:lang w:val="sq-AL"/>
        </w:rPr>
        <w:t>njëzëri</w:t>
      </w:r>
      <w:r w:rsidRPr="00B55675">
        <w:rPr>
          <w:szCs w:val="24"/>
          <w:lang w:val="sq-AL"/>
        </w:rPr>
        <w:t>, </w:t>
      </w:r>
    </w:p>
    <w:p w:rsidR="00717A02" w:rsidRPr="00B55675" w:rsidRDefault="00717A02" w:rsidP="00B55675">
      <w:pPr>
        <w:pStyle w:val="JuPara"/>
        <w:spacing w:line="360" w:lineRule="auto"/>
        <w:ind w:firstLine="0"/>
        <w:rPr>
          <w:szCs w:val="24"/>
          <w:lang w:val="sq-AL"/>
        </w:rPr>
      </w:pPr>
    </w:p>
    <w:p w:rsidR="00CA36E4" w:rsidRPr="00B55675" w:rsidRDefault="00CA36E4" w:rsidP="00B55675">
      <w:pPr>
        <w:pStyle w:val="JuPara"/>
        <w:spacing w:line="360" w:lineRule="auto"/>
        <w:ind w:firstLine="0"/>
        <w:jc w:val="center"/>
        <w:rPr>
          <w:szCs w:val="24"/>
          <w:lang w:val="sq-AL"/>
        </w:rPr>
      </w:pPr>
      <w:r w:rsidRPr="00B55675">
        <w:rPr>
          <w:b/>
          <w:bCs/>
          <w:szCs w:val="24"/>
          <w:lang w:val="sq-AL"/>
        </w:rPr>
        <w:t>V E N D O S I:</w:t>
      </w:r>
    </w:p>
    <w:p w:rsidR="00CA36E4" w:rsidRPr="00B55675" w:rsidRDefault="00CA36E4" w:rsidP="00B55675">
      <w:pPr>
        <w:pStyle w:val="ListParagraph"/>
        <w:spacing w:line="360" w:lineRule="auto"/>
        <w:jc w:val="both"/>
        <w:rPr>
          <w:bCs/>
        </w:rPr>
      </w:pPr>
      <w:r w:rsidRPr="00B55675">
        <w:rPr>
          <w:lang w:eastAsia="fr-FR"/>
        </w:rPr>
        <w:t xml:space="preserve"> -  Rrëzimin e kërkesës</w:t>
      </w:r>
      <w:r w:rsidR="005E24D2" w:rsidRPr="00B55675">
        <w:rPr>
          <w:lang w:eastAsia="fr-FR"/>
        </w:rPr>
        <w:t>.</w:t>
      </w:r>
      <w:r w:rsidRPr="00B55675">
        <w:rPr>
          <w:lang w:eastAsia="fr-FR"/>
        </w:rPr>
        <w:t xml:space="preserve"> </w:t>
      </w:r>
    </w:p>
    <w:p w:rsidR="00C406E9" w:rsidRPr="00B55675" w:rsidRDefault="00CA36E4" w:rsidP="0071487F">
      <w:pPr>
        <w:pStyle w:val="ListParagraph"/>
        <w:spacing w:line="360" w:lineRule="auto"/>
        <w:ind w:left="0" w:firstLine="720"/>
        <w:jc w:val="both"/>
      </w:pPr>
      <w:r w:rsidRPr="00B55675">
        <w:rPr>
          <w:lang w:eastAsia="fr-FR"/>
        </w:rPr>
        <w:t xml:space="preserve"> - Ky vendim është përfundimtar</w:t>
      </w:r>
      <w:r w:rsidRPr="00B55675">
        <w:t xml:space="preserve">, i formës së prerë dhe hyn në fuqi ditën e </w:t>
      </w:r>
      <w:r w:rsidR="00F12573" w:rsidRPr="00B55675">
        <w:t>publikimit</w:t>
      </w:r>
      <w:r w:rsidRPr="00B55675">
        <w:t xml:space="preserve"> në Fletoren Zyrtare.</w:t>
      </w:r>
    </w:p>
    <w:sectPr w:rsidR="00C406E9" w:rsidRPr="00B55675" w:rsidSect="00717A02">
      <w:footerReference w:type="default" r:id="rId7"/>
      <w:pgSz w:w="12240" w:h="15840"/>
      <w:pgMar w:top="1440" w:right="144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3B" w:rsidRDefault="00D24D3B" w:rsidP="003E0954">
      <w:r>
        <w:separator/>
      </w:r>
    </w:p>
  </w:endnote>
  <w:endnote w:type="continuationSeparator" w:id="0">
    <w:p w:rsidR="00D24D3B" w:rsidRDefault="00D24D3B" w:rsidP="003E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EF" w:rsidRDefault="00F137EF">
    <w:pPr>
      <w:pStyle w:val="Footer"/>
      <w:jc w:val="right"/>
    </w:pPr>
    <w:fldSimple w:instr=" PAGE   \* MERGEFORMAT ">
      <w:r w:rsidR="0071487F">
        <w:rPr>
          <w:noProof/>
        </w:rPr>
        <w:t>7</w:t>
      </w:r>
    </w:fldSimple>
  </w:p>
  <w:p w:rsidR="006B2F75" w:rsidRDefault="006B2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3B" w:rsidRDefault="00D24D3B" w:rsidP="003E0954">
      <w:r>
        <w:separator/>
      </w:r>
    </w:p>
  </w:footnote>
  <w:footnote w:type="continuationSeparator" w:id="0">
    <w:p w:rsidR="00D24D3B" w:rsidRDefault="00D24D3B" w:rsidP="003E0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76B"/>
    <w:multiLevelType w:val="hybridMultilevel"/>
    <w:tmpl w:val="4DB48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318B"/>
    <w:multiLevelType w:val="multilevel"/>
    <w:tmpl w:val="B2F87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1265BF7"/>
    <w:multiLevelType w:val="multilevel"/>
    <w:tmpl w:val="C5EA3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6C03A2A"/>
    <w:multiLevelType w:val="hybridMultilevel"/>
    <w:tmpl w:val="101C8072"/>
    <w:lvl w:ilvl="0" w:tplc="ACD29A0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AB0415"/>
    <w:multiLevelType w:val="hybridMultilevel"/>
    <w:tmpl w:val="01021090"/>
    <w:lvl w:ilvl="0" w:tplc="903CF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4236D"/>
    <w:multiLevelType w:val="multilevel"/>
    <w:tmpl w:val="FB5ED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6E4"/>
    <w:rsid w:val="000049E9"/>
    <w:rsid w:val="00027F7A"/>
    <w:rsid w:val="0004227C"/>
    <w:rsid w:val="0004369C"/>
    <w:rsid w:val="00054861"/>
    <w:rsid w:val="0008446C"/>
    <w:rsid w:val="000B330C"/>
    <w:rsid w:val="000B3F49"/>
    <w:rsid w:val="000B4C31"/>
    <w:rsid w:val="000C15A9"/>
    <w:rsid w:val="000D31FE"/>
    <w:rsid w:val="000D3263"/>
    <w:rsid w:val="000F7223"/>
    <w:rsid w:val="0010153D"/>
    <w:rsid w:val="00102A0E"/>
    <w:rsid w:val="0013346E"/>
    <w:rsid w:val="00146446"/>
    <w:rsid w:val="00157B0B"/>
    <w:rsid w:val="001823AC"/>
    <w:rsid w:val="00182AE9"/>
    <w:rsid w:val="001845FB"/>
    <w:rsid w:val="00193D6A"/>
    <w:rsid w:val="001E157A"/>
    <w:rsid w:val="001E6129"/>
    <w:rsid w:val="00204642"/>
    <w:rsid w:val="002171BA"/>
    <w:rsid w:val="00240B0A"/>
    <w:rsid w:val="00263338"/>
    <w:rsid w:val="00267739"/>
    <w:rsid w:val="002734E2"/>
    <w:rsid w:val="00277AE8"/>
    <w:rsid w:val="00282219"/>
    <w:rsid w:val="002A0C8D"/>
    <w:rsid w:val="002B24B9"/>
    <w:rsid w:val="002B6AA5"/>
    <w:rsid w:val="002B6FD9"/>
    <w:rsid w:val="002D7994"/>
    <w:rsid w:val="002E5E10"/>
    <w:rsid w:val="003042DF"/>
    <w:rsid w:val="003232E5"/>
    <w:rsid w:val="00323C1C"/>
    <w:rsid w:val="00340DA7"/>
    <w:rsid w:val="003460D6"/>
    <w:rsid w:val="003477C9"/>
    <w:rsid w:val="00347E9C"/>
    <w:rsid w:val="003627EE"/>
    <w:rsid w:val="00380331"/>
    <w:rsid w:val="00381420"/>
    <w:rsid w:val="00390244"/>
    <w:rsid w:val="0039213B"/>
    <w:rsid w:val="00392956"/>
    <w:rsid w:val="003A50ED"/>
    <w:rsid w:val="003C52F1"/>
    <w:rsid w:val="003C5415"/>
    <w:rsid w:val="003E0954"/>
    <w:rsid w:val="00415EC0"/>
    <w:rsid w:val="004217C0"/>
    <w:rsid w:val="00426EED"/>
    <w:rsid w:val="004339F9"/>
    <w:rsid w:val="00434AF7"/>
    <w:rsid w:val="0043743C"/>
    <w:rsid w:val="00437FBD"/>
    <w:rsid w:val="0044012E"/>
    <w:rsid w:val="00444CFD"/>
    <w:rsid w:val="00462490"/>
    <w:rsid w:val="00471AF9"/>
    <w:rsid w:val="00493057"/>
    <w:rsid w:val="004B2EA9"/>
    <w:rsid w:val="004C06DD"/>
    <w:rsid w:val="004D000E"/>
    <w:rsid w:val="004E0B9A"/>
    <w:rsid w:val="004E396E"/>
    <w:rsid w:val="004F0FAC"/>
    <w:rsid w:val="004F2093"/>
    <w:rsid w:val="00504BC9"/>
    <w:rsid w:val="00534EA6"/>
    <w:rsid w:val="00555D41"/>
    <w:rsid w:val="005618B9"/>
    <w:rsid w:val="00580941"/>
    <w:rsid w:val="0058112C"/>
    <w:rsid w:val="00582D52"/>
    <w:rsid w:val="005B4A0B"/>
    <w:rsid w:val="005B6B8E"/>
    <w:rsid w:val="005C444A"/>
    <w:rsid w:val="005C70DB"/>
    <w:rsid w:val="005C753B"/>
    <w:rsid w:val="005D0B34"/>
    <w:rsid w:val="005D4E1A"/>
    <w:rsid w:val="005D6686"/>
    <w:rsid w:val="005E24D2"/>
    <w:rsid w:val="005E453B"/>
    <w:rsid w:val="005F0082"/>
    <w:rsid w:val="0060136D"/>
    <w:rsid w:val="00605A2A"/>
    <w:rsid w:val="006379EB"/>
    <w:rsid w:val="00653245"/>
    <w:rsid w:val="00671F66"/>
    <w:rsid w:val="00684014"/>
    <w:rsid w:val="00685B16"/>
    <w:rsid w:val="006B2011"/>
    <w:rsid w:val="006B2F75"/>
    <w:rsid w:val="006B48E2"/>
    <w:rsid w:val="006C1E28"/>
    <w:rsid w:val="006D3EA7"/>
    <w:rsid w:val="006E7EC9"/>
    <w:rsid w:val="006F3F1E"/>
    <w:rsid w:val="006F4E45"/>
    <w:rsid w:val="00702D4C"/>
    <w:rsid w:val="00706030"/>
    <w:rsid w:val="0071487F"/>
    <w:rsid w:val="00716ECC"/>
    <w:rsid w:val="00717A02"/>
    <w:rsid w:val="00725EEF"/>
    <w:rsid w:val="00727D45"/>
    <w:rsid w:val="00733525"/>
    <w:rsid w:val="00735C13"/>
    <w:rsid w:val="00737A65"/>
    <w:rsid w:val="00745B80"/>
    <w:rsid w:val="0075001C"/>
    <w:rsid w:val="00763B86"/>
    <w:rsid w:val="0076693D"/>
    <w:rsid w:val="00774236"/>
    <w:rsid w:val="007756B2"/>
    <w:rsid w:val="00780E0F"/>
    <w:rsid w:val="00796147"/>
    <w:rsid w:val="007A0DF9"/>
    <w:rsid w:val="007A1E9D"/>
    <w:rsid w:val="007C1AB6"/>
    <w:rsid w:val="007C774F"/>
    <w:rsid w:val="007E1358"/>
    <w:rsid w:val="007E4F3B"/>
    <w:rsid w:val="007F565F"/>
    <w:rsid w:val="007F5748"/>
    <w:rsid w:val="00801DB2"/>
    <w:rsid w:val="00805FA0"/>
    <w:rsid w:val="00805FC1"/>
    <w:rsid w:val="00815899"/>
    <w:rsid w:val="00816484"/>
    <w:rsid w:val="00817A76"/>
    <w:rsid w:val="00821057"/>
    <w:rsid w:val="00821317"/>
    <w:rsid w:val="00824961"/>
    <w:rsid w:val="00825FA3"/>
    <w:rsid w:val="00831FCE"/>
    <w:rsid w:val="00834DBA"/>
    <w:rsid w:val="008371DC"/>
    <w:rsid w:val="00841484"/>
    <w:rsid w:val="00863200"/>
    <w:rsid w:val="00865BBC"/>
    <w:rsid w:val="00866F0D"/>
    <w:rsid w:val="00872A3B"/>
    <w:rsid w:val="00873166"/>
    <w:rsid w:val="00876AD9"/>
    <w:rsid w:val="008773A3"/>
    <w:rsid w:val="0089072C"/>
    <w:rsid w:val="008943F0"/>
    <w:rsid w:val="00895CA8"/>
    <w:rsid w:val="008A3F18"/>
    <w:rsid w:val="008B1F2F"/>
    <w:rsid w:val="008B5614"/>
    <w:rsid w:val="008D75F4"/>
    <w:rsid w:val="008F65C3"/>
    <w:rsid w:val="00904F7E"/>
    <w:rsid w:val="00915124"/>
    <w:rsid w:val="00917456"/>
    <w:rsid w:val="00934255"/>
    <w:rsid w:val="00937CD7"/>
    <w:rsid w:val="00947766"/>
    <w:rsid w:val="00954A3D"/>
    <w:rsid w:val="00963FB4"/>
    <w:rsid w:val="0096432D"/>
    <w:rsid w:val="00966988"/>
    <w:rsid w:val="00983021"/>
    <w:rsid w:val="0098452E"/>
    <w:rsid w:val="0098496D"/>
    <w:rsid w:val="009A203A"/>
    <w:rsid w:val="009A3A52"/>
    <w:rsid w:val="009C5F8A"/>
    <w:rsid w:val="009C7A26"/>
    <w:rsid w:val="00A00150"/>
    <w:rsid w:val="00A06144"/>
    <w:rsid w:val="00A07A8C"/>
    <w:rsid w:val="00A07D7E"/>
    <w:rsid w:val="00A15D0E"/>
    <w:rsid w:val="00A35D76"/>
    <w:rsid w:val="00A36B37"/>
    <w:rsid w:val="00A720A2"/>
    <w:rsid w:val="00A948FA"/>
    <w:rsid w:val="00AB681A"/>
    <w:rsid w:val="00AC1EEF"/>
    <w:rsid w:val="00AC6923"/>
    <w:rsid w:val="00AD3248"/>
    <w:rsid w:val="00AF5CFB"/>
    <w:rsid w:val="00AF5D1E"/>
    <w:rsid w:val="00B1086B"/>
    <w:rsid w:val="00B11D2E"/>
    <w:rsid w:val="00B14790"/>
    <w:rsid w:val="00B40B0C"/>
    <w:rsid w:val="00B55675"/>
    <w:rsid w:val="00B57481"/>
    <w:rsid w:val="00B6590C"/>
    <w:rsid w:val="00B81A91"/>
    <w:rsid w:val="00B84B52"/>
    <w:rsid w:val="00B97BB2"/>
    <w:rsid w:val="00BD08E5"/>
    <w:rsid w:val="00BE77B5"/>
    <w:rsid w:val="00BF14DD"/>
    <w:rsid w:val="00BF2525"/>
    <w:rsid w:val="00BF386D"/>
    <w:rsid w:val="00C01A01"/>
    <w:rsid w:val="00C063D6"/>
    <w:rsid w:val="00C406E9"/>
    <w:rsid w:val="00C42810"/>
    <w:rsid w:val="00C438CC"/>
    <w:rsid w:val="00C55325"/>
    <w:rsid w:val="00C5764A"/>
    <w:rsid w:val="00C62A27"/>
    <w:rsid w:val="00C768D3"/>
    <w:rsid w:val="00C80676"/>
    <w:rsid w:val="00C843CE"/>
    <w:rsid w:val="00C953E5"/>
    <w:rsid w:val="00CA36E4"/>
    <w:rsid w:val="00CA4543"/>
    <w:rsid w:val="00CC763A"/>
    <w:rsid w:val="00CD0ECB"/>
    <w:rsid w:val="00CD7262"/>
    <w:rsid w:val="00D10CBC"/>
    <w:rsid w:val="00D20648"/>
    <w:rsid w:val="00D21E92"/>
    <w:rsid w:val="00D24D3B"/>
    <w:rsid w:val="00D26933"/>
    <w:rsid w:val="00D26B42"/>
    <w:rsid w:val="00D27DC7"/>
    <w:rsid w:val="00D53475"/>
    <w:rsid w:val="00D60D09"/>
    <w:rsid w:val="00D8476E"/>
    <w:rsid w:val="00DB60D4"/>
    <w:rsid w:val="00DC6312"/>
    <w:rsid w:val="00DE025E"/>
    <w:rsid w:val="00DE08E1"/>
    <w:rsid w:val="00DF581A"/>
    <w:rsid w:val="00E06E9C"/>
    <w:rsid w:val="00E2245D"/>
    <w:rsid w:val="00E40D2C"/>
    <w:rsid w:val="00E41C62"/>
    <w:rsid w:val="00E4453F"/>
    <w:rsid w:val="00E4494E"/>
    <w:rsid w:val="00E46B4B"/>
    <w:rsid w:val="00E47795"/>
    <w:rsid w:val="00E916EC"/>
    <w:rsid w:val="00E92B63"/>
    <w:rsid w:val="00ED1A2C"/>
    <w:rsid w:val="00EE22EA"/>
    <w:rsid w:val="00F002AD"/>
    <w:rsid w:val="00F021C9"/>
    <w:rsid w:val="00F05301"/>
    <w:rsid w:val="00F12573"/>
    <w:rsid w:val="00F137EF"/>
    <w:rsid w:val="00F16C39"/>
    <w:rsid w:val="00F26B9A"/>
    <w:rsid w:val="00F36CF1"/>
    <w:rsid w:val="00F40C4E"/>
    <w:rsid w:val="00F52434"/>
    <w:rsid w:val="00F526D2"/>
    <w:rsid w:val="00F5285B"/>
    <w:rsid w:val="00F62F68"/>
    <w:rsid w:val="00F64E99"/>
    <w:rsid w:val="00F6789E"/>
    <w:rsid w:val="00F74BB4"/>
    <w:rsid w:val="00F81A9A"/>
    <w:rsid w:val="00FA084C"/>
    <w:rsid w:val="00FA0A96"/>
    <w:rsid w:val="00FA569E"/>
    <w:rsid w:val="00FC6D1D"/>
    <w:rsid w:val="00FD193A"/>
    <w:rsid w:val="00F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E4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27F7A"/>
    <w:pPr>
      <w:keepNext/>
      <w:spacing w:line="360" w:lineRule="auto"/>
      <w:ind w:firstLine="720"/>
      <w:jc w:val="both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36E4"/>
    <w:pPr>
      <w:ind w:left="720"/>
      <w:contextualSpacing/>
    </w:pPr>
  </w:style>
  <w:style w:type="paragraph" w:customStyle="1" w:styleId="JuPara">
    <w:name w:val="Ju_Para"/>
    <w:aliases w:val="Left,First line:  0 cm"/>
    <w:basedOn w:val="Normal"/>
    <w:link w:val="JuParaCar"/>
    <w:uiPriority w:val="99"/>
    <w:rsid w:val="00CA36E4"/>
    <w:pPr>
      <w:suppressAutoHyphens/>
      <w:ind w:firstLine="284"/>
      <w:jc w:val="both"/>
    </w:pPr>
    <w:rPr>
      <w:szCs w:val="20"/>
      <w:lang w:val="fr-FR" w:eastAsia="fr-FR"/>
    </w:rPr>
  </w:style>
  <w:style w:type="character" w:customStyle="1" w:styleId="JuParaCar">
    <w:name w:val="Ju_Para Car"/>
    <w:basedOn w:val="DefaultParagraphFont"/>
    <w:link w:val="JuPara"/>
    <w:uiPriority w:val="99"/>
    <w:rsid w:val="00CA36E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CA3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6E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CA36E4"/>
    <w:rPr>
      <w:b/>
      <w:bCs/>
    </w:rPr>
  </w:style>
  <w:style w:type="paragraph" w:styleId="BodyText">
    <w:name w:val="Body Text"/>
    <w:basedOn w:val="Normal"/>
    <w:link w:val="BodyTextChar"/>
    <w:rsid w:val="00CA36E4"/>
    <w:pPr>
      <w:spacing w:line="288" w:lineRule="auto"/>
      <w:jc w:val="both"/>
    </w:pPr>
    <w:rPr>
      <w:sz w:val="21"/>
      <w:lang w:val="en-US"/>
    </w:rPr>
  </w:style>
  <w:style w:type="character" w:customStyle="1" w:styleId="BodyTextChar">
    <w:name w:val="Body Text Char"/>
    <w:basedOn w:val="DefaultParagraphFont"/>
    <w:link w:val="BodyText"/>
    <w:rsid w:val="00CA36E4"/>
    <w:rPr>
      <w:rFonts w:ascii="Times New Roman" w:eastAsia="Times New Roman" w:hAnsi="Times New Roman" w:cs="Times New Roman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E4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3E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954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027F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4F3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D2E"/>
    <w:rPr>
      <w:rFonts w:ascii="Calibri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D2E"/>
    <w:rPr>
      <w:rFonts w:ascii="Calibri" w:eastAsia="Times New Roman" w:hAnsi="Calibri" w:cs="Times New Roman"/>
      <w:sz w:val="20"/>
      <w:szCs w:val="20"/>
      <w:lang w:val="sq-AL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1D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NARGIS LUNGU (SHKRELI)</vt:lpstr>
    </vt:vector>
  </TitlesOfParts>
  <Company>Microsoft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NARGIS LUNGU (SHKRELI)</dc:title>
  <dc:subject>Dt. 27.12.2016</dc:subject>
  <dc:creator>Vitore TUSHA</dc:creator>
  <cp:lastModifiedBy>user</cp:lastModifiedBy>
  <cp:revision>2</cp:revision>
  <cp:lastPrinted>2016-12-21T11:50:00Z</cp:lastPrinted>
  <dcterms:created xsi:type="dcterms:W3CDTF">2016-12-27T13:40:00Z</dcterms:created>
  <dcterms:modified xsi:type="dcterms:W3CDTF">2016-12-27T13:40:00Z</dcterms:modified>
</cp:coreProperties>
</file>