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D1" w:rsidRDefault="009471D1" w:rsidP="009471D1">
      <w:pPr>
        <w:spacing w:line="360" w:lineRule="auto"/>
        <w:jc w:val="center"/>
        <w:rPr>
          <w:b/>
          <w:bCs/>
        </w:rPr>
      </w:pPr>
      <w:bookmarkStart w:id="0" w:name="_GoBack"/>
      <w:bookmarkEnd w:id="0"/>
      <w:r>
        <w:rPr>
          <w:b/>
        </w:rPr>
        <w:t>Vendim nr. 2 dat</w:t>
      </w:r>
      <w:r w:rsidRPr="00EF55DC">
        <w:rPr>
          <w:b/>
          <w:bCs/>
        </w:rPr>
        <w:t xml:space="preserve">ë </w:t>
      </w:r>
      <w:r>
        <w:rPr>
          <w:b/>
          <w:bCs/>
        </w:rPr>
        <w:t>26</w:t>
      </w:r>
      <w:r w:rsidRPr="00EF55DC">
        <w:rPr>
          <w:b/>
          <w:bCs/>
        </w:rPr>
        <w:t>.</w:t>
      </w:r>
      <w:r>
        <w:rPr>
          <w:b/>
          <w:bCs/>
        </w:rPr>
        <w:t>01.2015</w:t>
      </w:r>
    </w:p>
    <w:p w:rsidR="009471D1" w:rsidRPr="00EF55DC" w:rsidRDefault="009471D1" w:rsidP="009471D1">
      <w:pPr>
        <w:spacing w:line="360" w:lineRule="auto"/>
        <w:jc w:val="center"/>
        <w:rPr>
          <w:b/>
          <w:bCs/>
        </w:rPr>
      </w:pPr>
      <w:r>
        <w:rPr>
          <w:b/>
          <w:bCs/>
        </w:rPr>
        <w:t>(V-2/15)</w:t>
      </w:r>
    </w:p>
    <w:p w:rsidR="0030451D" w:rsidRPr="00EF55DC" w:rsidRDefault="0030451D" w:rsidP="00EF55DC">
      <w:pPr>
        <w:spacing w:line="360" w:lineRule="auto"/>
        <w:ind w:left="360"/>
        <w:jc w:val="both"/>
        <w:rPr>
          <w:rFonts w:eastAsia="Calibri"/>
        </w:rPr>
      </w:pPr>
    </w:p>
    <w:p w:rsidR="0030451D" w:rsidRPr="00EF55DC" w:rsidRDefault="0030451D" w:rsidP="00EF55DC">
      <w:pPr>
        <w:spacing w:line="360" w:lineRule="auto"/>
        <w:jc w:val="both"/>
        <w:rPr>
          <w:rFonts w:eastAsia="Calibri"/>
        </w:rPr>
      </w:pPr>
      <w:r w:rsidRPr="00EF55DC">
        <w:rPr>
          <w:rFonts w:eastAsia="Calibri"/>
        </w:rPr>
        <w:t>Gjykata Kushtetuese e Republikës së Shqipërisë, e përbërë nga:</w:t>
      </w:r>
      <w:r w:rsidR="009471D1">
        <w:rPr>
          <w:rFonts w:eastAsia="Calibri"/>
        </w:rPr>
        <w:t xml:space="preserve"> </w:t>
      </w:r>
      <w:r w:rsidR="002C0819" w:rsidRPr="00EF55DC">
        <w:rPr>
          <w:rFonts w:eastAsia="Calibri"/>
        </w:rPr>
        <w:t xml:space="preserve">Vladimir Kristo, </w:t>
      </w:r>
      <w:r w:rsidRPr="00EF55DC">
        <w:rPr>
          <w:rFonts w:eastAsia="Calibri"/>
        </w:rPr>
        <w:t>Sokol Berberi,</w:t>
      </w:r>
      <w:r w:rsidR="009471D1">
        <w:rPr>
          <w:rFonts w:eastAsia="Calibri"/>
        </w:rPr>
        <w:t xml:space="preserve"> </w:t>
      </w:r>
      <w:r w:rsidRPr="00EF55DC">
        <w:rPr>
          <w:rFonts w:eastAsia="Calibri"/>
        </w:rPr>
        <w:t>Altina Xhoxhaj,</w:t>
      </w:r>
      <w:r w:rsidR="009471D1">
        <w:rPr>
          <w:rFonts w:eastAsia="Calibri"/>
        </w:rPr>
        <w:t xml:space="preserve"> </w:t>
      </w:r>
      <w:r w:rsidRPr="00EF55DC">
        <w:rPr>
          <w:rFonts w:eastAsia="Calibri"/>
        </w:rPr>
        <w:t>Fatmir Hoxha</w:t>
      </w:r>
      <w:r w:rsidR="009471D1">
        <w:rPr>
          <w:rFonts w:eastAsia="Calibri"/>
        </w:rPr>
        <w:t xml:space="preserve">, </w:t>
      </w:r>
      <w:r w:rsidRPr="00EF55DC">
        <w:rPr>
          <w:rFonts w:eastAsia="Calibri"/>
        </w:rPr>
        <w:t>Gani Dizdari,</w:t>
      </w:r>
      <w:r w:rsidR="00705876" w:rsidRPr="00EF55DC">
        <w:rPr>
          <w:rFonts w:eastAsia="Calibri"/>
        </w:rPr>
        <w:t xml:space="preserve">  </w:t>
      </w:r>
      <w:r w:rsidRPr="00EF55DC">
        <w:rPr>
          <w:rFonts w:eastAsia="Calibri"/>
        </w:rPr>
        <w:t>Besnik Imeraj,</w:t>
      </w:r>
      <w:r w:rsidR="00705876" w:rsidRPr="00EF55DC">
        <w:rPr>
          <w:rFonts w:eastAsia="Calibri"/>
        </w:rPr>
        <w:t xml:space="preserve">  </w:t>
      </w:r>
      <w:r w:rsidRPr="00EF55DC">
        <w:rPr>
          <w:rFonts w:eastAsia="Calibri"/>
        </w:rPr>
        <w:t>Fatos Lulo,</w:t>
      </w:r>
      <w:r w:rsidR="00705876" w:rsidRPr="00EF55DC">
        <w:rPr>
          <w:rFonts w:eastAsia="Calibri"/>
        </w:rPr>
        <w:t xml:space="preserve">  </w:t>
      </w:r>
      <w:r w:rsidR="009471D1">
        <w:rPr>
          <w:rFonts w:eastAsia="Calibri"/>
        </w:rPr>
        <w:t xml:space="preserve">Vitore Tusha, anëtarë, </w:t>
      </w:r>
      <w:r w:rsidRPr="00EF55DC">
        <w:rPr>
          <w:rFonts w:eastAsia="Calibri"/>
        </w:rPr>
        <w:t>me sekretare Edmira Babaj, në dat</w:t>
      </w:r>
      <w:r w:rsidR="00853D47" w:rsidRPr="00EF55DC">
        <w:rPr>
          <w:rFonts w:eastAsia="Calibri"/>
        </w:rPr>
        <w:t>ën</w:t>
      </w:r>
      <w:r w:rsidRPr="00EF55DC">
        <w:rPr>
          <w:rFonts w:eastAsia="Calibri"/>
        </w:rPr>
        <w:t xml:space="preserve"> </w:t>
      </w:r>
      <w:r w:rsidR="00F94A99">
        <w:rPr>
          <w:rFonts w:eastAsia="Calibri"/>
        </w:rPr>
        <w:t>30</w:t>
      </w:r>
      <w:r w:rsidR="00362AB0" w:rsidRPr="00EF55DC">
        <w:rPr>
          <w:rFonts w:eastAsia="Calibri"/>
        </w:rPr>
        <w:t>.</w:t>
      </w:r>
      <w:r w:rsidR="00F94A99">
        <w:rPr>
          <w:rFonts w:eastAsia="Calibri"/>
        </w:rPr>
        <w:t>10</w:t>
      </w:r>
      <w:r w:rsidRPr="00EF55DC">
        <w:rPr>
          <w:rFonts w:eastAsia="Calibri"/>
        </w:rPr>
        <w:t xml:space="preserve">.2014 mori në shqyrtim, në seancë plenare mbi bazë dokumentesh, çështjen nr. </w:t>
      </w:r>
      <w:r w:rsidR="00087103">
        <w:rPr>
          <w:rFonts w:eastAsia="Calibri"/>
        </w:rPr>
        <w:t>47/15</w:t>
      </w:r>
      <w:r w:rsidRPr="00EF55DC">
        <w:rPr>
          <w:rFonts w:eastAsia="Calibri"/>
        </w:rPr>
        <w:t xml:space="preserve"> Akti, që i përket:</w:t>
      </w:r>
    </w:p>
    <w:p w:rsidR="007503BE" w:rsidRPr="00EF55DC" w:rsidRDefault="007503BE" w:rsidP="00EF55DC">
      <w:pPr>
        <w:tabs>
          <w:tab w:val="left" w:pos="8640"/>
        </w:tabs>
        <w:spacing w:line="360" w:lineRule="auto"/>
        <w:ind w:left="720"/>
        <w:jc w:val="both"/>
        <w:rPr>
          <w:b/>
        </w:rPr>
      </w:pPr>
    </w:p>
    <w:p w:rsidR="00F94A99" w:rsidRPr="00F94A99" w:rsidRDefault="00F94A99" w:rsidP="00F94A99">
      <w:pPr>
        <w:spacing w:line="360" w:lineRule="auto"/>
        <w:ind w:left="2880" w:hanging="2160"/>
        <w:jc w:val="both"/>
      </w:pPr>
      <w:r w:rsidRPr="00F94A99">
        <w:rPr>
          <w:b/>
        </w:rPr>
        <w:t>K Ë R K U E S</w:t>
      </w:r>
      <w:r w:rsidR="00881FF1">
        <w:rPr>
          <w:b/>
        </w:rPr>
        <w:t xml:space="preserve"> E</w:t>
      </w:r>
      <w:r w:rsidRPr="00F94A99">
        <w:rPr>
          <w:b/>
        </w:rPr>
        <w:t>:</w:t>
      </w:r>
      <w:r w:rsidRPr="00F94A99">
        <w:rPr>
          <w:b/>
        </w:rPr>
        <w:tab/>
      </w:r>
      <w:r w:rsidRPr="00F94A99">
        <w:rPr>
          <w:b/>
        </w:rPr>
        <w:tab/>
      </w:r>
      <w:r w:rsidRPr="00F94A99">
        <w:rPr>
          <w:b/>
          <w:iCs/>
          <w:color w:val="000000"/>
        </w:rPr>
        <w:t xml:space="preserve">MIRELA SINANI </w:t>
      </w:r>
      <w:r w:rsidRPr="00087103">
        <w:rPr>
          <w:b/>
          <w:iCs/>
          <w:color w:val="000000"/>
          <w:lang w:val="it-IT"/>
        </w:rPr>
        <w:t xml:space="preserve"> </w:t>
      </w:r>
    </w:p>
    <w:p w:rsidR="00F94A99" w:rsidRPr="00F94A99" w:rsidRDefault="00F94A99" w:rsidP="00F94A99">
      <w:pPr>
        <w:spacing w:line="360" w:lineRule="auto"/>
        <w:ind w:left="2880" w:hanging="2160"/>
        <w:jc w:val="both"/>
      </w:pPr>
    </w:p>
    <w:p w:rsidR="00F94A99" w:rsidRPr="00F94A99" w:rsidRDefault="00F94A99" w:rsidP="00F94A99">
      <w:pPr>
        <w:spacing w:line="360" w:lineRule="auto"/>
        <w:ind w:left="2880" w:hanging="2160"/>
        <w:jc w:val="both"/>
        <w:rPr>
          <w:b/>
        </w:rPr>
      </w:pPr>
      <w:r w:rsidRPr="00F94A99">
        <w:rPr>
          <w:b/>
        </w:rPr>
        <w:t>SUBJEKT I INTERESUAR:</w:t>
      </w:r>
    </w:p>
    <w:p w:rsidR="00F94A99" w:rsidRPr="00087103" w:rsidRDefault="00F94A99" w:rsidP="00F94A99">
      <w:pPr>
        <w:spacing w:line="360" w:lineRule="atLeast"/>
        <w:ind w:left="3600"/>
        <w:rPr>
          <w:color w:val="000000"/>
          <w:lang w:val="it-IT"/>
        </w:rPr>
      </w:pPr>
      <w:r w:rsidRPr="00F94A99">
        <w:rPr>
          <w:b/>
          <w:iCs/>
          <w:color w:val="000000"/>
        </w:rPr>
        <w:t>UNIVERSITETI “ALEKSANDËR MOISIU” DURRËS</w:t>
      </w:r>
    </w:p>
    <w:p w:rsidR="00F94A99" w:rsidRPr="00F94A99" w:rsidRDefault="00F94A99" w:rsidP="00F94A99">
      <w:pPr>
        <w:spacing w:line="360" w:lineRule="auto"/>
        <w:ind w:left="2880" w:hanging="2160"/>
        <w:jc w:val="both"/>
        <w:rPr>
          <w:b/>
        </w:rPr>
      </w:pPr>
      <w:r w:rsidRPr="00F94A99">
        <w:rPr>
          <w:b/>
        </w:rPr>
        <w:t xml:space="preserve"> </w:t>
      </w:r>
    </w:p>
    <w:p w:rsidR="00F94A99" w:rsidRPr="00087103" w:rsidRDefault="00F94A99" w:rsidP="002C34C5">
      <w:pPr>
        <w:spacing w:line="360" w:lineRule="atLeast"/>
        <w:ind w:left="3600" w:hanging="2880"/>
        <w:jc w:val="both"/>
        <w:rPr>
          <w:b/>
          <w:color w:val="000000"/>
        </w:rPr>
      </w:pPr>
      <w:r w:rsidRPr="00F94A99">
        <w:rPr>
          <w:b/>
        </w:rPr>
        <w:t>OBJEKTI:</w:t>
      </w:r>
      <w:r w:rsidRPr="00F94A99">
        <w:rPr>
          <w:b/>
        </w:rPr>
        <w:tab/>
      </w:r>
      <w:r w:rsidR="00F974FE">
        <w:rPr>
          <w:b/>
          <w:iCs/>
          <w:color w:val="000000"/>
        </w:rPr>
        <w:t>Shfuqizimi si të papajtueshme</w:t>
      </w:r>
      <w:r w:rsidRPr="00F94A99">
        <w:rPr>
          <w:b/>
          <w:iCs/>
          <w:color w:val="000000"/>
        </w:rPr>
        <w:t xml:space="preserve"> me Kushtetutën i vendimeve nr.1714, datë 05.06.2008 të Gjykatës së Rrethit Gjyqësor Durrës; nr.10-2009-648 (305), datë 16.07.2009 të Gjykatës së Apelit</w:t>
      </w:r>
      <w:r w:rsidR="0016769C">
        <w:rPr>
          <w:b/>
          <w:iCs/>
          <w:color w:val="000000"/>
        </w:rPr>
        <w:t xml:space="preserve"> Durrës dhe </w:t>
      </w:r>
      <w:r w:rsidRPr="00F94A99">
        <w:rPr>
          <w:b/>
          <w:iCs/>
          <w:color w:val="000000"/>
        </w:rPr>
        <w:t>vendimin nr.00-2012-1189, datë 25.05.2012 të Kole</w:t>
      </w:r>
      <w:r w:rsidR="00F974FE">
        <w:rPr>
          <w:b/>
          <w:iCs/>
          <w:color w:val="000000"/>
        </w:rPr>
        <w:t>gjit Civil të Gjykatës së Lartë</w:t>
      </w:r>
      <w:r w:rsidRPr="00F94A99">
        <w:rPr>
          <w:b/>
          <w:iCs/>
          <w:color w:val="000000"/>
        </w:rPr>
        <w:t>.</w:t>
      </w:r>
    </w:p>
    <w:p w:rsidR="00F93927" w:rsidRPr="00F93927" w:rsidRDefault="00F93927" w:rsidP="00F93927">
      <w:pPr>
        <w:spacing w:line="360" w:lineRule="auto"/>
        <w:ind w:left="2160" w:hanging="2160"/>
        <w:jc w:val="both"/>
        <w:rPr>
          <w:rFonts w:eastAsia="MS Mincho"/>
          <w:b/>
        </w:rPr>
      </w:pPr>
    </w:p>
    <w:p w:rsidR="00F94A99" w:rsidRPr="00F94A99" w:rsidRDefault="00F94A99" w:rsidP="00F94A99">
      <w:pPr>
        <w:spacing w:line="360" w:lineRule="auto"/>
        <w:ind w:left="2160" w:hanging="2160"/>
        <w:jc w:val="both"/>
        <w:rPr>
          <w:rFonts w:eastAsia="MS Mincho"/>
        </w:rPr>
      </w:pPr>
      <w:r w:rsidRPr="00F94A99">
        <w:rPr>
          <w:rFonts w:eastAsia="MS Mincho"/>
          <w:b/>
        </w:rPr>
        <w:t xml:space="preserve">BAZA LIGJORE: </w:t>
      </w:r>
      <w:r w:rsidRPr="00F94A99">
        <w:rPr>
          <w:rFonts w:eastAsia="MS Mincho"/>
          <w:b/>
        </w:rPr>
        <w:tab/>
      </w:r>
      <w:r w:rsidR="00F974FE">
        <w:rPr>
          <w:rFonts w:eastAsia="MS Mincho"/>
        </w:rPr>
        <w:t>Nenet 42, 43, 49, 131/f dhe</w:t>
      </w:r>
      <w:r w:rsidRPr="00F94A99">
        <w:rPr>
          <w:rFonts w:eastAsia="MS Mincho"/>
        </w:rPr>
        <w:t xml:space="preserve"> 134/</w:t>
      </w:r>
      <w:r w:rsidR="0016769C">
        <w:rPr>
          <w:rFonts w:eastAsia="MS Mincho"/>
        </w:rPr>
        <w:t>1/</w:t>
      </w:r>
      <w:r w:rsidRPr="00F94A99">
        <w:rPr>
          <w:rFonts w:eastAsia="MS Mincho"/>
        </w:rPr>
        <w:t>g të Kushtetu</w:t>
      </w:r>
      <w:r w:rsidR="00F974FE">
        <w:rPr>
          <w:rFonts w:eastAsia="MS Mincho"/>
        </w:rPr>
        <w:t>tës të Republikës së Shqipërisë,</w:t>
      </w:r>
      <w:r w:rsidRPr="00F94A99">
        <w:rPr>
          <w:rFonts w:eastAsia="MS Mincho"/>
        </w:rPr>
        <w:t xml:space="preserve"> </w:t>
      </w:r>
      <w:r w:rsidR="00F974FE">
        <w:rPr>
          <w:rFonts w:eastAsia="MS Mincho"/>
        </w:rPr>
        <w:t xml:space="preserve">si dhe </w:t>
      </w:r>
      <w:r w:rsidRPr="00F94A99">
        <w:rPr>
          <w:rFonts w:eastAsia="MS Mincho"/>
        </w:rPr>
        <w:t xml:space="preserve">nenet 6 dhe 13 të Konventës Evropiane për të Drejtat e Njeriut </w:t>
      </w:r>
    </w:p>
    <w:p w:rsidR="003814A3" w:rsidRPr="00EF55DC" w:rsidRDefault="003814A3" w:rsidP="00FB74B3">
      <w:pPr>
        <w:tabs>
          <w:tab w:val="left" w:pos="1440"/>
        </w:tabs>
        <w:spacing w:line="360" w:lineRule="auto"/>
        <w:jc w:val="both"/>
      </w:pPr>
    </w:p>
    <w:p w:rsidR="003814A3" w:rsidRPr="00EF55DC" w:rsidRDefault="003814A3" w:rsidP="00EF55DC">
      <w:pPr>
        <w:spacing w:line="360" w:lineRule="auto"/>
        <w:jc w:val="center"/>
      </w:pPr>
      <w:r w:rsidRPr="00EF55DC">
        <w:rPr>
          <w:b/>
          <w:bCs/>
        </w:rPr>
        <w:t>GJYKATA KUSHTETUESE,</w:t>
      </w:r>
    </w:p>
    <w:p w:rsidR="003814A3" w:rsidRPr="00EF55DC" w:rsidRDefault="003814A3" w:rsidP="00EF55DC">
      <w:pPr>
        <w:spacing w:line="360" w:lineRule="auto"/>
        <w:jc w:val="both"/>
      </w:pPr>
      <w:r w:rsidRPr="00EF55DC">
        <w:t>pasi dëgjoi relator</w:t>
      </w:r>
      <w:r w:rsidR="00F93927">
        <w:t>en</w:t>
      </w:r>
      <w:r w:rsidRPr="00EF55DC">
        <w:t xml:space="preserve"> e çështjes, V</w:t>
      </w:r>
      <w:r w:rsidR="00F93927">
        <w:t>itore Tusha</w:t>
      </w:r>
      <w:r w:rsidRPr="00EF55DC">
        <w:t>, mori në shqyrtim pretendimet me shkrim të kërkues</w:t>
      </w:r>
      <w:r w:rsidR="00380F59">
        <w:t>es</w:t>
      </w:r>
      <w:r w:rsidRPr="00EF55DC">
        <w:t xml:space="preserve">, </w:t>
      </w:r>
      <w:r w:rsidR="00F93927">
        <w:t>q</w:t>
      </w:r>
      <w:r w:rsidR="0085710C">
        <w:t>ë</w:t>
      </w:r>
      <w:r w:rsidRPr="00EF55DC">
        <w:t xml:space="preserve"> </w:t>
      </w:r>
      <w:r w:rsidR="00A34120">
        <w:t>ë</w:t>
      </w:r>
      <w:r w:rsidR="00380F59">
        <w:t>sht</w:t>
      </w:r>
      <w:r w:rsidR="00A34120">
        <w:t>ë</w:t>
      </w:r>
      <w:r w:rsidR="00380F59">
        <w:t xml:space="preserve"> </w:t>
      </w:r>
      <w:r w:rsidRPr="00EF55DC">
        <w:t>shpreh</w:t>
      </w:r>
      <w:r w:rsidR="00380F59">
        <w:t>ur</w:t>
      </w:r>
      <w:r w:rsidRPr="00EF55DC">
        <w:t xml:space="preserve"> për pranimin e kërkesës</w:t>
      </w:r>
      <w:r w:rsidR="006225F9" w:rsidRPr="00EF55DC">
        <w:t>,</w:t>
      </w:r>
      <w:r w:rsidRPr="00EF55DC">
        <w:t xml:space="preserve"> prapësimet e subjekt</w:t>
      </w:r>
      <w:r w:rsidR="00380F59">
        <w:t>it</w:t>
      </w:r>
      <w:r w:rsidRPr="00EF55DC">
        <w:t xml:space="preserve"> të interesuar, </w:t>
      </w:r>
      <w:r w:rsidR="004C1670">
        <w:t>q</w:t>
      </w:r>
      <w:r w:rsidR="0085710C">
        <w:t>ë</w:t>
      </w:r>
      <w:r w:rsidRPr="00EF55DC">
        <w:t xml:space="preserve"> ka kërkuar rrëzimin e kërkesës</w:t>
      </w:r>
      <w:r w:rsidR="00F974FE">
        <w:t>,</w:t>
      </w:r>
      <w:r w:rsidRPr="00EF55DC">
        <w:t xml:space="preserve"> dhe </w:t>
      </w:r>
      <w:r w:rsidR="008500F9">
        <w:t>diskutoi</w:t>
      </w:r>
      <w:r w:rsidRPr="00EF55DC">
        <w:t xml:space="preserve"> çështjen në tërësi,</w:t>
      </w:r>
    </w:p>
    <w:p w:rsidR="003814A3" w:rsidRPr="00EF55DC" w:rsidRDefault="003814A3" w:rsidP="00EF55DC">
      <w:pPr>
        <w:spacing w:line="360" w:lineRule="auto"/>
        <w:jc w:val="center"/>
        <w:rPr>
          <w:b/>
          <w:bCs/>
        </w:rPr>
      </w:pPr>
    </w:p>
    <w:p w:rsidR="003814A3" w:rsidRPr="00EF55DC" w:rsidRDefault="003814A3" w:rsidP="00EF55DC">
      <w:pPr>
        <w:spacing w:line="360" w:lineRule="auto"/>
        <w:jc w:val="center"/>
      </w:pPr>
      <w:r w:rsidRPr="00EF55DC">
        <w:rPr>
          <w:b/>
          <w:bCs/>
        </w:rPr>
        <w:t>V Ë R E N:</w:t>
      </w:r>
    </w:p>
    <w:p w:rsidR="003814A3" w:rsidRPr="00EF55DC" w:rsidRDefault="003814A3" w:rsidP="00EF55DC">
      <w:pPr>
        <w:spacing w:line="360" w:lineRule="auto"/>
        <w:jc w:val="center"/>
        <w:rPr>
          <w:b/>
          <w:bCs/>
        </w:rPr>
      </w:pPr>
      <w:r w:rsidRPr="00EF55DC">
        <w:rPr>
          <w:b/>
          <w:bCs/>
        </w:rPr>
        <w:t>I</w:t>
      </w:r>
    </w:p>
    <w:p w:rsidR="00380F59" w:rsidRDefault="00380F59" w:rsidP="00380F59">
      <w:pPr>
        <w:numPr>
          <w:ilvl w:val="0"/>
          <w:numId w:val="30"/>
        </w:numPr>
        <w:tabs>
          <w:tab w:val="left" w:pos="810"/>
        </w:tabs>
        <w:spacing w:line="360" w:lineRule="auto"/>
        <w:ind w:left="0" w:firstLine="540"/>
        <w:jc w:val="both"/>
        <w:rPr>
          <w:rFonts w:eastAsia="MS Mincho"/>
        </w:rPr>
      </w:pPr>
      <w:r w:rsidRPr="00380F59">
        <w:rPr>
          <w:rFonts w:eastAsia="MS Mincho"/>
        </w:rPr>
        <w:lastRenderedPageBreak/>
        <w:t xml:space="preserve">Kërkuesja ka aplikuar për pozicionin e pedagoges së lëndës së sociologjisë pranë Universitetit “Aleksandër Moisiu” Durrës, </w:t>
      </w:r>
      <w:r w:rsidR="008500F9" w:rsidRPr="00380F59">
        <w:rPr>
          <w:rFonts w:eastAsia="MS Mincho"/>
        </w:rPr>
        <w:t xml:space="preserve">në vitin 2008, </w:t>
      </w:r>
      <w:r w:rsidRPr="00380F59">
        <w:rPr>
          <w:rFonts w:eastAsia="MS Mincho"/>
        </w:rPr>
        <w:t>sipas njoftimit për shpalljen e vendit të lirë të punës. Sipas saj, ndonëse është përzgjedhur për lëndën që kishte konkurruar, asaj i është kërkuar të japë një lëndë tjetër që nuk kishte lidhje më formimin akademik. Në këto kushte, kërkuesja, duke pretenduar se kontrata e punës është zgjidhur pa shkaqe të arsyeshme, pa respektuar afatin e njoftimit dhe procedurën, i është drejtuar Gjykatës së Rre</w:t>
      </w:r>
      <w:r w:rsidR="007E0705">
        <w:rPr>
          <w:rFonts w:eastAsia="MS Mincho"/>
        </w:rPr>
        <w:t>thit Gjyqësor Durrës me kërkesë</w:t>
      </w:r>
      <w:r w:rsidRPr="00380F59">
        <w:rPr>
          <w:rFonts w:eastAsia="MS Mincho"/>
        </w:rPr>
        <w:t>padi me objekt “</w:t>
      </w:r>
      <w:r w:rsidRPr="00380F59">
        <w:rPr>
          <w:rFonts w:eastAsia="MS Mincho"/>
          <w:i/>
        </w:rPr>
        <w:t>Detyrimin e palës së paditur për të shpërblyer dëmin e  shkaktuar si pasojë e prishjes së kontratës së punës. Detyrimi</w:t>
      </w:r>
      <w:r w:rsidR="007E0705">
        <w:rPr>
          <w:rFonts w:eastAsia="MS Mincho"/>
          <w:i/>
        </w:rPr>
        <w:t>n e</w:t>
      </w:r>
      <w:r w:rsidRPr="00380F59">
        <w:rPr>
          <w:rFonts w:eastAsia="MS Mincho"/>
          <w:i/>
        </w:rPr>
        <w:t xml:space="preserve"> palës së paditur për të shpërblyer dëmin si pasojë e cenimit të nderit dhe personalitetit”. </w:t>
      </w:r>
    </w:p>
    <w:p w:rsidR="00380F59" w:rsidRDefault="00380F59" w:rsidP="00380F59">
      <w:pPr>
        <w:numPr>
          <w:ilvl w:val="0"/>
          <w:numId w:val="30"/>
        </w:numPr>
        <w:tabs>
          <w:tab w:val="left" w:pos="810"/>
        </w:tabs>
        <w:spacing w:line="360" w:lineRule="auto"/>
        <w:ind w:left="0" w:firstLine="540"/>
        <w:jc w:val="both"/>
        <w:rPr>
          <w:rFonts w:eastAsia="MS Mincho"/>
        </w:rPr>
      </w:pPr>
      <w:r w:rsidRPr="00380F59">
        <w:rPr>
          <w:rFonts w:eastAsia="MS Mincho"/>
        </w:rPr>
        <w:t>Gjykata e Rrethit Gjyqësor Durrës, me vendimin nr. 1714, datë 05.06.2008</w:t>
      </w:r>
      <w:r w:rsidR="007E0705">
        <w:rPr>
          <w:rFonts w:eastAsia="MS Mincho"/>
        </w:rPr>
        <w:t>,</w:t>
      </w:r>
      <w:r w:rsidRPr="00380F59">
        <w:rPr>
          <w:rFonts w:eastAsia="MS Mincho"/>
        </w:rPr>
        <w:t xml:space="preserve"> ka vendosur rrëzimin e padisë si të pambështetur në ligj dhe prova. </w:t>
      </w:r>
    </w:p>
    <w:p w:rsidR="00380F59" w:rsidRDefault="00380F59" w:rsidP="00380F59">
      <w:pPr>
        <w:numPr>
          <w:ilvl w:val="0"/>
          <w:numId w:val="30"/>
        </w:numPr>
        <w:tabs>
          <w:tab w:val="left" w:pos="810"/>
        </w:tabs>
        <w:spacing w:line="360" w:lineRule="auto"/>
        <w:ind w:left="0" w:firstLine="540"/>
        <w:jc w:val="both"/>
        <w:rPr>
          <w:rFonts w:eastAsia="MS Mincho"/>
        </w:rPr>
      </w:pPr>
      <w:r w:rsidRPr="00380F59">
        <w:rPr>
          <w:rFonts w:eastAsia="MS Mincho"/>
        </w:rPr>
        <w:t>Kundër vendimit të mësipërm kërkuesja ka paraqitur ankim në Gjykatën e  Apelit Durrës, e cila</w:t>
      </w:r>
      <w:r w:rsidR="007E0705">
        <w:rPr>
          <w:rFonts w:eastAsia="MS Mincho"/>
        </w:rPr>
        <w:t>,</w:t>
      </w:r>
      <w:r w:rsidRPr="00380F59">
        <w:rPr>
          <w:rFonts w:eastAsia="MS Mincho"/>
        </w:rPr>
        <w:t xml:space="preserve"> me vendimin nr. 305, datë 16.07.2009</w:t>
      </w:r>
      <w:r w:rsidR="007E0705">
        <w:rPr>
          <w:rFonts w:eastAsia="MS Mincho"/>
        </w:rPr>
        <w:t>,</w:t>
      </w:r>
      <w:r w:rsidRPr="00380F59">
        <w:rPr>
          <w:rFonts w:eastAsia="MS Mincho"/>
        </w:rPr>
        <w:t xml:space="preserve"> ka vendosur lënien në fuqi të vendimit të Gjykatës së Rrethit Gjyqësor Durrës. </w:t>
      </w:r>
    </w:p>
    <w:p w:rsidR="00380F59" w:rsidRPr="00380F59" w:rsidRDefault="00380F59" w:rsidP="00380F59">
      <w:pPr>
        <w:numPr>
          <w:ilvl w:val="0"/>
          <w:numId w:val="30"/>
        </w:numPr>
        <w:tabs>
          <w:tab w:val="left" w:pos="810"/>
        </w:tabs>
        <w:spacing w:line="360" w:lineRule="auto"/>
        <w:ind w:left="0" w:firstLine="540"/>
        <w:jc w:val="both"/>
        <w:rPr>
          <w:rFonts w:eastAsia="MS Mincho"/>
        </w:rPr>
      </w:pPr>
      <w:r w:rsidRPr="00380F59">
        <w:rPr>
          <w:rFonts w:eastAsia="MS Mincho"/>
        </w:rPr>
        <w:t>Gjykata e Lartë, pasi ka marrë në shqyrtim në dhomë këshillimi rekursin e kërkueses, me vendimin nr. 00-2012-1189, datë 25.05.2012</w:t>
      </w:r>
      <w:r w:rsidR="00E66B82">
        <w:rPr>
          <w:rFonts w:eastAsia="MS Mincho"/>
        </w:rPr>
        <w:t>,</w:t>
      </w:r>
      <w:r w:rsidRPr="00380F59">
        <w:rPr>
          <w:rFonts w:eastAsia="MS Mincho"/>
        </w:rPr>
        <w:t xml:space="preserve"> ka vendosur mospranimin me arsyetimin se nuk përmban shkaqe nga ato që përcakton neni 472 i KPC-së.</w:t>
      </w:r>
    </w:p>
    <w:p w:rsidR="00B22230" w:rsidRPr="00EF55DC" w:rsidRDefault="00B22230" w:rsidP="00EF55DC">
      <w:pPr>
        <w:tabs>
          <w:tab w:val="left" w:pos="1170"/>
          <w:tab w:val="left" w:pos="1440"/>
        </w:tabs>
        <w:spacing w:line="360" w:lineRule="auto"/>
        <w:ind w:firstLine="720"/>
        <w:jc w:val="center"/>
        <w:rPr>
          <w:b/>
        </w:rPr>
      </w:pPr>
    </w:p>
    <w:p w:rsidR="003814A3" w:rsidRPr="00EF55DC" w:rsidRDefault="003814A3" w:rsidP="00F368ED">
      <w:pPr>
        <w:tabs>
          <w:tab w:val="left" w:pos="1170"/>
          <w:tab w:val="left" w:pos="1440"/>
        </w:tabs>
        <w:spacing w:line="360" w:lineRule="auto"/>
        <w:jc w:val="center"/>
        <w:rPr>
          <w:b/>
        </w:rPr>
      </w:pPr>
      <w:r w:rsidRPr="00EF55DC">
        <w:rPr>
          <w:b/>
        </w:rPr>
        <w:t>II</w:t>
      </w:r>
    </w:p>
    <w:p w:rsidR="00380F59" w:rsidRPr="006F4D12" w:rsidRDefault="00380F59" w:rsidP="001C636C">
      <w:pPr>
        <w:pStyle w:val="Title"/>
        <w:numPr>
          <w:ilvl w:val="0"/>
          <w:numId w:val="30"/>
        </w:numPr>
        <w:tabs>
          <w:tab w:val="left" w:pos="900"/>
        </w:tabs>
        <w:spacing w:line="360" w:lineRule="auto"/>
        <w:ind w:left="0" w:firstLine="540"/>
        <w:jc w:val="both"/>
        <w:outlineLvl w:val="0"/>
        <w:rPr>
          <w:b w:val="0"/>
          <w:lang w:val="sq-AL"/>
        </w:rPr>
      </w:pPr>
      <w:r w:rsidRPr="006F4D12">
        <w:rPr>
          <w:i/>
          <w:lang w:val="sq-AL"/>
        </w:rPr>
        <w:t>K</w:t>
      </w:r>
      <w:r w:rsidRPr="006F4D12">
        <w:rPr>
          <w:lang w:val="sq-AL"/>
        </w:rPr>
        <w:t>ë</w:t>
      </w:r>
      <w:r w:rsidRPr="006F4D12">
        <w:rPr>
          <w:i/>
          <w:lang w:val="sq-AL"/>
        </w:rPr>
        <w:t xml:space="preserve">rkuesja </w:t>
      </w:r>
      <w:r w:rsidRPr="006F4D12">
        <w:rPr>
          <w:b w:val="0"/>
          <w:lang w:val="sq-AL"/>
        </w:rPr>
        <w:t>i është drejtuar Gjykatës Kushtetuese në datën 26.05.2014 duke</w:t>
      </w:r>
      <w:r w:rsidRPr="006F4D12">
        <w:rPr>
          <w:lang w:val="sq-AL"/>
        </w:rPr>
        <w:t xml:space="preserve"> </w:t>
      </w:r>
      <w:r w:rsidRPr="006F4D12">
        <w:rPr>
          <w:b w:val="0"/>
          <w:lang w:val="sq-AL"/>
        </w:rPr>
        <w:t>pretenduar cenimin e t</w:t>
      </w:r>
      <w:r>
        <w:rPr>
          <w:b w:val="0"/>
          <w:lang w:val="sq-AL"/>
        </w:rPr>
        <w:t>ë</w:t>
      </w:r>
      <w:r w:rsidRPr="006F4D12">
        <w:rPr>
          <w:b w:val="0"/>
          <w:lang w:val="sq-AL"/>
        </w:rPr>
        <w:t xml:space="preserve"> drejt</w:t>
      </w:r>
      <w:r>
        <w:rPr>
          <w:b w:val="0"/>
          <w:lang w:val="sq-AL"/>
        </w:rPr>
        <w:t>ë</w:t>
      </w:r>
      <w:r w:rsidRPr="006F4D12">
        <w:rPr>
          <w:b w:val="0"/>
          <w:lang w:val="sq-AL"/>
        </w:rPr>
        <w:t>s p</w:t>
      </w:r>
      <w:r>
        <w:rPr>
          <w:b w:val="0"/>
          <w:lang w:val="sq-AL"/>
        </w:rPr>
        <w:t>ë</w:t>
      </w:r>
      <w:r w:rsidRPr="006F4D12">
        <w:rPr>
          <w:b w:val="0"/>
          <w:lang w:val="sq-AL"/>
        </w:rPr>
        <w:t>r nj</w:t>
      </w:r>
      <w:r>
        <w:rPr>
          <w:b w:val="0"/>
          <w:lang w:val="sq-AL"/>
        </w:rPr>
        <w:t>ë</w:t>
      </w:r>
      <w:r w:rsidRPr="006F4D12">
        <w:rPr>
          <w:b w:val="0"/>
          <w:lang w:val="sq-AL"/>
        </w:rPr>
        <w:t xml:space="preserve"> proces t</w:t>
      </w:r>
      <w:r>
        <w:rPr>
          <w:b w:val="0"/>
          <w:lang w:val="sq-AL"/>
        </w:rPr>
        <w:t>ë</w:t>
      </w:r>
      <w:r w:rsidRPr="006F4D12">
        <w:rPr>
          <w:b w:val="0"/>
          <w:lang w:val="sq-AL"/>
        </w:rPr>
        <w:t xml:space="preserve"> rregullt ligjor gjat</w:t>
      </w:r>
      <w:r>
        <w:rPr>
          <w:b w:val="0"/>
          <w:lang w:val="sq-AL"/>
        </w:rPr>
        <w:t>ë</w:t>
      </w:r>
      <w:r w:rsidRPr="006F4D12">
        <w:rPr>
          <w:b w:val="0"/>
          <w:lang w:val="sq-AL"/>
        </w:rPr>
        <w:t xml:space="preserve"> procesit gjyqësor të zhvilluar në gjykatat e juridiksionit t</w:t>
      </w:r>
      <w:r>
        <w:rPr>
          <w:b w:val="0"/>
          <w:lang w:val="sq-AL"/>
        </w:rPr>
        <w:t>ë</w:t>
      </w:r>
      <w:r w:rsidRPr="006F4D12">
        <w:rPr>
          <w:b w:val="0"/>
          <w:lang w:val="sq-AL"/>
        </w:rPr>
        <w:t xml:space="preserve"> </w:t>
      </w:r>
      <w:r>
        <w:rPr>
          <w:b w:val="0"/>
          <w:lang w:val="sq-AL"/>
        </w:rPr>
        <w:t>zakonshëm, duke parashtruar, në mënyrë të përmbledhur, si vijon:</w:t>
      </w:r>
    </w:p>
    <w:p w:rsidR="00380F59" w:rsidRDefault="00380F59" w:rsidP="001C636C">
      <w:pPr>
        <w:pStyle w:val="Title"/>
        <w:spacing w:line="360" w:lineRule="auto"/>
        <w:ind w:left="1080" w:hanging="360"/>
        <w:jc w:val="both"/>
        <w:rPr>
          <w:b w:val="0"/>
          <w:lang w:val="sq-AL"/>
        </w:rPr>
      </w:pPr>
      <w:r>
        <w:rPr>
          <w:b w:val="0"/>
          <w:lang w:val="sq-AL"/>
        </w:rPr>
        <w:t>5.1 Vendim</w:t>
      </w:r>
      <w:r w:rsidR="00E66B82">
        <w:rPr>
          <w:b w:val="0"/>
          <w:lang w:val="sq-AL"/>
        </w:rPr>
        <w:t>et e</w:t>
      </w:r>
      <w:r>
        <w:rPr>
          <w:b w:val="0"/>
          <w:lang w:val="sq-AL"/>
        </w:rPr>
        <w:t xml:space="preserve"> Gjykatës së Rrethit Gjyqësor Durrës dhe Gjykatës së Apelit Durrës janë rrjedhojë e zbatimit të gabuar të ligjit dhe shprehje e arsyetimit jologjik të fakteve dhe rrethanave objekt gjykimi. Gjykatat konsiderojnë si prova pohime të palës paditëse, të pabazuara në dokumente zyrtare dhe pa argumentuar lidhjen kronologjike midis tyre.     </w:t>
      </w:r>
    </w:p>
    <w:p w:rsidR="00380F59" w:rsidRDefault="00380F59" w:rsidP="001C636C">
      <w:pPr>
        <w:pStyle w:val="Title"/>
        <w:spacing w:line="360" w:lineRule="auto"/>
        <w:ind w:left="1170" w:hanging="450"/>
        <w:jc w:val="both"/>
        <w:rPr>
          <w:b w:val="0"/>
          <w:lang w:val="sq-AL"/>
        </w:rPr>
      </w:pPr>
      <w:r>
        <w:rPr>
          <w:b w:val="0"/>
          <w:lang w:val="sq-AL"/>
        </w:rPr>
        <w:t>5.2 Gjykata e Apelit</w:t>
      </w:r>
      <w:r w:rsidR="00E66B82">
        <w:rPr>
          <w:b w:val="0"/>
          <w:lang w:val="sq-AL"/>
        </w:rPr>
        <w:t>,</w:t>
      </w:r>
      <w:r>
        <w:rPr>
          <w:b w:val="0"/>
          <w:lang w:val="sq-AL"/>
        </w:rPr>
        <w:t xml:space="preserve"> ndonëse pranoi kërkesën për paraqitjen e dëshmitarëve dhe vendosi thirrjen e njërit prej tyre, në mungesë të një hetimi të plotë</w:t>
      </w:r>
      <w:r w:rsidR="00E66B82">
        <w:rPr>
          <w:b w:val="0"/>
          <w:lang w:val="sq-AL"/>
        </w:rPr>
        <w:t>,</w:t>
      </w:r>
      <w:r>
        <w:rPr>
          <w:b w:val="0"/>
          <w:lang w:val="sq-AL"/>
        </w:rPr>
        <w:t xml:space="preserve"> la përsëri në fuqi vendimin e Gjykatës së Rrethit Gjyqësor Durrës. Po ashtu, kjo gjykatë ka ngatërruar arsyetimin për dëmin moral dhe ka shmangur problemin themelor, ndërprerjen e marrëdhënieve të punës për shkak të shpifjes.   </w:t>
      </w:r>
    </w:p>
    <w:p w:rsidR="00380F59" w:rsidRDefault="00380F59" w:rsidP="001C636C">
      <w:pPr>
        <w:pStyle w:val="Title"/>
        <w:spacing w:line="360" w:lineRule="auto"/>
        <w:ind w:left="990" w:hanging="270"/>
        <w:jc w:val="both"/>
        <w:rPr>
          <w:b w:val="0"/>
          <w:lang w:val="sq-AL"/>
        </w:rPr>
      </w:pPr>
      <w:r>
        <w:rPr>
          <w:b w:val="0"/>
          <w:lang w:val="sq-AL"/>
        </w:rPr>
        <w:lastRenderedPageBreak/>
        <w:t>5.3 Vendimet janë, gjithashtu, haptazi të njëanshm</w:t>
      </w:r>
      <w:r w:rsidR="00E66B82">
        <w:rPr>
          <w:b w:val="0"/>
          <w:lang w:val="sq-AL"/>
        </w:rPr>
        <w:t>e</w:t>
      </w:r>
      <w:r>
        <w:rPr>
          <w:b w:val="0"/>
          <w:lang w:val="sq-AL"/>
        </w:rPr>
        <w:t xml:space="preserve">, pasi nuk bazohen në provat e paraqitura dhe nuk </w:t>
      </w:r>
      <w:r w:rsidR="00E66B82">
        <w:rPr>
          <w:b w:val="0"/>
          <w:lang w:val="sq-AL"/>
        </w:rPr>
        <w:t>u</w:t>
      </w:r>
      <w:r>
        <w:rPr>
          <w:b w:val="0"/>
          <w:lang w:val="sq-AL"/>
        </w:rPr>
        <w:t xml:space="preserve"> japin përgjigje pyetjeve të ngritura nga pala paditëse për sjelljen e punëmarrësit ndaj punëdhënësit, për shkaqet themelore që çuan në prishjen e kontratës së punës, duke cenuar të drejtën kushtetuese për punë dhe trajtim të barabartë.</w:t>
      </w:r>
    </w:p>
    <w:p w:rsidR="00380F59" w:rsidRDefault="00380F59" w:rsidP="001C636C">
      <w:pPr>
        <w:pStyle w:val="Title"/>
        <w:spacing w:line="360" w:lineRule="auto"/>
        <w:ind w:left="1080" w:hanging="360"/>
        <w:jc w:val="both"/>
        <w:rPr>
          <w:b w:val="0"/>
          <w:lang w:val="sq-AL"/>
        </w:rPr>
      </w:pPr>
      <w:r>
        <w:rPr>
          <w:b w:val="0"/>
          <w:lang w:val="sq-AL"/>
        </w:rPr>
        <w:t>5.4 Po ashtu, vendimet nuk janë të arsyetuara, fakt i cili ka cenuar të drejtën për të fituar mjetet e jetesës me punë të ligjshme.</w:t>
      </w:r>
    </w:p>
    <w:p w:rsidR="00380F59" w:rsidRDefault="00380F59" w:rsidP="001C636C">
      <w:pPr>
        <w:pStyle w:val="Title"/>
        <w:spacing w:line="360" w:lineRule="auto"/>
        <w:ind w:left="1080" w:hanging="360"/>
        <w:jc w:val="both"/>
        <w:rPr>
          <w:b w:val="0"/>
          <w:lang w:val="sq-AL"/>
        </w:rPr>
      </w:pPr>
      <w:r>
        <w:rPr>
          <w:b w:val="0"/>
          <w:lang w:val="sq-AL"/>
        </w:rPr>
        <w:t xml:space="preserve">5.5 Vendimi i Gjykatës së Lartë nuk ka riparuar shkeljet e proceseve gjyqësore të zhvilluara në shkallët e tjera dhe, për rrjedhojë, bie ndesh me garancitë e nenit 42 të Kushtetutës dhe nenet 6 dhe 13 të KEDNJ-së.  </w:t>
      </w:r>
    </w:p>
    <w:p w:rsidR="00380F59" w:rsidRDefault="00380F59" w:rsidP="00380F59">
      <w:pPr>
        <w:tabs>
          <w:tab w:val="left" w:pos="567"/>
          <w:tab w:val="left" w:pos="709"/>
          <w:tab w:val="left" w:pos="993"/>
        </w:tabs>
        <w:spacing w:line="360" w:lineRule="auto"/>
        <w:ind w:firstLine="540"/>
        <w:jc w:val="both"/>
      </w:pPr>
      <w:r>
        <w:rPr>
          <w:b/>
        </w:rPr>
        <w:t xml:space="preserve">6. </w:t>
      </w:r>
      <w:r w:rsidRPr="007949BB">
        <w:rPr>
          <w:b/>
          <w:i/>
        </w:rPr>
        <w:t xml:space="preserve">Subjekti i interesuar, </w:t>
      </w:r>
      <w:r w:rsidR="00A726D6">
        <w:rPr>
          <w:b/>
          <w:i/>
        </w:rPr>
        <w:t>u</w:t>
      </w:r>
      <w:r w:rsidRPr="007949BB">
        <w:rPr>
          <w:b/>
          <w:i/>
        </w:rPr>
        <w:t>niversiteti “Aleksand</w:t>
      </w:r>
      <w:r>
        <w:rPr>
          <w:b/>
          <w:i/>
        </w:rPr>
        <w:t>ë</w:t>
      </w:r>
      <w:r w:rsidRPr="007949BB">
        <w:rPr>
          <w:b/>
          <w:i/>
        </w:rPr>
        <w:t>r Moisiu</w:t>
      </w:r>
      <w:r w:rsidR="0016769C">
        <w:rPr>
          <w:b/>
          <w:i/>
        </w:rPr>
        <w:t>”</w:t>
      </w:r>
      <w:r w:rsidRPr="007949BB">
        <w:rPr>
          <w:b/>
          <w:i/>
        </w:rPr>
        <w:t>, Durr</w:t>
      </w:r>
      <w:r>
        <w:rPr>
          <w:b/>
          <w:i/>
        </w:rPr>
        <w:t>ë</w:t>
      </w:r>
      <w:r w:rsidRPr="007949BB">
        <w:rPr>
          <w:b/>
          <w:i/>
        </w:rPr>
        <w:t xml:space="preserve">s </w:t>
      </w:r>
      <w:r w:rsidRPr="007949BB">
        <w:t>ka parashtruar m</w:t>
      </w:r>
      <w:r w:rsidR="00A726D6">
        <w:t>e</w:t>
      </w:r>
      <w:r w:rsidRPr="007949BB">
        <w:t xml:space="preserve"> shkrim këto prapësime: </w:t>
      </w:r>
    </w:p>
    <w:p w:rsidR="00380F59" w:rsidRDefault="00380F59" w:rsidP="00FB74B3">
      <w:pPr>
        <w:tabs>
          <w:tab w:val="left" w:pos="567"/>
          <w:tab w:val="left" w:pos="709"/>
          <w:tab w:val="left" w:pos="993"/>
          <w:tab w:val="left" w:pos="1260"/>
        </w:tabs>
        <w:spacing w:line="360" w:lineRule="auto"/>
        <w:ind w:left="1080" w:hanging="270"/>
        <w:jc w:val="both"/>
      </w:pPr>
      <w:r>
        <w:t>6.1 Vendim</w:t>
      </w:r>
      <w:r w:rsidR="00A726D6">
        <w:t>et</w:t>
      </w:r>
      <w:r>
        <w:t xml:space="preserve"> </w:t>
      </w:r>
      <w:r w:rsidR="00A726D6">
        <w:t>e Gjykatës së S</w:t>
      </w:r>
      <w:r>
        <w:t>hkallës së Parë dhe të Gjykatës së Apelit Durrës janë të bazuara në prova dhe në ligj. Ato janë rrjedhojë e një hetimi të plotë dhe të gjithanshëm gjyqësor të pretendimeve të paditëses</w:t>
      </w:r>
      <w:r w:rsidR="00A726D6">
        <w:t>,</w:t>
      </w:r>
      <w:r>
        <w:t xml:space="preserve"> si dhe të provave të paraqitura nga palët në gjykim dhe të administruara në dosjen gjyqësore. Përfundimi i gjykatave se nuk ka ekzistuar ndonjë kontratë pune midis palëve ndërgjyqëse</w:t>
      </w:r>
      <w:r w:rsidR="00A726D6">
        <w:t>,</w:t>
      </w:r>
      <w:r>
        <w:t xml:space="preserve"> është bazuar në interpretimin e dispozitave të Kodit të Punës.   </w:t>
      </w:r>
    </w:p>
    <w:p w:rsidR="00380F59" w:rsidRDefault="00380F59" w:rsidP="00FB74B3">
      <w:pPr>
        <w:tabs>
          <w:tab w:val="left" w:pos="567"/>
          <w:tab w:val="left" w:pos="709"/>
          <w:tab w:val="left" w:pos="993"/>
          <w:tab w:val="left" w:pos="1260"/>
        </w:tabs>
        <w:spacing w:line="360" w:lineRule="auto"/>
        <w:ind w:left="1080" w:hanging="270"/>
        <w:jc w:val="both"/>
      </w:pPr>
      <w:r>
        <w:t>6.2 Edhe pretendimi i kërkueses mbi zhvillimin e një procesi të njëanshëm, në cenim të parimit të barazisë së armëve</w:t>
      </w:r>
      <w:r w:rsidR="00A726D6">
        <w:t>,</w:t>
      </w:r>
      <w:r>
        <w:t xml:space="preserve"> është i pabazuar. Prova e ekspertimit teknik është analizuar nga gjykatat të cilat me të drejtë kanë arritur në përfundimin se nuk provohej ekzistenca e dëmit moral për sa kohë nuk ekzistonte kontratë individuale pune. </w:t>
      </w:r>
    </w:p>
    <w:p w:rsidR="00380F59" w:rsidRDefault="00380F59" w:rsidP="00FB74B3">
      <w:pPr>
        <w:tabs>
          <w:tab w:val="left" w:pos="567"/>
          <w:tab w:val="left" w:pos="993"/>
          <w:tab w:val="left" w:pos="1260"/>
        </w:tabs>
        <w:spacing w:line="360" w:lineRule="auto"/>
        <w:ind w:left="1080" w:hanging="371"/>
        <w:jc w:val="both"/>
      </w:pPr>
      <w:r>
        <w:t>6.3 Po ashtu, i pabazuar është edhe pretendimi i kërkueses për mosthirrjen e dëshmitarëve, për faktin se ajo nuk kishte kërkuar thirrjen e dëshmitarëve të tjerë përveç shtetases B.Z.</w:t>
      </w:r>
      <w:r w:rsidR="00170C8A">
        <w:t>,</w:t>
      </w:r>
      <w:r>
        <w:t xml:space="preserve"> e cila është thirrur dhe dëgjuar nga gjykata.</w:t>
      </w:r>
    </w:p>
    <w:p w:rsidR="00380F59" w:rsidRDefault="00380F59" w:rsidP="00FB74B3">
      <w:pPr>
        <w:tabs>
          <w:tab w:val="left" w:pos="709"/>
          <w:tab w:val="left" w:pos="993"/>
          <w:tab w:val="left" w:pos="1260"/>
        </w:tabs>
        <w:spacing w:line="360" w:lineRule="auto"/>
        <w:ind w:left="1080" w:hanging="513"/>
        <w:jc w:val="both"/>
        <w:rPr>
          <w:b/>
        </w:rPr>
      </w:pPr>
      <w:r>
        <w:t xml:space="preserve"> 6.4 </w:t>
      </w:r>
      <w:r w:rsidR="00FB74B3">
        <w:t xml:space="preserve"> </w:t>
      </w:r>
      <w:r>
        <w:t xml:space="preserve">Vendimi i Kolegjit Civil të Gjykatës së Lartë është i drejtë, pasi ankimi i paraqitur nga kërkuesja nuk ishte në përputhje me shkaqet e parashikuara nga neni 472 i KPC-së. </w:t>
      </w:r>
    </w:p>
    <w:p w:rsidR="00380F59" w:rsidRDefault="00380F59" w:rsidP="00380F59">
      <w:pPr>
        <w:tabs>
          <w:tab w:val="left" w:pos="567"/>
          <w:tab w:val="left" w:pos="709"/>
          <w:tab w:val="left" w:pos="993"/>
        </w:tabs>
        <w:spacing w:line="360" w:lineRule="auto"/>
        <w:ind w:left="360"/>
        <w:jc w:val="both"/>
        <w:rPr>
          <w:b/>
        </w:rPr>
      </w:pPr>
    </w:p>
    <w:p w:rsidR="003814A3" w:rsidRDefault="003814A3" w:rsidP="00FB74B3">
      <w:pPr>
        <w:spacing w:line="360" w:lineRule="auto"/>
        <w:jc w:val="center"/>
        <w:rPr>
          <w:b/>
        </w:rPr>
      </w:pPr>
      <w:r w:rsidRPr="00881D6D">
        <w:rPr>
          <w:b/>
        </w:rPr>
        <w:t>III</w:t>
      </w:r>
    </w:p>
    <w:p w:rsidR="005F27B1" w:rsidRPr="00881D6D" w:rsidRDefault="005F27B1" w:rsidP="00FB74B3">
      <w:pPr>
        <w:spacing w:line="360" w:lineRule="auto"/>
        <w:jc w:val="center"/>
        <w:rPr>
          <w:b/>
        </w:rPr>
      </w:pPr>
    </w:p>
    <w:p w:rsidR="00826C31" w:rsidRPr="00826C31" w:rsidRDefault="00826C31" w:rsidP="00FB74B3">
      <w:pPr>
        <w:numPr>
          <w:ilvl w:val="0"/>
          <w:numId w:val="33"/>
        </w:numPr>
        <w:tabs>
          <w:tab w:val="left" w:pos="567"/>
          <w:tab w:val="left" w:pos="709"/>
          <w:tab w:val="left" w:pos="993"/>
        </w:tabs>
        <w:spacing w:line="360" w:lineRule="auto"/>
        <w:ind w:firstLine="0"/>
        <w:jc w:val="both"/>
        <w:rPr>
          <w:rFonts w:eastAsia="MS Mincho"/>
          <w:i/>
        </w:rPr>
      </w:pPr>
      <w:r w:rsidRPr="00826C31">
        <w:rPr>
          <w:rFonts w:eastAsia="MS Mincho"/>
          <w:i/>
        </w:rPr>
        <w:t>P</w:t>
      </w:r>
      <w:r w:rsidR="0085710C">
        <w:rPr>
          <w:rFonts w:eastAsia="MS Mincho"/>
          <w:i/>
        </w:rPr>
        <w:t>ë</w:t>
      </w:r>
      <w:r w:rsidRPr="00826C31">
        <w:rPr>
          <w:rFonts w:eastAsia="MS Mincho"/>
          <w:i/>
        </w:rPr>
        <w:t>r legjitimimin e kërkues</w:t>
      </w:r>
      <w:r w:rsidR="00FD031D">
        <w:rPr>
          <w:rFonts w:eastAsia="MS Mincho"/>
          <w:i/>
        </w:rPr>
        <w:t>es</w:t>
      </w:r>
    </w:p>
    <w:p w:rsidR="009D19C5" w:rsidRDefault="00826C31" w:rsidP="00774252">
      <w:pPr>
        <w:numPr>
          <w:ilvl w:val="0"/>
          <w:numId w:val="40"/>
        </w:numPr>
        <w:tabs>
          <w:tab w:val="left" w:pos="720"/>
          <w:tab w:val="left" w:pos="1080"/>
        </w:tabs>
        <w:spacing w:line="360" w:lineRule="auto"/>
        <w:ind w:left="0" w:right="-90" w:firstLine="720"/>
        <w:contextualSpacing/>
        <w:jc w:val="both"/>
        <w:rPr>
          <w:rFonts w:eastAsia="MS Mincho"/>
        </w:rPr>
      </w:pPr>
      <w:r w:rsidRPr="00826C31">
        <w:rPr>
          <w:rFonts w:eastAsia="MS Mincho"/>
        </w:rPr>
        <w:lastRenderedPageBreak/>
        <w:t>Kërkues</w:t>
      </w:r>
      <w:r w:rsidR="00FD031D">
        <w:rPr>
          <w:rFonts w:eastAsia="MS Mincho"/>
        </w:rPr>
        <w:t>ja</w:t>
      </w:r>
      <w:r w:rsidRPr="00826C31">
        <w:rPr>
          <w:rFonts w:eastAsia="MS Mincho"/>
        </w:rPr>
        <w:t xml:space="preserve"> legjitimohet </w:t>
      </w:r>
      <w:r w:rsidRPr="00826C31">
        <w:rPr>
          <w:rFonts w:eastAsia="MS Mincho"/>
          <w:i/>
        </w:rPr>
        <w:t>ratione personae</w:t>
      </w:r>
      <w:r w:rsidRPr="00826C31">
        <w:rPr>
          <w:rFonts w:eastAsia="MS Mincho"/>
        </w:rPr>
        <w:t>, në kuptim të rregullimit kushtetues të neneve 131/f dhe 134/g të Kushtetutës</w:t>
      </w:r>
      <w:r w:rsidR="005F27B1">
        <w:rPr>
          <w:rFonts w:eastAsia="MS Mincho"/>
        </w:rPr>
        <w:t>, si dhe</w:t>
      </w:r>
      <w:r w:rsidRPr="00826C31">
        <w:rPr>
          <w:rFonts w:eastAsia="MS Mincho"/>
        </w:rPr>
        <w:t xml:space="preserve"> </w:t>
      </w:r>
      <w:r w:rsidRPr="00826C31">
        <w:rPr>
          <w:rFonts w:eastAsia="MS Mincho"/>
          <w:i/>
        </w:rPr>
        <w:t>ratione temporis</w:t>
      </w:r>
      <w:r w:rsidRPr="00826C31">
        <w:rPr>
          <w:rFonts w:eastAsia="MS Mincho"/>
        </w:rPr>
        <w:t>, pasi kërkesa është paraqitur brenda afatit të parashikuar nga neni 30, pika 2 e ligjit nr. 8577, datë 10.02.2000 “Për organizimin dhe funksionimin e Gjykatës Kushtetuese”</w:t>
      </w:r>
      <w:r w:rsidR="009D19C5">
        <w:rPr>
          <w:rFonts w:eastAsia="MS Mincho"/>
        </w:rPr>
        <w:t xml:space="preserve">. </w:t>
      </w:r>
    </w:p>
    <w:p w:rsidR="00FD031D" w:rsidRDefault="009D19C5" w:rsidP="00774252">
      <w:pPr>
        <w:numPr>
          <w:ilvl w:val="0"/>
          <w:numId w:val="40"/>
        </w:numPr>
        <w:tabs>
          <w:tab w:val="left" w:pos="720"/>
          <w:tab w:val="left" w:pos="1080"/>
        </w:tabs>
        <w:spacing w:line="360" w:lineRule="auto"/>
        <w:ind w:left="0" w:right="-90" w:firstLine="720"/>
        <w:contextualSpacing/>
        <w:jc w:val="both"/>
      </w:pPr>
      <w:r w:rsidRPr="009D19C5">
        <w:rPr>
          <w:rFonts w:eastAsia="MS Mincho"/>
        </w:rPr>
        <w:t>N</w:t>
      </w:r>
      <w:r w:rsidR="00A34120">
        <w:rPr>
          <w:rFonts w:eastAsia="MS Mincho"/>
        </w:rPr>
        <w:t>ë</w:t>
      </w:r>
      <w:r w:rsidRPr="009D19C5">
        <w:rPr>
          <w:rFonts w:eastAsia="MS Mincho"/>
        </w:rPr>
        <w:t xml:space="preserve"> lidhje me legjitimimin </w:t>
      </w:r>
      <w:r w:rsidR="00826C31" w:rsidRPr="009D19C5">
        <w:rPr>
          <w:rFonts w:eastAsia="MS Mincho"/>
          <w:i/>
          <w:iCs/>
        </w:rPr>
        <w:t>ratione materiae,</w:t>
      </w:r>
      <w:r w:rsidR="00826C31" w:rsidRPr="009D19C5">
        <w:rPr>
          <w:rFonts w:eastAsia="MS Mincho"/>
        </w:rPr>
        <w:t xml:space="preserve"> </w:t>
      </w:r>
      <w:r w:rsidRPr="009D19C5">
        <w:rPr>
          <w:rFonts w:eastAsia="MS Mincho"/>
        </w:rPr>
        <w:t xml:space="preserve">Gjykata rithekson </w:t>
      </w:r>
      <w:r>
        <w:rPr>
          <w:rFonts w:eastAsia="MS Mincho"/>
        </w:rPr>
        <w:t xml:space="preserve">se </w:t>
      </w:r>
      <w:r w:rsidR="00FD031D" w:rsidRPr="009D19C5">
        <w:rPr>
          <w:bCs/>
        </w:rPr>
        <w:t>k</w:t>
      </w:r>
      <w:r w:rsidR="00FD031D" w:rsidRPr="00122090">
        <w:t>ontrolli kushtetues ndaj vendimeve gjyqësore është i kufizuar vetëm në funksion të mbrojtjes së të drejtave kushtetuese të individit për një proces të rregullt ligjor. Problemet e interpretimit dhe të zbatimit të ligjit për zgjidhjen e çështjeve konkrete nuk përbëjnë juridiksion kushtetues nëse ato nuk shoqërohen me cenimin e këtyre të drejtave</w:t>
      </w:r>
      <w:r w:rsidR="00FD031D" w:rsidRPr="009D19C5">
        <w:rPr>
          <w:i/>
          <w:iCs/>
        </w:rPr>
        <w:t xml:space="preserve"> (shih vendimet nr.22, datë 22.07.2009</w:t>
      </w:r>
      <w:r w:rsidR="005F27B1">
        <w:rPr>
          <w:i/>
          <w:iCs/>
        </w:rPr>
        <w:t xml:space="preserve"> dhe</w:t>
      </w:r>
      <w:r w:rsidR="00FD031D" w:rsidRPr="009D19C5">
        <w:rPr>
          <w:i/>
          <w:iCs/>
        </w:rPr>
        <w:t xml:space="preserve"> nr.31, datë 05.07.2011 të Gjykatës Kushtetuese)</w:t>
      </w:r>
      <w:r w:rsidR="00FD031D" w:rsidRPr="009D19C5">
        <w:rPr>
          <w:b/>
          <w:bCs/>
          <w:i/>
        </w:rPr>
        <w:t xml:space="preserve">. </w:t>
      </w:r>
    </w:p>
    <w:p w:rsidR="00FD031D" w:rsidRPr="00917B51" w:rsidRDefault="00FD031D" w:rsidP="00774252">
      <w:pPr>
        <w:numPr>
          <w:ilvl w:val="0"/>
          <w:numId w:val="40"/>
        </w:numPr>
        <w:tabs>
          <w:tab w:val="left" w:pos="720"/>
          <w:tab w:val="left" w:pos="1080"/>
        </w:tabs>
        <w:spacing w:line="360" w:lineRule="auto"/>
        <w:ind w:left="0" w:firstLine="720"/>
        <w:jc w:val="both"/>
      </w:pPr>
      <w:r w:rsidRPr="00122090">
        <w:t xml:space="preserve">Gjykata Kushtetuese </w:t>
      </w:r>
      <w:r w:rsidR="0073083E">
        <w:t xml:space="preserve">rithekson se ajo </w:t>
      </w:r>
      <w:r w:rsidRPr="00122090">
        <w:t xml:space="preserve">ndërhyn në ato raste kur, përmes veprimeve të tyre, gjykatat e zakonshme cenojnë të drejtën për një proces të rregullt ligjor. Në këto raste, Gjykata nuk bën rivlerësimin e fakteve </w:t>
      </w:r>
      <w:r w:rsidR="005F27B1">
        <w:t>dh</w:t>
      </w:r>
      <w:r w:rsidRPr="00122090">
        <w:t xml:space="preserve">e </w:t>
      </w:r>
      <w:r w:rsidR="005F27B1">
        <w:t xml:space="preserve">të </w:t>
      </w:r>
      <w:r w:rsidRPr="00122090">
        <w:t xml:space="preserve">rrethanave, por një vlerësim të natyrës kushtetuese, të dallueshëm nga ai i gjykatave të juridiksionit të zakonshëm. Gjykata e analizon ligjin, faktin dhe rrethanën përkatëse në atë dimension që ka ndikim mbi të drejtat dhe liritë e parashikuara nga nenet 42 dhe 131, shkronja “f” </w:t>
      </w:r>
      <w:r w:rsidR="005F27B1">
        <w:t>të</w:t>
      </w:r>
      <w:r w:rsidRPr="00122090">
        <w:t xml:space="preserve"> Kushtetutës, gjë e cila përbën juridiksionin e saj kushtetues.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w:t>
      </w:r>
      <w:r w:rsidRPr="00122090">
        <w:rPr>
          <w:i/>
        </w:rPr>
        <w:t>shih vendimet nr.14, datë 03.06.2009</w:t>
      </w:r>
      <w:r w:rsidR="008F391A">
        <w:rPr>
          <w:i/>
        </w:rPr>
        <w:t xml:space="preserve"> dhe</w:t>
      </w:r>
      <w:r w:rsidRPr="00122090">
        <w:rPr>
          <w:i/>
        </w:rPr>
        <w:t xml:space="preserve"> </w:t>
      </w:r>
      <w:r w:rsidRPr="00122090">
        <w:rPr>
          <w:bCs/>
          <w:i/>
        </w:rPr>
        <w:t>nr. 16, dat</w:t>
      </w:r>
      <w:r w:rsidRPr="00122090">
        <w:rPr>
          <w:i/>
        </w:rPr>
        <w:t>ë 19.04.2013 të Gjykatës Kushtetuese</w:t>
      </w:r>
      <w:r w:rsidRPr="00122090">
        <w:t xml:space="preserve">). </w:t>
      </w:r>
      <w:r w:rsidRPr="00FF02FC">
        <w:t>Në këtë kuptim, interpretimi i ligjit, zbatimi i tij në çështjet konkrete, si dhe vlerësimi i fakteve dhe rrethanave janë çështje që ndajnë juridiksionin e gjykatave të zakonshme nga juridiksioni kushtetues. (</w:t>
      </w:r>
      <w:r w:rsidRPr="00FF02FC">
        <w:rPr>
          <w:i/>
          <w:iCs/>
        </w:rPr>
        <w:t xml:space="preserve">shih vendimet </w:t>
      </w:r>
      <w:r w:rsidRPr="00FF02FC">
        <w:rPr>
          <w:bCs/>
          <w:i/>
          <w:iCs/>
        </w:rPr>
        <w:t>nr.3, datë 19.02.2013;</w:t>
      </w:r>
      <w:r w:rsidRPr="00FF02FC">
        <w:rPr>
          <w:b/>
          <w:bCs/>
          <w:i/>
          <w:iCs/>
        </w:rPr>
        <w:t xml:space="preserve"> </w:t>
      </w:r>
      <w:r w:rsidR="008F391A">
        <w:rPr>
          <w:i/>
          <w:iCs/>
        </w:rPr>
        <w:t>nr.31, datë 05.07.2011 dhe</w:t>
      </w:r>
      <w:r w:rsidRPr="00FF02FC">
        <w:rPr>
          <w:i/>
          <w:iCs/>
        </w:rPr>
        <w:t xml:space="preserve"> nr.22, datë 22.07.2009 të Gjykatës Kushtetuese)</w:t>
      </w:r>
      <w:r w:rsidRPr="00FF02FC">
        <w:t xml:space="preserve">. </w:t>
      </w:r>
    </w:p>
    <w:p w:rsidR="009D19C5" w:rsidRPr="009D19C5" w:rsidRDefault="00FD031D" w:rsidP="00774252">
      <w:pPr>
        <w:numPr>
          <w:ilvl w:val="0"/>
          <w:numId w:val="40"/>
        </w:numPr>
        <w:tabs>
          <w:tab w:val="left" w:pos="720"/>
          <w:tab w:val="left" w:pos="1080"/>
        </w:tabs>
        <w:spacing w:line="360" w:lineRule="auto"/>
        <w:ind w:left="0" w:firstLine="720"/>
        <w:jc w:val="both"/>
      </w:pPr>
      <w:r w:rsidRPr="006546B5">
        <w:t>Bazuar n</w:t>
      </w:r>
      <w:r>
        <w:t>ë</w:t>
      </w:r>
      <w:r w:rsidRPr="006546B5">
        <w:t xml:space="preserve"> </w:t>
      </w:r>
      <w:r>
        <w:t>standardet e mësipërme</w:t>
      </w:r>
      <w:r w:rsidR="00E9663A">
        <w:t xml:space="preserve">, </w:t>
      </w:r>
      <w:r w:rsidR="0073083E">
        <w:t>Gjykata konstaton</w:t>
      </w:r>
      <w:r>
        <w:t xml:space="preserve"> se argumentet </w:t>
      </w:r>
      <w:r w:rsidR="00E9663A">
        <w:t xml:space="preserve">e kërkueses </w:t>
      </w:r>
      <w:r>
        <w:t>në mbështetje të parregullsive në dy shkallë</w:t>
      </w:r>
      <w:r w:rsidR="00E9663A">
        <w:t>t</w:t>
      </w:r>
      <w:r w:rsidR="0073083E">
        <w:t xml:space="preserve"> e </w:t>
      </w:r>
      <w:r>
        <w:t xml:space="preserve">para të gjykimit kanë të bëjnë me çështje të interpretimit të ligjit, marrjes së provave dhe vlerësimit të tyre. Nisur nga natyra ligjore e këtyre pretendimeve, </w:t>
      </w:r>
      <w:r w:rsidR="00E9663A">
        <w:t xml:space="preserve">Gjykata </w:t>
      </w:r>
      <w:r w:rsidR="001D6372">
        <w:t>çmon</w:t>
      </w:r>
      <w:r w:rsidR="00E9663A">
        <w:t xml:space="preserve"> se </w:t>
      </w:r>
      <w:r w:rsidRPr="00D06EA3">
        <w:rPr>
          <w:bCs/>
        </w:rPr>
        <w:t>zgjidhja e tyre nuk përfshihet në juridiksionin kushtetues, por i përket juridiksionit të gjykatave të zakonshme.</w:t>
      </w:r>
      <w:r>
        <w:rPr>
          <w:bCs/>
        </w:rPr>
        <w:t xml:space="preserve"> </w:t>
      </w:r>
    </w:p>
    <w:p w:rsidR="00FD031D" w:rsidRDefault="00FD031D" w:rsidP="00774252">
      <w:pPr>
        <w:numPr>
          <w:ilvl w:val="0"/>
          <w:numId w:val="40"/>
        </w:numPr>
        <w:tabs>
          <w:tab w:val="left" w:pos="720"/>
          <w:tab w:val="left" w:pos="810"/>
          <w:tab w:val="left" w:pos="990"/>
          <w:tab w:val="left" w:pos="1080"/>
        </w:tabs>
        <w:spacing w:line="360" w:lineRule="auto"/>
        <w:ind w:left="0" w:firstLine="720"/>
        <w:jc w:val="both"/>
      </w:pPr>
      <w:r>
        <w:rPr>
          <w:bCs/>
        </w:rPr>
        <w:t xml:space="preserve">Për rrjedhojë, </w:t>
      </w:r>
      <w:r w:rsidR="009D19C5">
        <w:rPr>
          <w:bCs/>
        </w:rPr>
        <w:t>Gjykata arrin n</w:t>
      </w:r>
      <w:r w:rsidR="00A34120">
        <w:rPr>
          <w:bCs/>
        </w:rPr>
        <w:t>ë</w:t>
      </w:r>
      <w:r w:rsidR="009D19C5">
        <w:rPr>
          <w:bCs/>
        </w:rPr>
        <w:t xml:space="preserve"> p</w:t>
      </w:r>
      <w:r w:rsidR="00A34120">
        <w:rPr>
          <w:bCs/>
        </w:rPr>
        <w:t>ë</w:t>
      </w:r>
      <w:r w:rsidR="009D19C5">
        <w:rPr>
          <w:bCs/>
        </w:rPr>
        <w:t xml:space="preserve">rfundimin se </w:t>
      </w:r>
      <w:r>
        <w:rPr>
          <w:bCs/>
        </w:rPr>
        <w:t xml:space="preserve">kërkuesja nuk legjitimohet </w:t>
      </w:r>
      <w:r w:rsidRPr="00A42873">
        <w:rPr>
          <w:bCs/>
          <w:i/>
        </w:rPr>
        <w:t>ratione materiae</w:t>
      </w:r>
      <w:r w:rsidR="009D19C5">
        <w:rPr>
          <w:bCs/>
          <w:i/>
        </w:rPr>
        <w:t xml:space="preserve"> </w:t>
      </w:r>
      <w:r w:rsidR="009D19C5" w:rsidRPr="00CA63F4">
        <w:rPr>
          <w:bCs/>
        </w:rPr>
        <w:t>n</w:t>
      </w:r>
      <w:r w:rsidR="00A34120">
        <w:rPr>
          <w:bCs/>
        </w:rPr>
        <w:t>ë</w:t>
      </w:r>
      <w:r w:rsidR="009D19C5" w:rsidRPr="00CA63F4">
        <w:rPr>
          <w:bCs/>
        </w:rPr>
        <w:t xml:space="preserve"> lidhje me këto </w:t>
      </w:r>
      <w:r w:rsidR="00CA63F4">
        <w:rPr>
          <w:bCs/>
        </w:rPr>
        <w:t>pretendime</w:t>
      </w:r>
      <w:r>
        <w:rPr>
          <w:bCs/>
        </w:rPr>
        <w:t xml:space="preserve">. </w:t>
      </w:r>
    </w:p>
    <w:p w:rsidR="00875EC1" w:rsidRDefault="00875EC1" w:rsidP="00875EC1">
      <w:pPr>
        <w:spacing w:line="360" w:lineRule="auto"/>
        <w:jc w:val="both"/>
        <w:rPr>
          <w:rFonts w:eastAsia="AngsanaUPC"/>
          <w:i/>
          <w:iCs/>
        </w:rPr>
      </w:pPr>
    </w:p>
    <w:p w:rsidR="00083FC8" w:rsidRDefault="00083FC8" w:rsidP="00FB74B3">
      <w:pPr>
        <w:numPr>
          <w:ilvl w:val="0"/>
          <w:numId w:val="33"/>
        </w:numPr>
        <w:spacing w:line="360" w:lineRule="auto"/>
        <w:ind w:firstLine="0"/>
        <w:jc w:val="both"/>
        <w:rPr>
          <w:rFonts w:eastAsia="Calibri"/>
          <w:b/>
          <w:bCs/>
          <w:i/>
          <w:lang w:eastAsia="sq-AL"/>
        </w:rPr>
      </w:pPr>
      <w:r w:rsidRPr="005A24A9">
        <w:rPr>
          <w:rFonts w:eastAsia="Calibri"/>
          <w:bCs/>
          <w:i/>
          <w:lang w:eastAsia="sq-AL"/>
        </w:rPr>
        <w:lastRenderedPageBreak/>
        <w:t>P</w:t>
      </w:r>
      <w:r>
        <w:rPr>
          <w:rFonts w:eastAsia="Calibri"/>
          <w:bCs/>
          <w:i/>
          <w:lang w:eastAsia="sq-AL"/>
        </w:rPr>
        <w:t>ë</w:t>
      </w:r>
      <w:r w:rsidRPr="005A24A9">
        <w:rPr>
          <w:rFonts w:eastAsia="Calibri"/>
          <w:bCs/>
          <w:i/>
          <w:lang w:eastAsia="sq-AL"/>
        </w:rPr>
        <w:t>r pretendimin e cenimit t</w:t>
      </w:r>
      <w:r>
        <w:rPr>
          <w:rFonts w:eastAsia="Calibri"/>
          <w:bCs/>
          <w:i/>
          <w:lang w:eastAsia="sq-AL"/>
        </w:rPr>
        <w:t>ë</w:t>
      </w:r>
      <w:r w:rsidRPr="005A24A9">
        <w:rPr>
          <w:rFonts w:eastAsia="Calibri"/>
          <w:bCs/>
          <w:i/>
          <w:lang w:eastAsia="sq-AL"/>
        </w:rPr>
        <w:t xml:space="preserve"> </w:t>
      </w:r>
      <w:r w:rsidR="0051730C">
        <w:rPr>
          <w:rFonts w:eastAsia="Calibri"/>
          <w:bCs/>
          <w:i/>
          <w:lang w:eastAsia="sq-AL"/>
        </w:rPr>
        <w:t>standardit t</w:t>
      </w:r>
      <w:r w:rsidR="00A34120">
        <w:rPr>
          <w:rFonts w:eastAsia="Calibri"/>
          <w:bCs/>
          <w:i/>
          <w:lang w:eastAsia="sq-AL"/>
        </w:rPr>
        <w:t>ë</w:t>
      </w:r>
      <w:r w:rsidR="0051730C">
        <w:rPr>
          <w:rFonts w:eastAsia="Calibri"/>
          <w:bCs/>
          <w:i/>
          <w:lang w:eastAsia="sq-AL"/>
        </w:rPr>
        <w:t xml:space="preserve"> arsyetimit t</w:t>
      </w:r>
      <w:r>
        <w:rPr>
          <w:rFonts w:eastAsia="Calibri"/>
          <w:bCs/>
          <w:i/>
          <w:lang w:eastAsia="sq-AL"/>
        </w:rPr>
        <w:t>ë</w:t>
      </w:r>
      <w:r w:rsidRPr="005A24A9">
        <w:rPr>
          <w:rFonts w:eastAsia="Calibri"/>
          <w:bCs/>
          <w:i/>
          <w:lang w:eastAsia="sq-AL"/>
        </w:rPr>
        <w:t xml:space="preserve"> </w:t>
      </w:r>
      <w:r w:rsidR="0051730C">
        <w:rPr>
          <w:rFonts w:eastAsia="Calibri"/>
          <w:bCs/>
          <w:i/>
          <w:lang w:eastAsia="sq-AL"/>
        </w:rPr>
        <w:t xml:space="preserve">vendimit </w:t>
      </w:r>
      <w:r>
        <w:rPr>
          <w:rFonts w:eastAsia="Calibri"/>
          <w:bCs/>
          <w:i/>
          <w:lang w:eastAsia="sq-AL"/>
        </w:rPr>
        <w:t>n</w:t>
      </w:r>
      <w:r w:rsidR="0051730C">
        <w:rPr>
          <w:rFonts w:eastAsia="Calibri"/>
          <w:bCs/>
          <w:i/>
          <w:lang w:eastAsia="sq-AL"/>
        </w:rPr>
        <w:t>ga</w:t>
      </w:r>
      <w:r w:rsidRPr="005A24A9">
        <w:rPr>
          <w:rFonts w:eastAsia="Calibri"/>
          <w:bCs/>
          <w:i/>
          <w:lang w:eastAsia="sq-AL"/>
        </w:rPr>
        <w:t xml:space="preserve"> </w:t>
      </w:r>
      <w:r>
        <w:rPr>
          <w:rFonts w:eastAsia="Calibri"/>
          <w:bCs/>
          <w:i/>
          <w:lang w:eastAsia="sq-AL"/>
        </w:rPr>
        <w:t>G</w:t>
      </w:r>
      <w:r w:rsidRPr="005A24A9">
        <w:rPr>
          <w:rFonts w:eastAsia="Calibri"/>
          <w:bCs/>
          <w:i/>
          <w:lang w:eastAsia="sq-AL"/>
        </w:rPr>
        <w:t>jykat</w:t>
      </w:r>
      <w:r w:rsidR="0051730C">
        <w:rPr>
          <w:rFonts w:eastAsia="Calibri"/>
          <w:bCs/>
          <w:i/>
          <w:lang w:eastAsia="sq-AL"/>
        </w:rPr>
        <w:t>a</w:t>
      </w:r>
      <w:r>
        <w:rPr>
          <w:rFonts w:eastAsia="Calibri"/>
          <w:bCs/>
          <w:i/>
          <w:lang w:eastAsia="sq-AL"/>
        </w:rPr>
        <w:t xml:space="preserve"> </w:t>
      </w:r>
      <w:r w:rsidRPr="005A24A9">
        <w:rPr>
          <w:rFonts w:eastAsia="Calibri"/>
          <w:bCs/>
          <w:i/>
          <w:lang w:eastAsia="sq-AL"/>
        </w:rPr>
        <w:t xml:space="preserve">e </w:t>
      </w:r>
      <w:r>
        <w:rPr>
          <w:rFonts w:eastAsia="Calibri"/>
          <w:bCs/>
          <w:i/>
          <w:lang w:eastAsia="sq-AL"/>
        </w:rPr>
        <w:t>L</w:t>
      </w:r>
      <w:r w:rsidRPr="005A24A9">
        <w:rPr>
          <w:rFonts w:eastAsia="Calibri"/>
          <w:bCs/>
          <w:i/>
          <w:lang w:eastAsia="sq-AL"/>
        </w:rPr>
        <w:t>art</w:t>
      </w:r>
      <w:r>
        <w:rPr>
          <w:rFonts w:eastAsia="Calibri"/>
          <w:bCs/>
          <w:i/>
          <w:lang w:eastAsia="sq-AL"/>
        </w:rPr>
        <w:t>ë</w:t>
      </w:r>
      <w:r w:rsidRPr="005A24A9">
        <w:rPr>
          <w:rFonts w:eastAsia="Calibri"/>
          <w:bCs/>
          <w:i/>
          <w:lang w:eastAsia="sq-AL"/>
        </w:rPr>
        <w:t xml:space="preserve"> </w:t>
      </w:r>
      <w:r>
        <w:rPr>
          <w:rFonts w:eastAsia="Calibri"/>
          <w:b/>
          <w:bCs/>
          <w:i/>
          <w:lang w:eastAsia="sq-AL"/>
        </w:rPr>
        <w:t xml:space="preserve"> </w:t>
      </w:r>
    </w:p>
    <w:p w:rsidR="006A031C" w:rsidRDefault="006A3D86" w:rsidP="00774252">
      <w:pPr>
        <w:numPr>
          <w:ilvl w:val="0"/>
          <w:numId w:val="40"/>
        </w:numPr>
        <w:tabs>
          <w:tab w:val="left" w:pos="630"/>
          <w:tab w:val="left" w:pos="720"/>
          <w:tab w:val="left" w:pos="990"/>
          <w:tab w:val="left" w:pos="1170"/>
        </w:tabs>
        <w:spacing w:line="360" w:lineRule="auto"/>
        <w:ind w:left="0" w:firstLine="720"/>
        <w:jc w:val="both"/>
      </w:pPr>
      <w:r>
        <w:t>K</w:t>
      </w:r>
      <w:r w:rsidR="00A34120">
        <w:t>ë</w:t>
      </w:r>
      <w:r>
        <w:t>rkuesja ka pretenduar se vendimi</w:t>
      </w:r>
      <w:r w:rsidR="00D425CF">
        <w:t xml:space="preserve"> </w:t>
      </w:r>
      <w:r>
        <w:t>i</w:t>
      </w:r>
      <w:r w:rsidR="00D425CF">
        <w:t xml:space="preserve"> Gjykatës së Lartë </w:t>
      </w:r>
      <w:r w:rsidR="007F1115">
        <w:t xml:space="preserve">nuk ka </w:t>
      </w:r>
      <w:r>
        <w:t>respektuar standardin e arsyetimit t</w:t>
      </w:r>
      <w:r w:rsidR="00A34120">
        <w:t>ë</w:t>
      </w:r>
      <w:r>
        <w:t xml:space="preserve"> vendimeve gjyqësore </w:t>
      </w:r>
      <w:r w:rsidR="007F1115">
        <w:t>dhe po ashtu</w:t>
      </w:r>
      <w:r w:rsidRPr="006A3D86">
        <w:t>, nuk ka riparuar shkeljet e proceseve gjyqësore të zhvilluara në shkallët e tjera</w:t>
      </w:r>
      <w:r w:rsidR="007F1115">
        <w:t>. P</w:t>
      </w:r>
      <w:r w:rsidRPr="006A3D86">
        <w:t xml:space="preserve">ër rrjedhojë, </w:t>
      </w:r>
      <w:r w:rsidR="007F1115">
        <w:t xml:space="preserve">sipas kërkueses ky vendim </w:t>
      </w:r>
      <w:r w:rsidRPr="006A3D86">
        <w:t xml:space="preserve">bie ndesh me garancitë e nenit 42 të Kushtetutës dhe </w:t>
      </w:r>
      <w:r w:rsidR="007F1115">
        <w:t>t</w:t>
      </w:r>
      <w:r w:rsidR="00A34120">
        <w:t>ë</w:t>
      </w:r>
      <w:r w:rsidR="007F1115">
        <w:t xml:space="preserve"> </w:t>
      </w:r>
      <w:r w:rsidRPr="006A3D86">
        <w:t>nene</w:t>
      </w:r>
      <w:r w:rsidR="007F1115">
        <w:t>ve</w:t>
      </w:r>
      <w:r w:rsidRPr="006A3D86">
        <w:t xml:space="preserve"> 6 dhe 13 të KEDNJ-së.  </w:t>
      </w:r>
    </w:p>
    <w:p w:rsidR="00B13567" w:rsidRPr="00B13567" w:rsidRDefault="006A031C" w:rsidP="00774252">
      <w:pPr>
        <w:numPr>
          <w:ilvl w:val="0"/>
          <w:numId w:val="40"/>
        </w:numPr>
        <w:tabs>
          <w:tab w:val="left" w:pos="630"/>
          <w:tab w:val="left" w:pos="720"/>
          <w:tab w:val="left" w:pos="993"/>
          <w:tab w:val="left" w:pos="1170"/>
        </w:tabs>
        <w:spacing w:line="360" w:lineRule="auto"/>
        <w:ind w:left="0" w:firstLine="720"/>
        <w:jc w:val="both"/>
      </w:pPr>
      <w:r w:rsidRPr="00B13567">
        <w:rPr>
          <w:rFonts w:eastAsia="Calibri"/>
          <w:bCs/>
        </w:rPr>
        <w:t xml:space="preserve">Gjykata </w:t>
      </w:r>
      <w:r w:rsidRPr="00B13567">
        <w:rPr>
          <w:rFonts w:eastAsia="Calibri"/>
        </w:rPr>
        <w:t>ka theksuar se e drejta për një proces të rregullt ligjor, që i garantohet individit nga nenet 42 dhe 142/1 të Kushtetutës, përfshin edhe të drejtën për të pasur një vendim gjyqësor të arsyetuar.</w:t>
      </w:r>
      <w:r w:rsidRPr="00B13567">
        <w:rPr>
          <w:rFonts w:eastAsia="Calibri"/>
          <w:bCs/>
        </w:rPr>
        <w:t xml:space="preserve"> </w:t>
      </w:r>
      <w:r w:rsidRPr="00B13567">
        <w:rPr>
          <w:rFonts w:eastAsia="Calibri"/>
        </w:rPr>
        <w:t xml:space="preserve">Arsyetimi i vendimeve është element thelbësor i një vendimi të drejtë. </w:t>
      </w:r>
      <w:r w:rsidRPr="00B13567">
        <w:rPr>
          <w:rFonts w:eastAsia="Calibri"/>
          <w:bCs/>
        </w:rPr>
        <w:t>Funksioni i një vendimi të arsyetuar është t’u tregojë palëve që ato janë dëgjuar</w:t>
      </w:r>
      <w:r w:rsidRPr="00B13567">
        <w:rPr>
          <w:rFonts w:eastAsia="Calibri"/>
        </w:rPr>
        <w:t xml:space="preserve"> si dhe u jep mundësinë atyre ta kundërshtojnë atë </w:t>
      </w:r>
      <w:r w:rsidR="00B13567" w:rsidRPr="00B13567">
        <w:rPr>
          <w:rFonts w:eastAsia="Calibri"/>
        </w:rPr>
        <w:t xml:space="preserve">Përveç kësaj, duke dhënë një vendim të arsyetuar, mund të realizohet vëzhgimi publik i administrimit të drejtësisë </w:t>
      </w:r>
      <w:r w:rsidRPr="00B13567">
        <w:rPr>
          <w:rFonts w:eastAsia="Calibri"/>
        </w:rPr>
        <w:t>(</w:t>
      </w:r>
      <w:r w:rsidRPr="00B13567">
        <w:rPr>
          <w:rFonts w:eastAsia="Calibri"/>
          <w:i/>
        </w:rPr>
        <w:t>shih vendimet nr. 25, datë 10.06.2011; nr. 8, datë 28.02.2012; nr. 3, datë 19.02.2013</w:t>
      </w:r>
      <w:r w:rsidR="008F391A">
        <w:rPr>
          <w:rFonts w:eastAsia="Calibri"/>
          <w:i/>
        </w:rPr>
        <w:t xml:space="preserve"> dhe</w:t>
      </w:r>
      <w:r w:rsidR="001D6372" w:rsidRPr="00B13567">
        <w:rPr>
          <w:rFonts w:eastAsia="Calibri"/>
          <w:i/>
        </w:rPr>
        <w:t xml:space="preserve"> nr.</w:t>
      </w:r>
      <w:r w:rsidR="00B13567" w:rsidRPr="00B13567">
        <w:rPr>
          <w:rFonts w:eastAsia="Calibri"/>
          <w:b/>
          <w:bCs/>
        </w:rPr>
        <w:t xml:space="preserve"> </w:t>
      </w:r>
      <w:r w:rsidR="00B13567" w:rsidRPr="00B13567">
        <w:rPr>
          <w:rFonts w:eastAsia="Calibri"/>
          <w:bCs/>
          <w:i/>
        </w:rPr>
        <w:t>3, datë 23.01.2014</w:t>
      </w:r>
      <w:r w:rsidRPr="00B13567">
        <w:rPr>
          <w:rFonts w:eastAsia="Calibri"/>
          <w:i/>
        </w:rPr>
        <w:t xml:space="preserve"> të Gjykatës Kushtetuese</w:t>
      </w:r>
      <w:r w:rsidRPr="00B13567">
        <w:rPr>
          <w:rFonts w:eastAsia="Calibri"/>
        </w:rPr>
        <w:t xml:space="preserve">). </w:t>
      </w:r>
    </w:p>
    <w:p w:rsidR="00A34120" w:rsidRDefault="006A031C" w:rsidP="00774252">
      <w:pPr>
        <w:numPr>
          <w:ilvl w:val="0"/>
          <w:numId w:val="40"/>
        </w:numPr>
        <w:tabs>
          <w:tab w:val="left" w:pos="630"/>
          <w:tab w:val="left" w:pos="720"/>
          <w:tab w:val="left" w:pos="993"/>
          <w:tab w:val="left" w:pos="1170"/>
        </w:tabs>
        <w:spacing w:line="360" w:lineRule="auto"/>
        <w:ind w:left="0" w:firstLine="720"/>
        <w:jc w:val="both"/>
      </w:pPr>
      <w:r w:rsidRPr="00B13567">
        <w:rPr>
          <w:rFonts w:eastAsia="Calibri"/>
          <w:bCs/>
        </w:rPr>
        <w:t xml:space="preserve">Vendimet gjyqësore që japin gjykatat e të gjitha niveleve në përfundim të gjykimit, përbëjnë aktin procedural kryesor të </w:t>
      </w:r>
      <w:r w:rsidR="008F391A">
        <w:rPr>
          <w:rFonts w:eastAsia="Calibri"/>
          <w:bCs/>
        </w:rPr>
        <w:t xml:space="preserve">të </w:t>
      </w:r>
      <w:r w:rsidRPr="00B13567">
        <w:rPr>
          <w:rFonts w:eastAsia="Calibri"/>
          <w:bCs/>
        </w:rPr>
        <w:t>gjithë procesit gjyqësor. Ato përmbledhin dhe finalizojnë përfundimisht qëndrimet që mban gjykata lidhur me çështjen në gjykim</w:t>
      </w:r>
      <w:r w:rsidRPr="00B13567">
        <w:rPr>
          <w:rFonts w:eastAsia="Calibri"/>
        </w:rPr>
        <w:t xml:space="preserve"> (</w:t>
      </w:r>
      <w:r w:rsidRPr="00B13567">
        <w:rPr>
          <w:rFonts w:eastAsia="Calibri"/>
          <w:i/>
        </w:rPr>
        <w:t>shih vendimet nr. 23, datë 04.11.2008; nr. 7, datë 09.03.2009</w:t>
      </w:r>
      <w:r w:rsidR="008F391A">
        <w:rPr>
          <w:rFonts w:eastAsia="Calibri"/>
          <w:i/>
        </w:rPr>
        <w:t xml:space="preserve"> dhe</w:t>
      </w:r>
      <w:r w:rsidRPr="00B13567">
        <w:rPr>
          <w:rFonts w:eastAsia="Calibri"/>
          <w:i/>
        </w:rPr>
        <w:t xml:space="preserve"> nr. 8, datë 16.03.2011 të Gjykatës Kushtetuese</w:t>
      </w:r>
      <w:r w:rsidRPr="00B13567">
        <w:rPr>
          <w:rFonts w:eastAsia="Calibri"/>
        </w:rPr>
        <w:t xml:space="preserve">). </w:t>
      </w:r>
      <w:r w:rsidR="00D425CF" w:rsidRPr="00D91E55">
        <w:t>Në jurisprudencën e saj, Gjykata ka theksuar domosdoshmërinë e arsyetimit të vendimeve gjyqësore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Arsyetimi i vendimeve është element thelbësor i një vendimi të drejtë. Vendimi gjyqësor në çdo rast duhet të jetë logjik, i rregullt në formë dhe i qartë në përmbajtje. Në tërësinë e tij ai duhet konsideruar si një unitet, në të cilin pjesët përbërëse janë të lidhura ngushtësisht mes tyre. Ato duhet të jenë në shërbim dhe funksion të njëra-tjetrës. Argumentet e pjesës arsyetuese duhet të jenë të bazuara dhe të lidhura logjikisht, duke respektuar rregullat e mendimit të drejtë. Ato duhet të formojnë një përmbajtje koherente brenda vendimit, i cili përjashton çdo kundërthënie</w:t>
      </w:r>
      <w:r w:rsidR="00896DEF">
        <w:t xml:space="preserve">, </w:t>
      </w:r>
      <w:r w:rsidR="00D425CF" w:rsidRPr="00D91E55">
        <w:t>kontradiksion të hapur ose të fshehtë. Këto argumente duhet të jenë, gjithashtu, të mjaftueshme për të mbështetur dhe pranuar pjesën urdhëruese (</w:t>
      </w:r>
      <w:r w:rsidR="00D425CF" w:rsidRPr="00B13567">
        <w:rPr>
          <w:i/>
        </w:rPr>
        <w:t xml:space="preserve">shih vendimet nr.3, datë 23.01.2014; </w:t>
      </w:r>
      <w:r w:rsidR="00D425CF" w:rsidRPr="00B13567">
        <w:rPr>
          <w:bCs/>
          <w:i/>
          <w:iCs/>
        </w:rPr>
        <w:t xml:space="preserve">nr.3, datë 19.02.2013; </w:t>
      </w:r>
      <w:r w:rsidR="00D425CF" w:rsidRPr="00B13567">
        <w:rPr>
          <w:i/>
        </w:rPr>
        <w:t>nr.20, datë 13.04.2012; nr.8, datë 16.03.2011; nr 38, datë 30.12.2010; nr.7, datë 09.03.2009; nr.23, datё 04.11.2008</w:t>
      </w:r>
      <w:r w:rsidR="00896DEF">
        <w:rPr>
          <w:i/>
        </w:rPr>
        <w:t xml:space="preserve"> dhe</w:t>
      </w:r>
      <w:r w:rsidR="00D425CF" w:rsidRPr="00B13567">
        <w:rPr>
          <w:bCs/>
          <w:i/>
        </w:rPr>
        <w:t xml:space="preserve"> nr.11, datë 02.04.2008</w:t>
      </w:r>
      <w:r w:rsidR="00D425CF" w:rsidRPr="00B13567">
        <w:rPr>
          <w:i/>
        </w:rPr>
        <w:t xml:space="preserve"> të Gjykatës Kushtetuese)</w:t>
      </w:r>
      <w:r w:rsidR="00D425CF" w:rsidRPr="00B13567">
        <w:rPr>
          <w:bCs/>
          <w:i/>
        </w:rPr>
        <w:t>.</w:t>
      </w:r>
    </w:p>
    <w:p w:rsidR="00A34120" w:rsidRDefault="00D425CF" w:rsidP="00774252">
      <w:pPr>
        <w:numPr>
          <w:ilvl w:val="0"/>
          <w:numId w:val="40"/>
        </w:numPr>
        <w:tabs>
          <w:tab w:val="left" w:pos="630"/>
          <w:tab w:val="left" w:pos="720"/>
          <w:tab w:val="left" w:pos="993"/>
          <w:tab w:val="left" w:pos="1170"/>
        </w:tabs>
        <w:spacing w:line="360" w:lineRule="auto"/>
        <w:ind w:left="0" w:firstLine="720"/>
        <w:jc w:val="both"/>
      </w:pPr>
      <w:r w:rsidRPr="00D91E55">
        <w:lastRenderedPageBreak/>
        <w:t>Zbatimi i këtij parimi është vlerësuar nga Gjykata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referencat në ligjin e zbatueshëm dhe nëse respekton të gjitha elementet e sipërpërmendura. Gjykata ka theksuar, gjithashtu, se detyrimi për të respektuar këtë standard ndryshon në varësi të rrethanave të çështjes konkrete dhe natyrës së vendimit dhe se masa e arsyetimit varet nga natyra e vendimit në fjalë (</w:t>
      </w:r>
      <w:r w:rsidRPr="00A34120">
        <w:rPr>
          <w:i/>
        </w:rPr>
        <w:t>shih vendimin nr.25, datë 10.06.2011 të Gjykatës Kushtetuese</w:t>
      </w:r>
      <w:r w:rsidRPr="00D91E55">
        <w:t>).</w:t>
      </w:r>
    </w:p>
    <w:p w:rsidR="00D425CF" w:rsidRPr="00A34120" w:rsidRDefault="00D425CF" w:rsidP="00774252">
      <w:pPr>
        <w:numPr>
          <w:ilvl w:val="0"/>
          <w:numId w:val="40"/>
        </w:numPr>
        <w:tabs>
          <w:tab w:val="left" w:pos="630"/>
          <w:tab w:val="left" w:pos="720"/>
          <w:tab w:val="left" w:pos="993"/>
          <w:tab w:val="left" w:pos="1170"/>
        </w:tabs>
        <w:spacing w:line="360" w:lineRule="auto"/>
        <w:ind w:left="0" w:firstLine="720"/>
        <w:jc w:val="both"/>
      </w:pPr>
      <w:r w:rsidRPr="00D91E55">
        <w:t xml:space="preserve">Bazuar në parashikimet e normave procedurale që përcaktojnë elementet që duhet të përmbajë një vendim gjyqësor, si dhe bazuar në veçoritë e gjykimit në Gjykatën e Lartë dhe në praktikën e saj, Gjykata çmon se në funksion të realizimit të vëzhgimit publik të administrimit të drejtësisë si dhe të koherencës së vendimit gjyqësor, në mënyrë që përfundimi i procesit të vlerësimit të gjykatës të jetë i mbështetur, përmbajtja e vendimit përbën premisën për përmbushjen e standardit të arsyetimit të vendimit, i cili në këtë drejtim duhet të plotësojë dhe të përmbajë kriteret e përcaktuara nga dispozitat ligjore përkatëse dhe ato të zhvilluara nga jurisprudenca kushtetuese e konsoliduar </w:t>
      </w:r>
      <w:r w:rsidRPr="00A34120">
        <w:rPr>
          <w:i/>
        </w:rPr>
        <w:t xml:space="preserve">(shih vendimet </w:t>
      </w:r>
      <w:r w:rsidRPr="00A34120">
        <w:rPr>
          <w:bCs/>
          <w:i/>
          <w:iCs/>
        </w:rPr>
        <w:t>nr.3, datë 19.02.2013</w:t>
      </w:r>
      <w:r w:rsidR="007C4C8C">
        <w:rPr>
          <w:bCs/>
          <w:i/>
          <w:iCs/>
        </w:rPr>
        <w:t xml:space="preserve"> dhe</w:t>
      </w:r>
      <w:r w:rsidRPr="00A34120">
        <w:rPr>
          <w:i/>
          <w:iCs/>
        </w:rPr>
        <w:t xml:space="preserve"> nr.36, datë 25.07.2013</w:t>
      </w:r>
      <w:r w:rsidRPr="00A34120">
        <w:rPr>
          <w:bCs/>
          <w:i/>
          <w:iCs/>
        </w:rPr>
        <w:t xml:space="preserve"> të Gjykatës Kushtetuese)</w:t>
      </w:r>
      <w:r w:rsidRPr="00D91E55">
        <w:t>.</w:t>
      </w:r>
      <w:r w:rsidRPr="00A34120">
        <w:rPr>
          <w:i/>
          <w:iCs/>
        </w:rPr>
        <w:t xml:space="preserve"> </w:t>
      </w:r>
    </w:p>
    <w:p w:rsidR="00D425CF" w:rsidRDefault="00D425CF" w:rsidP="00774252">
      <w:pPr>
        <w:numPr>
          <w:ilvl w:val="0"/>
          <w:numId w:val="40"/>
        </w:numPr>
        <w:tabs>
          <w:tab w:val="left" w:pos="720"/>
          <w:tab w:val="left" w:pos="900"/>
          <w:tab w:val="left" w:pos="1170"/>
        </w:tabs>
        <w:spacing w:line="360" w:lineRule="auto"/>
        <w:ind w:left="0" w:firstLine="720"/>
        <w:jc w:val="both"/>
      </w:pPr>
      <w:r w:rsidRPr="00D91E55">
        <w:t xml:space="preserve"> Në çështjen konkrete, Gjykata vëren se</w:t>
      </w:r>
      <w:r w:rsidRPr="00D91E55">
        <w:rPr>
          <w:bCs/>
        </w:rPr>
        <w:t xml:space="preserve"> vendimi i kundërshtuar i Kolegjit Civil të Gjykatës së Lartë, që ka vendosur mospranimin e rekursit, </w:t>
      </w:r>
      <w:r w:rsidRPr="00D91E55">
        <w:t>përmban në pjesën e tij hyrëse palët ndërgjyqëse, objektin e padisë, disponimet e gjykatave më të ulëta</w:t>
      </w:r>
      <w:r>
        <w:t xml:space="preserve">, ndërkohë që mungojnë </w:t>
      </w:r>
      <w:r w:rsidRPr="00D91E55">
        <w:t>shkaqet në bazë të të cilave kërkues</w:t>
      </w:r>
      <w:r>
        <w:t>ja</w:t>
      </w:r>
      <w:r w:rsidRPr="00D91E55">
        <w:t xml:space="preserve"> ka pretenduar </w:t>
      </w:r>
      <w:r>
        <w:t xml:space="preserve">ndryshimin e vendimit të Gjykatës së Shkallës së Parë dhe të </w:t>
      </w:r>
      <w:r w:rsidRPr="00D91E55">
        <w:t xml:space="preserve">Gjykatës së Apelit </w:t>
      </w:r>
      <w:r>
        <w:t>Durrës.</w:t>
      </w:r>
    </w:p>
    <w:p w:rsidR="002C34C5" w:rsidRDefault="00D425CF" w:rsidP="00774252">
      <w:pPr>
        <w:numPr>
          <w:ilvl w:val="0"/>
          <w:numId w:val="40"/>
        </w:numPr>
        <w:tabs>
          <w:tab w:val="left" w:pos="720"/>
          <w:tab w:val="left" w:pos="900"/>
          <w:tab w:val="left" w:pos="1170"/>
        </w:tabs>
        <w:spacing w:line="360" w:lineRule="auto"/>
        <w:ind w:left="0" w:firstLine="720"/>
        <w:jc w:val="both"/>
      </w:pPr>
      <w:r>
        <w:rPr>
          <w:rFonts w:eastAsia="Calibri"/>
        </w:rPr>
        <w:t xml:space="preserve">Nga përmbajtja e vendimit të </w:t>
      </w:r>
      <w:r w:rsidRPr="00D81DCB">
        <w:rPr>
          <w:rFonts w:eastAsia="Calibri"/>
        </w:rPr>
        <w:t>Ko</w:t>
      </w:r>
      <w:r>
        <w:rPr>
          <w:rFonts w:eastAsia="Calibri"/>
        </w:rPr>
        <w:t>legjit Civil konstatohet se n</w:t>
      </w:r>
      <w:r w:rsidRPr="00D81DCB">
        <w:rPr>
          <w:rFonts w:eastAsia="Calibri"/>
        </w:rPr>
        <w:t>ë pjesën arsyetuese</w:t>
      </w:r>
      <w:r w:rsidRPr="00D81DCB">
        <w:rPr>
          <w:rFonts w:eastAsia="Calibri"/>
          <w:lang w:eastAsia="ja-JP"/>
        </w:rPr>
        <w:t xml:space="preserve"> </w:t>
      </w:r>
      <w:r>
        <w:rPr>
          <w:rFonts w:eastAsia="Calibri"/>
          <w:lang w:eastAsia="ja-JP"/>
        </w:rPr>
        <w:t xml:space="preserve">ai pasqyron vetëm </w:t>
      </w:r>
      <w:r w:rsidRPr="00D81DCB">
        <w:rPr>
          <w:rFonts w:eastAsia="Calibri"/>
          <w:lang w:eastAsia="ja-JP"/>
        </w:rPr>
        <w:t xml:space="preserve">përfundimin se rekursi i paraqitur nuk përmban shkaqe nga ato që parashikon neni 472 i KPC-së, duke vendosur, në pjesën urdhëruese, mospranimin e tij. </w:t>
      </w:r>
      <w:r>
        <w:rPr>
          <w:rFonts w:eastAsia="Calibri"/>
          <w:lang w:eastAsia="ja-JP"/>
        </w:rPr>
        <w:t>Në të tilla raste, Gjykata ka arsyetuar se n</w:t>
      </w:r>
      <w:r w:rsidRPr="00D81DCB">
        <w:rPr>
          <w:rFonts w:eastAsia="Calibri"/>
          <w:lang w:eastAsia="ja-JP"/>
        </w:rPr>
        <w:t>ga leximi në tërësi i vendimit</w:t>
      </w:r>
      <w:r w:rsidRPr="00D81DCB">
        <w:rPr>
          <w:rFonts w:eastAsia="Calibri"/>
          <w:bCs/>
          <w:lang w:eastAsia="ja-JP"/>
        </w:rPr>
        <w:t xml:space="preserve">, </w:t>
      </w:r>
      <w:r w:rsidRPr="00D81DCB">
        <w:rPr>
          <w:rFonts w:eastAsia="Calibri"/>
          <w:bCs/>
        </w:rPr>
        <w:t>rr</w:t>
      </w:r>
      <w:r w:rsidRPr="00D81DCB">
        <w:rPr>
          <w:rFonts w:eastAsia="Calibri"/>
        </w:rPr>
        <w:t>jedha logjike e përdorur në vendim nuk rezulton e qartë dhe e kuptueshme dhe se argumentet e pjesës hyrëse nuk janë të lidhura logjikisht me pjesën arsyetuese dhe atë urdhëruese. Ato nuk formojnë një përmbajtje koherente brenda vendimit, çka bën që përmbajtj</w:t>
      </w:r>
      <w:r w:rsidR="00C95BE5">
        <w:rPr>
          <w:rFonts w:eastAsia="Calibri"/>
        </w:rPr>
        <w:t>a dhe arsyetimi i tij të mos ken</w:t>
      </w:r>
      <w:r w:rsidRPr="00D81DCB">
        <w:rPr>
          <w:rFonts w:eastAsia="Calibri"/>
        </w:rPr>
        <w:t xml:space="preserve">ë një harmoni të brendshme. Për rrjedhojë, </w:t>
      </w:r>
      <w:r w:rsidRPr="00D81DCB">
        <w:rPr>
          <w:rFonts w:eastAsia="Calibri"/>
          <w:lang w:eastAsia="ja-JP"/>
        </w:rPr>
        <w:t>mungesa e paraqitjes së shkaqeve të parashtruara në rekurs</w:t>
      </w:r>
      <w:r w:rsidRPr="00D81DCB">
        <w:rPr>
          <w:rFonts w:eastAsia="Calibri"/>
          <w:bCs/>
          <w:lang w:eastAsia="ja-JP"/>
        </w:rPr>
        <w:t>, në vend</w:t>
      </w:r>
      <w:r w:rsidRPr="00D81DCB">
        <w:rPr>
          <w:rFonts w:eastAsia="Calibri"/>
          <w:lang w:eastAsia="ja-JP"/>
        </w:rPr>
        <w:t>imin e</w:t>
      </w:r>
      <w:r w:rsidRPr="00D81DCB">
        <w:rPr>
          <w:rFonts w:eastAsia="Calibri"/>
        </w:rPr>
        <w:t xml:space="preserve"> </w:t>
      </w:r>
      <w:r w:rsidRPr="00D81DCB">
        <w:rPr>
          <w:rFonts w:eastAsia="Calibri"/>
          <w:lang w:eastAsia="ja-JP"/>
        </w:rPr>
        <w:t>Kolegjit Civil të Gjykatës së Lartë</w:t>
      </w:r>
      <w:r w:rsidR="00C95BE5">
        <w:rPr>
          <w:rFonts w:eastAsia="Calibri"/>
          <w:lang w:eastAsia="ja-JP"/>
        </w:rPr>
        <w:t>,</w:t>
      </w:r>
      <w:r w:rsidRPr="00D81DCB">
        <w:rPr>
          <w:rFonts w:eastAsia="Calibri"/>
          <w:lang w:eastAsia="ja-JP"/>
        </w:rPr>
        <w:t xml:space="preserve"> </w:t>
      </w:r>
      <w:r>
        <w:rPr>
          <w:rFonts w:eastAsia="Calibri"/>
          <w:lang w:eastAsia="ja-JP"/>
        </w:rPr>
        <w:t xml:space="preserve">nga jurisprudence kushtetuese vlerësohet se </w:t>
      </w:r>
      <w:r w:rsidRPr="00D81DCB">
        <w:rPr>
          <w:rFonts w:eastAsia="Calibri"/>
          <w:lang w:eastAsia="ja-JP"/>
        </w:rPr>
        <w:t>përbën një të metë, të pakapërcyeshme, të përmbajtjes së vendimit dhe të arsyetimit të gjykatës.</w:t>
      </w:r>
    </w:p>
    <w:p w:rsidR="00520C48" w:rsidRPr="00FB74B3" w:rsidRDefault="00D425CF" w:rsidP="00774252">
      <w:pPr>
        <w:numPr>
          <w:ilvl w:val="0"/>
          <w:numId w:val="40"/>
        </w:numPr>
        <w:tabs>
          <w:tab w:val="left" w:pos="720"/>
          <w:tab w:val="left" w:pos="900"/>
          <w:tab w:val="left" w:pos="1170"/>
        </w:tabs>
        <w:spacing w:line="360" w:lineRule="auto"/>
        <w:ind w:left="0" w:firstLine="720"/>
        <w:jc w:val="both"/>
      </w:pPr>
      <w:r w:rsidRPr="002C34C5">
        <w:rPr>
          <w:rFonts w:eastAsia="Calibri"/>
          <w:lang w:eastAsia="ja-JP"/>
        </w:rPr>
        <w:lastRenderedPageBreak/>
        <w:t>N</w:t>
      </w:r>
      <w:r w:rsidRPr="002C34C5">
        <w:rPr>
          <w:rFonts w:eastAsia="Calibri"/>
        </w:rPr>
        <w:t xml:space="preserve">isur nga sa u argumentua më sipër, si dhe bazuar në </w:t>
      </w:r>
      <w:r w:rsidR="0075057D" w:rsidRPr="002C34C5">
        <w:rPr>
          <w:rFonts w:eastAsia="Calibri"/>
        </w:rPr>
        <w:t xml:space="preserve">jurisprudencën e </w:t>
      </w:r>
      <w:r w:rsidRPr="002C34C5">
        <w:rPr>
          <w:rFonts w:eastAsia="Calibri"/>
        </w:rPr>
        <w:t xml:space="preserve">konsoliduar të Gjykatës në këtë drejtim, edhe në rastin konkret në shqyrtim, </w:t>
      </w:r>
      <w:r w:rsidR="0075057D" w:rsidRPr="002C34C5">
        <w:rPr>
          <w:rFonts w:eastAsia="Calibri"/>
        </w:rPr>
        <w:t xml:space="preserve">Gjykata vlerëson se </w:t>
      </w:r>
      <w:r w:rsidRPr="002C34C5">
        <w:rPr>
          <w:rFonts w:eastAsia="Calibri"/>
          <w:lang w:eastAsia="ja-JP"/>
        </w:rPr>
        <w:t xml:space="preserve">vendimi i Kolegjit Civil të Gjykatës së Lartë, që ka vendosur mospranimin e rekursit, nuk ka respektuar standardin kushtetues të arsyetimit të vendimit gjyqësor. </w:t>
      </w:r>
      <w:r w:rsidR="00520C48" w:rsidRPr="00FB74B3">
        <w:rPr>
          <w:rFonts w:eastAsia="Calibri"/>
          <w:lang w:eastAsia="ja-JP"/>
        </w:rPr>
        <w:t>M</w:t>
      </w:r>
      <w:r w:rsidR="00520C48" w:rsidRPr="00FB74B3">
        <w:rPr>
          <w:rFonts w:eastAsia="Calibri"/>
        </w:rPr>
        <w:t>ungesa e paraqitjes së shkaqeve të parashtruara në rekurs</w:t>
      </w:r>
      <w:r w:rsidR="00520C48" w:rsidRPr="00FB74B3">
        <w:rPr>
          <w:rFonts w:eastAsia="Calibri"/>
          <w:bCs/>
        </w:rPr>
        <w:t>, në vend</w:t>
      </w:r>
      <w:r w:rsidR="00520C48" w:rsidRPr="00FB74B3">
        <w:rPr>
          <w:rFonts w:eastAsia="Calibri"/>
        </w:rPr>
        <w:t>imin e Kolegjit Civil të Gjykatës së Lartë (dhomë këshillimi), përbën një të metë, të pakapërcyeshme, të përmbajtjes së vendimit dhe të arsyetimit të gjykatës, duke krijuar dyshime edhe për realizimin efektiv të së drejtës së aksesit në gjykatë nga ana e kërkueses.</w:t>
      </w:r>
    </w:p>
    <w:p w:rsidR="00D425CF" w:rsidRPr="00A34120" w:rsidRDefault="00D425CF" w:rsidP="00774252">
      <w:pPr>
        <w:numPr>
          <w:ilvl w:val="0"/>
          <w:numId w:val="40"/>
        </w:numPr>
        <w:tabs>
          <w:tab w:val="left" w:pos="720"/>
          <w:tab w:val="left" w:pos="900"/>
          <w:tab w:val="left" w:pos="1170"/>
        </w:tabs>
        <w:spacing w:line="360" w:lineRule="auto"/>
        <w:ind w:left="0" w:firstLine="720"/>
        <w:jc w:val="both"/>
      </w:pPr>
      <w:r w:rsidRPr="00520C48">
        <w:rPr>
          <w:rFonts w:eastAsia="Calibri"/>
        </w:rPr>
        <w:t>Për rrjedhoj</w:t>
      </w:r>
      <w:r w:rsidRPr="00520C48">
        <w:rPr>
          <w:rFonts w:eastAsia="Calibri"/>
          <w:lang w:eastAsia="ja-JP"/>
        </w:rPr>
        <w:t>ë</w:t>
      </w:r>
      <w:r w:rsidRPr="00520C48">
        <w:rPr>
          <w:rFonts w:eastAsia="Calibri"/>
        </w:rPr>
        <w:t xml:space="preserve">, </w:t>
      </w:r>
      <w:r w:rsidR="0075057D" w:rsidRPr="00520C48">
        <w:rPr>
          <w:rFonts w:eastAsia="Calibri"/>
        </w:rPr>
        <w:t>Gjykata arrin n</w:t>
      </w:r>
      <w:r w:rsidR="00A34120" w:rsidRPr="00520C48">
        <w:rPr>
          <w:rFonts w:eastAsia="Calibri"/>
        </w:rPr>
        <w:t>ë</w:t>
      </w:r>
      <w:r w:rsidR="0075057D" w:rsidRPr="00520C48">
        <w:rPr>
          <w:rFonts w:eastAsia="Calibri"/>
        </w:rPr>
        <w:t xml:space="preserve"> p</w:t>
      </w:r>
      <w:r w:rsidR="00A34120" w:rsidRPr="00520C48">
        <w:rPr>
          <w:rFonts w:eastAsia="Calibri"/>
        </w:rPr>
        <w:t>ë</w:t>
      </w:r>
      <w:r w:rsidR="0075057D" w:rsidRPr="00520C48">
        <w:rPr>
          <w:rFonts w:eastAsia="Calibri"/>
        </w:rPr>
        <w:t>rfundimin se</w:t>
      </w:r>
      <w:r w:rsidR="00520C48" w:rsidRPr="00087103">
        <w:rPr>
          <w:rFonts w:eastAsia="Calibri"/>
        </w:rPr>
        <w:t xml:space="preserve"> </w:t>
      </w:r>
      <w:r w:rsidR="0075057D" w:rsidRPr="00520C48">
        <w:rPr>
          <w:rFonts w:eastAsia="Calibri"/>
        </w:rPr>
        <w:t>pretendimi</w:t>
      </w:r>
      <w:r w:rsidRPr="00520C48">
        <w:rPr>
          <w:rFonts w:eastAsia="Calibri"/>
        </w:rPr>
        <w:t xml:space="preserve"> i kërkueses </w:t>
      </w:r>
      <w:r w:rsidR="0075057D" w:rsidRPr="00520C48">
        <w:rPr>
          <w:rFonts w:eastAsia="Calibri"/>
        </w:rPr>
        <w:t>p</w:t>
      </w:r>
      <w:r w:rsidR="00A34120" w:rsidRPr="00520C48">
        <w:rPr>
          <w:rFonts w:eastAsia="Calibri"/>
        </w:rPr>
        <w:t>ë</w:t>
      </w:r>
      <w:r w:rsidR="0075057D" w:rsidRPr="00520C48">
        <w:rPr>
          <w:rFonts w:eastAsia="Calibri"/>
        </w:rPr>
        <w:t>r mosres</w:t>
      </w:r>
      <w:r w:rsidR="00A34120" w:rsidRPr="00520C48">
        <w:rPr>
          <w:rFonts w:eastAsia="Calibri"/>
        </w:rPr>
        <w:t>p</w:t>
      </w:r>
      <w:r w:rsidR="0075057D" w:rsidRPr="00520C48">
        <w:rPr>
          <w:rFonts w:eastAsia="Calibri"/>
        </w:rPr>
        <w:t>ektimin e standardit kushtetues t</w:t>
      </w:r>
      <w:r w:rsidR="00A34120" w:rsidRPr="00520C48">
        <w:rPr>
          <w:rFonts w:eastAsia="Calibri"/>
        </w:rPr>
        <w:t>ë</w:t>
      </w:r>
      <w:r w:rsidR="0075057D" w:rsidRPr="00520C48">
        <w:rPr>
          <w:rFonts w:eastAsia="Calibri"/>
        </w:rPr>
        <w:t xml:space="preserve"> arsyetimit </w:t>
      </w:r>
      <w:r w:rsidRPr="00520C48">
        <w:rPr>
          <w:rFonts w:eastAsia="Calibri"/>
        </w:rPr>
        <w:t xml:space="preserve">është i bazuar dhe duhet pranuar.  </w:t>
      </w:r>
    </w:p>
    <w:p w:rsidR="00B83AFB" w:rsidRPr="00EF55DC" w:rsidRDefault="00B83AFB" w:rsidP="00EF55DC">
      <w:pPr>
        <w:widowControl w:val="0"/>
        <w:tabs>
          <w:tab w:val="left" w:pos="1440"/>
        </w:tabs>
        <w:spacing w:line="360" w:lineRule="auto"/>
        <w:ind w:left="720"/>
        <w:jc w:val="both"/>
      </w:pPr>
    </w:p>
    <w:p w:rsidR="003814A3" w:rsidRPr="00EF55DC" w:rsidRDefault="003814A3" w:rsidP="00EF55DC">
      <w:pPr>
        <w:spacing w:line="360" w:lineRule="auto"/>
        <w:ind w:left="360"/>
        <w:jc w:val="center"/>
      </w:pPr>
      <w:r w:rsidRPr="00EF55DC">
        <w:rPr>
          <w:b/>
          <w:bCs/>
        </w:rPr>
        <w:t>PËR KËTO ARSYE,</w:t>
      </w:r>
    </w:p>
    <w:p w:rsidR="003814A3" w:rsidRPr="00EF55DC" w:rsidRDefault="003814A3" w:rsidP="00EF55DC">
      <w:pPr>
        <w:spacing w:line="360" w:lineRule="auto"/>
        <w:ind w:firstLine="720"/>
        <w:jc w:val="both"/>
      </w:pPr>
      <w:r w:rsidRPr="00EF55DC">
        <w:t>Gjykata Kushtetuese e Republikës së Shqipërisë, në mbështetje të nen</w:t>
      </w:r>
      <w:r w:rsidR="00C95BE5">
        <w:t>eve</w:t>
      </w:r>
      <w:r w:rsidRPr="00EF55DC">
        <w:t xml:space="preserve"> 131, shkronja “f”, dhe 134, pika 1, shkronja “g”, të Kushtetutës</w:t>
      </w:r>
      <w:r w:rsidR="00C95BE5">
        <w:t xml:space="preserve">, si dhe </w:t>
      </w:r>
      <w:r w:rsidRPr="00EF55DC">
        <w:t>neneve 72 dhe 77 të ligjit nr.8577, datë 10.02.2000 “Për organizimin dhe funksionimin e Gjykatës Kushtetuese të Republikës së Shqipërisë”, me shumicë votash,</w:t>
      </w:r>
      <w:r w:rsidR="00705876" w:rsidRPr="00EF55DC">
        <w:rPr>
          <w:b/>
          <w:bCs/>
        </w:rPr>
        <w:t xml:space="preserve"> </w:t>
      </w:r>
    </w:p>
    <w:p w:rsidR="00B24FA2" w:rsidRDefault="00B24FA2" w:rsidP="00EF55DC">
      <w:pPr>
        <w:spacing w:line="360" w:lineRule="auto"/>
        <w:ind w:left="360"/>
        <w:jc w:val="center"/>
        <w:rPr>
          <w:b/>
          <w:bCs/>
        </w:rPr>
      </w:pPr>
    </w:p>
    <w:p w:rsidR="003814A3" w:rsidRPr="00EF55DC" w:rsidRDefault="003814A3" w:rsidP="00EF55DC">
      <w:pPr>
        <w:spacing w:line="360" w:lineRule="auto"/>
        <w:ind w:left="360"/>
        <w:jc w:val="center"/>
      </w:pPr>
      <w:r w:rsidRPr="00EF55DC">
        <w:rPr>
          <w:b/>
          <w:bCs/>
        </w:rPr>
        <w:t>V E N D O S I:</w:t>
      </w:r>
    </w:p>
    <w:p w:rsidR="00AD2E05" w:rsidRDefault="003814A3" w:rsidP="00AD2E05">
      <w:pPr>
        <w:numPr>
          <w:ilvl w:val="0"/>
          <w:numId w:val="26"/>
        </w:numPr>
        <w:spacing w:line="360" w:lineRule="auto"/>
        <w:jc w:val="both"/>
      </w:pPr>
      <w:r w:rsidRPr="00EF55DC">
        <w:t xml:space="preserve">Pranimin </w:t>
      </w:r>
      <w:r w:rsidR="002C34C5">
        <w:t>pjesërisht t</w:t>
      </w:r>
      <w:r w:rsidR="00A34120">
        <w:t>ë</w:t>
      </w:r>
      <w:r w:rsidR="0095384B">
        <w:t xml:space="preserve"> </w:t>
      </w:r>
      <w:r w:rsidRPr="00EF55DC">
        <w:t>kërkesës.</w:t>
      </w:r>
    </w:p>
    <w:p w:rsidR="00AD2E05" w:rsidRPr="00AD2E05" w:rsidRDefault="003814A3" w:rsidP="00AD2E05">
      <w:pPr>
        <w:numPr>
          <w:ilvl w:val="0"/>
          <w:numId w:val="26"/>
        </w:numPr>
        <w:spacing w:line="360" w:lineRule="auto"/>
        <w:jc w:val="both"/>
      </w:pPr>
      <w:r w:rsidRPr="00EF55DC">
        <w:t>Shfuqizimin e vendimit</w:t>
      </w:r>
      <w:r w:rsidRPr="00AD2E05">
        <w:rPr>
          <w:b/>
        </w:rPr>
        <w:t xml:space="preserve"> </w:t>
      </w:r>
      <w:r w:rsidR="00AD2E05" w:rsidRPr="00AD2E05">
        <w:rPr>
          <w:rFonts w:eastAsia="MS Mincho"/>
        </w:rPr>
        <w:t xml:space="preserve">nr. </w:t>
      </w:r>
      <w:r w:rsidR="006A7683">
        <w:rPr>
          <w:rFonts w:eastAsia="MS Mincho"/>
        </w:rPr>
        <w:t xml:space="preserve">00-2012-1189, </w:t>
      </w:r>
      <w:r w:rsidR="00AD2E05" w:rsidRPr="00AD2E05">
        <w:rPr>
          <w:rFonts w:eastAsia="MS Mincho"/>
        </w:rPr>
        <w:t>datë 2</w:t>
      </w:r>
      <w:r w:rsidR="006A7683">
        <w:rPr>
          <w:rFonts w:eastAsia="MS Mincho"/>
        </w:rPr>
        <w:t>5.</w:t>
      </w:r>
      <w:r w:rsidR="00AD2E05" w:rsidRPr="00AD2E05">
        <w:rPr>
          <w:rFonts w:eastAsia="MS Mincho"/>
        </w:rPr>
        <w:t>0</w:t>
      </w:r>
      <w:r w:rsidR="006A7683">
        <w:rPr>
          <w:rFonts w:eastAsia="MS Mincho"/>
        </w:rPr>
        <w:t>5</w:t>
      </w:r>
      <w:r w:rsidR="00AD2E05" w:rsidRPr="00AD2E05">
        <w:rPr>
          <w:rFonts w:eastAsia="MS Mincho"/>
        </w:rPr>
        <w:t>.2012 të Kolegjit Civil të Gjykatës së Lartë</w:t>
      </w:r>
      <w:r w:rsidR="004464CE">
        <w:rPr>
          <w:rFonts w:eastAsia="MS Mincho"/>
        </w:rPr>
        <w:t>.</w:t>
      </w:r>
      <w:r w:rsidR="00AD2E05" w:rsidRPr="00AD2E05">
        <w:rPr>
          <w:rFonts w:eastAsia="MS Mincho"/>
        </w:rPr>
        <w:t xml:space="preserve"> </w:t>
      </w:r>
    </w:p>
    <w:p w:rsidR="003814A3" w:rsidRPr="00EF55DC" w:rsidRDefault="003814A3" w:rsidP="00EF55DC">
      <w:pPr>
        <w:numPr>
          <w:ilvl w:val="0"/>
          <w:numId w:val="26"/>
        </w:numPr>
        <w:spacing w:line="360" w:lineRule="auto"/>
        <w:jc w:val="both"/>
      </w:pPr>
      <w:r w:rsidRPr="00EF55DC">
        <w:t xml:space="preserve">Dërgimin e çështjes për rishqyrtim në Gjykatën e Lartë. </w:t>
      </w:r>
    </w:p>
    <w:p w:rsidR="003814A3" w:rsidRPr="00EF55DC" w:rsidRDefault="003814A3" w:rsidP="00EF55DC">
      <w:pPr>
        <w:spacing w:line="360" w:lineRule="auto"/>
        <w:ind w:firstLine="284"/>
        <w:jc w:val="both"/>
      </w:pPr>
      <w:r w:rsidRPr="00EF55DC">
        <w:t>Ky vendim është përfundimtar, i formës së prerë dhe hyn në fuqi ditën e botimit në Fletoren Zyrtare.</w:t>
      </w:r>
    </w:p>
    <w:p w:rsidR="00AD2E05" w:rsidRDefault="00AD2E05" w:rsidP="00EF55DC">
      <w:pPr>
        <w:spacing w:line="360" w:lineRule="auto"/>
        <w:rPr>
          <w:b/>
          <w:bCs/>
        </w:rPr>
      </w:pPr>
    </w:p>
    <w:p w:rsidR="00C47215" w:rsidRDefault="00C47215" w:rsidP="00C47215">
      <w:pPr>
        <w:spacing w:line="360" w:lineRule="auto"/>
        <w:jc w:val="center"/>
        <w:rPr>
          <w:rStyle w:val="wordhighlighted"/>
          <w:b/>
        </w:rPr>
      </w:pPr>
      <w:r>
        <w:rPr>
          <w:b/>
          <w:bCs/>
        </w:rPr>
        <w:br w:type="page"/>
      </w:r>
      <w:r w:rsidRPr="007745CE">
        <w:rPr>
          <w:rStyle w:val="wordhighlighted"/>
          <w:b/>
        </w:rPr>
        <w:lastRenderedPageBreak/>
        <w:t>M</w:t>
      </w:r>
      <w:r>
        <w:rPr>
          <w:rStyle w:val="wordhighlighted"/>
          <w:b/>
        </w:rPr>
        <w:t xml:space="preserve">ENDIM PAKICE </w:t>
      </w:r>
    </w:p>
    <w:p w:rsidR="00B24FA2" w:rsidRDefault="00B24FA2" w:rsidP="00C47215">
      <w:pPr>
        <w:spacing w:line="360" w:lineRule="auto"/>
        <w:jc w:val="center"/>
        <w:rPr>
          <w:rStyle w:val="wordhighlighted"/>
          <w:b/>
        </w:rPr>
      </w:pPr>
    </w:p>
    <w:p w:rsidR="00C47215" w:rsidRPr="005F5200" w:rsidRDefault="00C47215" w:rsidP="00C47215">
      <w:pPr>
        <w:spacing w:line="360" w:lineRule="auto"/>
        <w:ind w:firstLine="720"/>
        <w:jc w:val="both"/>
      </w:pPr>
      <w:r w:rsidRPr="005F5200">
        <w:t>Për arsye se nuk ndaj të njëjtin qëndrim me shumicën lidhur me përfundimin e arritur në këtë çështje dhe argumentet mbi të cilat mbështetet ky qëndrim, e çmoj</w:t>
      </w:r>
      <w:r>
        <w:t xml:space="preserve"> të rëndësishme të shprehem</w:t>
      </w:r>
      <w:r w:rsidRPr="005F5200">
        <w:t xml:space="preserve"> me mendim pakice.  </w:t>
      </w:r>
    </w:p>
    <w:p w:rsidR="00C47215" w:rsidRDefault="00C47215" w:rsidP="00C47215">
      <w:pPr>
        <w:numPr>
          <w:ilvl w:val="0"/>
          <w:numId w:val="39"/>
        </w:numPr>
        <w:tabs>
          <w:tab w:val="left" w:pos="720"/>
          <w:tab w:val="left" w:pos="1080"/>
        </w:tabs>
        <w:spacing w:line="360" w:lineRule="auto"/>
        <w:ind w:left="0" w:firstLine="720"/>
        <w:jc w:val="both"/>
      </w:pPr>
      <w:r>
        <w:t xml:space="preserve">Kërkuesja ka pretenduar cenimin e të drejtës për një proces të rregullt ligjor, duke parashtruar argumente të cilat janë vlerësuar drejt nga shumica se </w:t>
      </w:r>
      <w:r w:rsidRPr="00CF4433">
        <w:t>kanë të bëjnë me çështje të interpretimit të ligjit, marrjes së provave dhe vlerësimit të tyre</w:t>
      </w:r>
      <w:r>
        <w:t xml:space="preserve"> nga gjykatat e juridiksionit të zakonshëm</w:t>
      </w:r>
      <w:r w:rsidRPr="00CF4433">
        <w:t xml:space="preserve">. </w:t>
      </w:r>
      <w:r>
        <w:t xml:space="preserve">Për shkak të natyrës </w:t>
      </w:r>
      <w:r w:rsidRPr="00CF4433">
        <w:t xml:space="preserve">ligjore </w:t>
      </w:r>
      <w:r>
        <w:t>të</w:t>
      </w:r>
      <w:r w:rsidRPr="00CF4433">
        <w:t xml:space="preserve"> pretendimeve, </w:t>
      </w:r>
      <w:r>
        <w:t xml:space="preserve">shumica arriti në përfundimin se </w:t>
      </w:r>
      <w:r w:rsidRPr="00CF4433">
        <w:rPr>
          <w:bCs/>
        </w:rPr>
        <w:t xml:space="preserve">kërkuesja nuk legjitimohet </w:t>
      </w:r>
      <w:r w:rsidRPr="00CF4433">
        <w:rPr>
          <w:bCs/>
          <w:i/>
        </w:rPr>
        <w:t>ratione materiae</w:t>
      </w:r>
      <w:r>
        <w:rPr>
          <w:bCs/>
          <w:i/>
        </w:rPr>
        <w:t xml:space="preserve">, </w:t>
      </w:r>
      <w:r w:rsidRPr="00563245">
        <w:rPr>
          <w:bCs/>
        </w:rPr>
        <w:t>pasi</w:t>
      </w:r>
      <w:r w:rsidRPr="00CF4433">
        <w:rPr>
          <w:bCs/>
        </w:rPr>
        <w:t xml:space="preserve"> zgjidhja e tyre nuk përfshihet në juridiksionin kushtetues, por i përket juridiksionit të gjykatave të zakonshme. </w:t>
      </w:r>
    </w:p>
    <w:p w:rsidR="00C47215" w:rsidRPr="00227E5C" w:rsidRDefault="00C47215" w:rsidP="00C47215">
      <w:pPr>
        <w:numPr>
          <w:ilvl w:val="0"/>
          <w:numId w:val="39"/>
        </w:numPr>
        <w:tabs>
          <w:tab w:val="left" w:pos="720"/>
          <w:tab w:val="left" w:pos="1080"/>
        </w:tabs>
        <w:spacing w:line="360" w:lineRule="auto"/>
        <w:ind w:left="0" w:firstLine="720"/>
        <w:jc w:val="both"/>
      </w:pPr>
      <w:r>
        <w:t xml:space="preserve">Përfundimi i mësipërm rikonfimon qëndrimin e konsoliduar se </w:t>
      </w:r>
      <w:r w:rsidRPr="00FE1088">
        <w:t xml:space="preserve">Gjykata </w:t>
      </w:r>
      <w:r>
        <w:t xml:space="preserve">Kushtetuese </w:t>
      </w:r>
      <w:r w:rsidRPr="00FE1088">
        <w:t>e analizon ligjin, faktin dhe rrethanën përkatëse në atë dimension që ka ndikim mbi të drejtat dhe liritë e parashikuara nga nenet 42 dhe 131, shkronja “f”</w:t>
      </w:r>
      <w:r>
        <w:t>,</w:t>
      </w:r>
      <w:r w:rsidRPr="00FE1088">
        <w:t xml:space="preserve"> të Kushtetutës, gjë e cila përbën juridiksionin e saj kushtetues.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w:t>
      </w:r>
      <w:r w:rsidRPr="00FE1088">
        <w:rPr>
          <w:i/>
        </w:rPr>
        <w:t xml:space="preserve">shih vendimet nr.14, datë 03.06.2009 dhe </w:t>
      </w:r>
      <w:r w:rsidRPr="00FE1088">
        <w:rPr>
          <w:bCs/>
          <w:i/>
        </w:rPr>
        <w:t>nr. 16, dat</w:t>
      </w:r>
      <w:r w:rsidRPr="00FE1088">
        <w:rPr>
          <w:i/>
        </w:rPr>
        <w:t>ë 19.04.2013 të Gjykatës Kushtetuese</w:t>
      </w:r>
      <w:r w:rsidRPr="00FE1088">
        <w:t>).</w:t>
      </w:r>
    </w:p>
    <w:p w:rsidR="00C47215" w:rsidRDefault="00C47215" w:rsidP="00C47215">
      <w:pPr>
        <w:numPr>
          <w:ilvl w:val="0"/>
          <w:numId w:val="39"/>
        </w:numPr>
        <w:tabs>
          <w:tab w:val="left" w:pos="720"/>
          <w:tab w:val="left" w:pos="1080"/>
        </w:tabs>
        <w:spacing w:line="360" w:lineRule="auto"/>
        <w:ind w:left="0" w:firstLine="720"/>
        <w:jc w:val="both"/>
      </w:pPr>
      <w:r w:rsidRPr="00321B4A">
        <w:t>Nisur nga konstatimi i mësipërm dhe natyra e pretendimeve t</w:t>
      </w:r>
      <w:r>
        <w:t>ë</w:t>
      </w:r>
      <w:r w:rsidRPr="00321B4A">
        <w:t xml:space="preserve"> parashtruara në kërkesë</w:t>
      </w:r>
      <w:r>
        <w:t>,</w:t>
      </w:r>
      <w:r w:rsidRPr="00321B4A">
        <w:t xml:space="preserve"> shumica nuk duhet </w:t>
      </w:r>
      <w:r>
        <w:t xml:space="preserve">të </w:t>
      </w:r>
      <w:r w:rsidRPr="00321B4A">
        <w:t xml:space="preserve">kishte vijuar me analizën e pretendimit për cenimin e standardit të arsyetimit për dy arsye: </w:t>
      </w:r>
      <w:r w:rsidRPr="00E43880">
        <w:rPr>
          <w:i/>
        </w:rPr>
        <w:t>S</w:t>
      </w:r>
      <w:r w:rsidRPr="00321B4A">
        <w:rPr>
          <w:i/>
        </w:rPr>
        <w:t>ë pari</w:t>
      </w:r>
      <w:r w:rsidRPr="00321B4A">
        <w:t xml:space="preserve">, nga përmbajtja e kërkesës nuk konstatohet që kërkuesja të ketë pretenduar mosrespektimin e standardit të arsyetimit të vendimit gjyqësor nga Gjykata e Lartë për mungesë të shkaqeve në vendimin e mospranimit të rekursit. Në këtë kuptim, shumica ka analizuar kryesisht standardin kushtetues pa pasur asnjë pretendim nga ana e kërkueses. </w:t>
      </w:r>
      <w:r w:rsidRPr="00321B4A">
        <w:rPr>
          <w:i/>
        </w:rPr>
        <w:t>Së dyti</w:t>
      </w:r>
      <w:r w:rsidRPr="00321B4A">
        <w:t>, edhe sikur të pranojmë se jo gjithmonë Gjykata duhet të ketë qëndrime vetëkufizuese, por mund të jetë disi aktiviste në qëndrimet e saj, në rastin konkret ky qëndrim është tërësisht kontradiktor</w:t>
      </w:r>
      <w:r>
        <w:t>. Nga njëra anë s</w:t>
      </w:r>
      <w:r w:rsidRPr="00321B4A">
        <w:t>humica i cilëson pretendimet e parashtruara nga kërkuesja si të natyrës ligjore dhe nuk konstaton mosrespektimin e ndonjë</w:t>
      </w:r>
      <w:r>
        <w:t>rit</w:t>
      </w:r>
      <w:r w:rsidRPr="00321B4A">
        <w:t xml:space="preserve"> prej aspekteve të së drejtës për një proces të rregullt ligjor</w:t>
      </w:r>
      <w:r>
        <w:t>, n</w:t>
      </w:r>
      <w:r w:rsidRPr="00321B4A">
        <w:t xml:space="preserve">ga ana tjetër arrin në përfundimin se mungesa e shkaqeve (ligjore dhe jo kushtetuese) në vendimin e mospranimit të rekursit krijon dyshimin serioz për  cenimin e të drejtës së aksesit në Gjykatën e Lartë. </w:t>
      </w:r>
    </w:p>
    <w:p w:rsidR="00C47215" w:rsidRPr="00942D1B" w:rsidRDefault="00C47215" w:rsidP="00C47215">
      <w:pPr>
        <w:numPr>
          <w:ilvl w:val="0"/>
          <w:numId w:val="39"/>
        </w:numPr>
        <w:tabs>
          <w:tab w:val="left" w:pos="720"/>
          <w:tab w:val="left" w:pos="1080"/>
        </w:tabs>
        <w:spacing w:line="360" w:lineRule="auto"/>
        <w:ind w:left="0" w:firstLine="720"/>
        <w:jc w:val="both"/>
      </w:pPr>
      <w:r w:rsidRPr="00942D1B">
        <w:rPr>
          <w:bCs/>
        </w:rPr>
        <w:lastRenderedPageBreak/>
        <w:t>Gjykata, referuar natyrës së gjykimit kushtetues të kërkesave individuale, ka tashmë një qëndrim të konsoliduar, sipas të cilit kontrolli i respektimit të standardeve kushtetuese për një proces të rregullt ligjor, është funksion edhe i gjykatave të zakonshme, për më tepër i Gjykatës së Lartë. Një linjë e tillë lidhur me raportin ndërmjet juridiksionit kushtetues dhe juridiksionit të gjykatave të zakonshme, kur është rasti i shqyrtimit nga ana e Gjykatës Kushtetuese të kërkesave individuale, në bazë të nenit 131/f të Kushtetutës, udhëhiqet nga parimi i subsidiaritetit (komplementaritetit) (</w:t>
      </w:r>
      <w:r w:rsidRPr="00942D1B">
        <w:rPr>
          <w:bCs/>
          <w:i/>
        </w:rPr>
        <w:t>shih vendimet nr. 4, datë 28.02.2006</w:t>
      </w:r>
      <w:r>
        <w:rPr>
          <w:bCs/>
          <w:i/>
        </w:rPr>
        <w:t xml:space="preserve"> dhe</w:t>
      </w:r>
      <w:r w:rsidRPr="00942D1B">
        <w:rPr>
          <w:bCs/>
          <w:i/>
        </w:rPr>
        <w:t xml:space="preserve"> nr. 19, datë 02.04.2012 </w:t>
      </w:r>
      <w:r w:rsidRPr="00942D1B">
        <w:rPr>
          <w:i/>
        </w:rPr>
        <w:t>të Gjykatës Kushtetuese</w:t>
      </w:r>
      <w:r w:rsidRPr="00942D1B">
        <w:rPr>
          <w:bCs/>
        </w:rPr>
        <w:t xml:space="preserve">). </w:t>
      </w:r>
      <w:r w:rsidRPr="00942D1B">
        <w:t xml:space="preserve">Në këtë kuptim, </w:t>
      </w:r>
      <w:r w:rsidRPr="00942D1B">
        <w:rPr>
          <w:rFonts w:eastAsia="MS Mincho"/>
        </w:rPr>
        <w:t>Gjykata duhet të investohet vetëm nëse konstaton shkelje të parimeve</w:t>
      </w:r>
      <w:r>
        <w:rPr>
          <w:rFonts w:eastAsia="MS Mincho"/>
        </w:rPr>
        <w:t xml:space="preserve"> të procesit të rregullt ligjor</w:t>
      </w:r>
      <w:r w:rsidRPr="00942D1B">
        <w:rPr>
          <w:rFonts w:eastAsia="MS Mincho"/>
        </w:rPr>
        <w:t xml:space="preserve"> dhe nëse këto shkelje nuk janë konstatuar dhe riparuar nga Gjykata e Lartë. Në rast se Gjykata nuk arrin në një përfundim të tillë, pra që procesi i zhvilluar në të tri</w:t>
      </w:r>
      <w:r>
        <w:rPr>
          <w:rFonts w:eastAsia="MS Mincho"/>
        </w:rPr>
        <w:t>a</w:t>
      </w:r>
      <w:r w:rsidRPr="00942D1B">
        <w:rPr>
          <w:rFonts w:eastAsia="MS Mincho"/>
        </w:rPr>
        <w:t xml:space="preserve"> shkallët e gjykimit është i cenueshëm nga pikëpamja kushtetuese, ajo nuk mundet të shfuqizojë një vendim të Gjykatës së Lartë vetëm me arsyetimin se ai nuk përmban shkaqet e paraqitura në rekurs. </w:t>
      </w:r>
    </w:p>
    <w:p w:rsidR="00C47215" w:rsidRPr="00217634" w:rsidRDefault="00C47215" w:rsidP="00C47215">
      <w:pPr>
        <w:numPr>
          <w:ilvl w:val="0"/>
          <w:numId w:val="39"/>
        </w:numPr>
        <w:tabs>
          <w:tab w:val="left" w:pos="720"/>
          <w:tab w:val="left" w:pos="1080"/>
        </w:tabs>
        <w:spacing w:line="360" w:lineRule="auto"/>
        <w:ind w:left="0" w:firstLine="720"/>
        <w:jc w:val="both"/>
      </w:pPr>
      <w:r w:rsidRPr="00942D1B">
        <w:t xml:space="preserve">Ashtu siç jam shprehur edhe më parë në çështje të kësaj natyre, ky qëndrim i shumicës, megjithëse shërben për të ndrequr një mangësi në formulimin e vendimeve të mospranimit nga kolegjet e Gjykatës së Lartë, është i padobishëm dhe, mbi të gjitha, i jep vendimmarrjes të shumicës një karakter formal, ashtu siç </w:t>
      </w:r>
      <w:r>
        <w:t>e</w:t>
      </w:r>
      <w:r w:rsidRPr="00942D1B">
        <w:t>dhe po ndodh në praktikë. Vendosja nga Kolegji Civil e shkaqeve të re</w:t>
      </w:r>
      <w:r>
        <w:t>kursit dhe riparimi i të metës s</w:t>
      </w:r>
      <w:r w:rsidRPr="00942D1B">
        <w:t>ë cilësuar të pakapërcyeshme</w:t>
      </w:r>
      <w:r>
        <w:t>,</w:t>
      </w:r>
      <w:r w:rsidRPr="00942D1B">
        <w:t xml:space="preserve"> nga njëra anë përbën riparim të vesit kushtetues të vendimit, </w:t>
      </w:r>
      <w:r>
        <w:t xml:space="preserve">por </w:t>
      </w:r>
      <w:r w:rsidRPr="00942D1B">
        <w:t>nga perspektiva e kërkueses krijon pritshmëri iluzore, aspak reale dhe praktike, çka nuk duhet të jetë qëllimi i drejtësisë kushtetuese.</w:t>
      </w:r>
      <w:r>
        <w:t xml:space="preserve"> </w:t>
      </w:r>
      <w:r w:rsidRPr="00217634">
        <w:rPr>
          <w:rFonts w:eastAsia="MS Mincho"/>
        </w:rPr>
        <w:t xml:space="preserve">Megjithatë, </w:t>
      </w:r>
      <w:r>
        <w:rPr>
          <w:rFonts w:eastAsia="MS Mincho"/>
        </w:rPr>
        <w:t xml:space="preserve">rikonfirmoj </w:t>
      </w:r>
      <w:r w:rsidRPr="00217634">
        <w:rPr>
          <w:rFonts w:eastAsia="MS Mincho"/>
        </w:rPr>
        <w:t>vlerësimin t</w:t>
      </w:r>
      <w:r>
        <w:rPr>
          <w:rFonts w:eastAsia="MS Mincho"/>
        </w:rPr>
        <w:t>im</w:t>
      </w:r>
      <w:r w:rsidRPr="00217634">
        <w:rPr>
          <w:rFonts w:eastAsia="MS Mincho"/>
        </w:rPr>
        <w:t xml:space="preserve"> </w:t>
      </w:r>
      <w:r>
        <w:rPr>
          <w:rFonts w:eastAsia="MS Mincho"/>
        </w:rPr>
        <w:t xml:space="preserve">se </w:t>
      </w:r>
      <w:r w:rsidRPr="00217634">
        <w:rPr>
          <w:rFonts w:eastAsia="MS Mincho"/>
        </w:rPr>
        <w:t xml:space="preserve">kjo nuk e pengon </w:t>
      </w:r>
      <w:r>
        <w:rPr>
          <w:rFonts w:eastAsia="MS Mincho"/>
        </w:rPr>
        <w:t xml:space="preserve">shumicën </w:t>
      </w:r>
      <w:r w:rsidRPr="00217634">
        <w:rPr>
          <w:rFonts w:eastAsia="MS Mincho"/>
        </w:rPr>
        <w:t xml:space="preserve">që, edhe në rastet e mospranimit të kërkesës t’i tërheqë vërejtje Gjykatës së Lartë në mënyrë që të riparojë këto të meta në të ardhmen. </w:t>
      </w:r>
    </w:p>
    <w:p w:rsidR="00C47215" w:rsidRPr="004167D5" w:rsidRDefault="00C47215" w:rsidP="00C47215">
      <w:pPr>
        <w:numPr>
          <w:ilvl w:val="0"/>
          <w:numId w:val="39"/>
        </w:numPr>
        <w:tabs>
          <w:tab w:val="left" w:pos="720"/>
          <w:tab w:val="left" w:pos="1080"/>
        </w:tabs>
        <w:spacing w:line="360" w:lineRule="auto"/>
        <w:ind w:left="0" w:firstLine="720"/>
        <w:jc w:val="both"/>
      </w:pPr>
      <w:r w:rsidRPr="004167D5">
        <w:t>Në këtë kuptim</w:t>
      </w:r>
      <w:r>
        <w:t>,</w:t>
      </w:r>
      <w:r w:rsidRPr="004167D5">
        <w:t xml:space="preserve"> </w:t>
      </w:r>
      <w:r>
        <w:t xml:space="preserve">vlerësoj se </w:t>
      </w:r>
      <w:r w:rsidRPr="004167D5">
        <w:t xml:space="preserve">qëndrimi i shumicës për shfuqizimin e vendimit të Gjykatës së Lartë është i gabuar, pasi ndërhyrja jo vetëm ka qenë kryesisht, por në rastin konkret ajo ka tejkaluar qëndrimin e jurisprudencës kushtetuese se Gjykata Kushtetuese ndërhyn kur përmes veprimeve të tyre gjykatat e zakonshme cenojnë të drejtën për një proces të rregullt ligjor. </w:t>
      </w:r>
    </w:p>
    <w:p w:rsidR="00C47215" w:rsidRDefault="00C47215" w:rsidP="009471D1">
      <w:pPr>
        <w:tabs>
          <w:tab w:val="left" w:pos="720"/>
          <w:tab w:val="left" w:pos="1080"/>
        </w:tabs>
        <w:spacing w:line="360" w:lineRule="auto"/>
        <w:jc w:val="both"/>
        <w:rPr>
          <w:rStyle w:val="wordhighlighted"/>
          <w:b/>
        </w:rPr>
      </w:pPr>
      <w:r>
        <w:rPr>
          <w:rStyle w:val="wordhighlighted"/>
          <w:b/>
        </w:rPr>
        <w:tab/>
      </w:r>
      <w:r w:rsidRPr="00AD7D70">
        <w:rPr>
          <w:rStyle w:val="wordhighlighted"/>
          <w:b/>
        </w:rPr>
        <w:t>A</w:t>
      </w:r>
      <w:r w:rsidR="009471D1">
        <w:rPr>
          <w:rStyle w:val="wordhighlighted"/>
          <w:b/>
        </w:rPr>
        <w:t xml:space="preserve">nëtare: </w:t>
      </w:r>
      <w:r>
        <w:rPr>
          <w:rStyle w:val="wordhighlighted"/>
          <w:b/>
        </w:rPr>
        <w:t>Vitore Tusha</w:t>
      </w:r>
    </w:p>
    <w:p w:rsidR="00D55A71" w:rsidRPr="00EF55DC" w:rsidRDefault="00D55A71" w:rsidP="00D55A71">
      <w:pPr>
        <w:spacing w:line="360" w:lineRule="auto"/>
        <w:jc w:val="both"/>
        <w:rPr>
          <w:rFonts w:eastAsia="Calibri"/>
          <w:lang w:eastAsia="fr-FR"/>
        </w:rPr>
      </w:pPr>
    </w:p>
    <w:sectPr w:rsidR="00D55A71" w:rsidRPr="00EF55DC" w:rsidSect="00F64B2B">
      <w:footerReference w:type="even" r:id="rId7"/>
      <w:footerReference w:type="default" r:id="rId8"/>
      <w:footerReference w:type="first" r:id="rId9"/>
      <w:pgSz w:w="12240" w:h="15840"/>
      <w:pgMar w:top="1530" w:right="1440" w:bottom="1170" w:left="1440" w:header="720" w:footer="5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68" w:rsidRDefault="00A16668">
      <w:r>
        <w:separator/>
      </w:r>
    </w:p>
  </w:endnote>
  <w:endnote w:type="continuationSeparator" w:id="0">
    <w:p w:rsidR="00A16668" w:rsidRDefault="00A1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UPC">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F0" w:rsidRDefault="008837F0" w:rsidP="00974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7F0" w:rsidRDefault="008837F0" w:rsidP="00CE0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71" w:rsidRDefault="00D55A71">
    <w:pPr>
      <w:pStyle w:val="Footer"/>
      <w:jc w:val="right"/>
    </w:pPr>
    <w:r>
      <w:fldChar w:fldCharType="begin"/>
    </w:r>
    <w:r>
      <w:instrText xml:space="preserve"> PAGE   \* MERGEFORMAT </w:instrText>
    </w:r>
    <w:r>
      <w:fldChar w:fldCharType="separate"/>
    </w:r>
    <w:r w:rsidR="00094549">
      <w:rPr>
        <w:noProof/>
      </w:rPr>
      <w:t>2</w:t>
    </w:r>
    <w:r>
      <w:fldChar w:fldCharType="end"/>
    </w:r>
  </w:p>
  <w:p w:rsidR="00D55A71" w:rsidRDefault="00D55A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A2" w:rsidRDefault="00B24FA2">
    <w:pPr>
      <w:pStyle w:val="Footer"/>
      <w:jc w:val="right"/>
    </w:pPr>
    <w:r>
      <w:fldChar w:fldCharType="begin"/>
    </w:r>
    <w:r>
      <w:instrText xml:space="preserve"> PAGE   \* MERGEFORMAT </w:instrText>
    </w:r>
    <w:r>
      <w:fldChar w:fldCharType="separate"/>
    </w:r>
    <w:r w:rsidR="00094549">
      <w:rPr>
        <w:noProof/>
      </w:rPr>
      <w:t>1</w:t>
    </w:r>
    <w:r>
      <w:fldChar w:fldCharType="end"/>
    </w:r>
  </w:p>
  <w:p w:rsidR="0011129E" w:rsidRPr="00B24FA2" w:rsidRDefault="0011129E" w:rsidP="00B24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68" w:rsidRDefault="00A16668">
      <w:r>
        <w:separator/>
      </w:r>
    </w:p>
  </w:footnote>
  <w:footnote w:type="continuationSeparator" w:id="0">
    <w:p w:rsidR="00A16668" w:rsidRDefault="00A16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945"/>
    <w:multiLevelType w:val="hybridMultilevel"/>
    <w:tmpl w:val="A3604150"/>
    <w:lvl w:ilvl="0" w:tplc="1BA61B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B662D1"/>
    <w:multiLevelType w:val="multilevel"/>
    <w:tmpl w:val="6A4EC78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DB436C"/>
    <w:multiLevelType w:val="hybridMultilevel"/>
    <w:tmpl w:val="CF14DEC2"/>
    <w:lvl w:ilvl="0" w:tplc="596851E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929A0"/>
    <w:multiLevelType w:val="multilevel"/>
    <w:tmpl w:val="2E4A4606"/>
    <w:lvl w:ilvl="0">
      <w:start w:val="41"/>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45AD5"/>
    <w:multiLevelType w:val="multilevel"/>
    <w:tmpl w:val="7FFA03C4"/>
    <w:lvl w:ilvl="0">
      <w:start w:val="3"/>
      <w:numFmt w:val="upperRoman"/>
      <w:lvlText w:val="%1."/>
      <w:lvlJc w:val="left"/>
      <w:pPr>
        <w:ind w:left="1429" w:hanging="720"/>
      </w:pPr>
      <w:rPr>
        <w:rFonts w:hint="default"/>
        <w:b/>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12D63C94"/>
    <w:multiLevelType w:val="hybridMultilevel"/>
    <w:tmpl w:val="FA6CAE84"/>
    <w:lvl w:ilvl="0" w:tplc="0D94575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E97B26"/>
    <w:multiLevelType w:val="hybridMultilevel"/>
    <w:tmpl w:val="8662D60C"/>
    <w:lvl w:ilvl="0" w:tplc="124ADE48">
      <w:start w:val="3"/>
      <w:numFmt w:val="upperLetter"/>
      <w:lvlText w:val="%1."/>
      <w:lvlJc w:val="left"/>
      <w:pPr>
        <w:tabs>
          <w:tab w:val="num" w:pos="1080"/>
        </w:tabs>
        <w:ind w:left="1080" w:hanging="360"/>
      </w:pPr>
      <w:rPr>
        <w:rFonts w:hint="default"/>
      </w:rPr>
    </w:lvl>
    <w:lvl w:ilvl="1" w:tplc="266689F2">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D655CD8"/>
    <w:multiLevelType w:val="multilevel"/>
    <w:tmpl w:val="2EB2CDA8"/>
    <w:lvl w:ilvl="0">
      <w:start w:val="18"/>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42EE6"/>
    <w:multiLevelType w:val="multilevel"/>
    <w:tmpl w:val="C5A615CE"/>
    <w:lvl w:ilvl="0">
      <w:start w:val="21"/>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3564F8"/>
    <w:multiLevelType w:val="hybridMultilevel"/>
    <w:tmpl w:val="99F26CF8"/>
    <w:lvl w:ilvl="0" w:tplc="C376FA3C">
      <w:start w:val="1"/>
      <w:numFmt w:val="lowerRoman"/>
      <w:lvlText w:val="(%1)"/>
      <w:lvlJc w:val="left"/>
      <w:pPr>
        <w:tabs>
          <w:tab w:val="num" w:pos="1380"/>
        </w:tabs>
        <w:ind w:left="1380" w:hanging="840"/>
      </w:pPr>
      <w:rPr>
        <w:rFonts w:eastAsia="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tentative="1">
      <w:start w:val="1"/>
      <w:numFmt w:val="bullet"/>
      <w:lvlText w:val="o"/>
      <w:lvlJc w:val="left"/>
      <w:pPr>
        <w:ind w:left="1364" w:hanging="360"/>
      </w:pPr>
      <w:rPr>
        <w:rFonts w:ascii="Courier New" w:hAnsi="Courier New" w:cs="Courier New" w:hint="default"/>
      </w:rPr>
    </w:lvl>
    <w:lvl w:ilvl="2" w:tplc="041C0005" w:tentative="1">
      <w:start w:val="1"/>
      <w:numFmt w:val="bullet"/>
      <w:lvlText w:val=""/>
      <w:lvlJc w:val="left"/>
      <w:pPr>
        <w:ind w:left="2084" w:hanging="360"/>
      </w:pPr>
      <w:rPr>
        <w:rFonts w:ascii="Wingdings" w:hAnsi="Wingdings" w:hint="default"/>
      </w:rPr>
    </w:lvl>
    <w:lvl w:ilvl="3" w:tplc="041C0001" w:tentative="1">
      <w:start w:val="1"/>
      <w:numFmt w:val="bullet"/>
      <w:lvlText w:val=""/>
      <w:lvlJc w:val="left"/>
      <w:pPr>
        <w:ind w:left="2804" w:hanging="360"/>
      </w:pPr>
      <w:rPr>
        <w:rFonts w:ascii="Symbol" w:hAnsi="Symbol" w:hint="default"/>
      </w:rPr>
    </w:lvl>
    <w:lvl w:ilvl="4" w:tplc="041C0003" w:tentative="1">
      <w:start w:val="1"/>
      <w:numFmt w:val="bullet"/>
      <w:lvlText w:val="o"/>
      <w:lvlJc w:val="left"/>
      <w:pPr>
        <w:ind w:left="3524" w:hanging="360"/>
      </w:pPr>
      <w:rPr>
        <w:rFonts w:ascii="Courier New" w:hAnsi="Courier New" w:cs="Courier New" w:hint="default"/>
      </w:rPr>
    </w:lvl>
    <w:lvl w:ilvl="5" w:tplc="041C0005" w:tentative="1">
      <w:start w:val="1"/>
      <w:numFmt w:val="bullet"/>
      <w:lvlText w:val=""/>
      <w:lvlJc w:val="left"/>
      <w:pPr>
        <w:ind w:left="4244" w:hanging="360"/>
      </w:pPr>
      <w:rPr>
        <w:rFonts w:ascii="Wingdings" w:hAnsi="Wingdings" w:hint="default"/>
      </w:rPr>
    </w:lvl>
    <w:lvl w:ilvl="6" w:tplc="041C0001" w:tentative="1">
      <w:start w:val="1"/>
      <w:numFmt w:val="bullet"/>
      <w:lvlText w:val=""/>
      <w:lvlJc w:val="left"/>
      <w:pPr>
        <w:ind w:left="4964" w:hanging="360"/>
      </w:pPr>
      <w:rPr>
        <w:rFonts w:ascii="Symbol" w:hAnsi="Symbol" w:hint="default"/>
      </w:rPr>
    </w:lvl>
    <w:lvl w:ilvl="7" w:tplc="041C0003" w:tentative="1">
      <w:start w:val="1"/>
      <w:numFmt w:val="bullet"/>
      <w:lvlText w:val="o"/>
      <w:lvlJc w:val="left"/>
      <w:pPr>
        <w:ind w:left="5684" w:hanging="360"/>
      </w:pPr>
      <w:rPr>
        <w:rFonts w:ascii="Courier New" w:hAnsi="Courier New" w:cs="Courier New" w:hint="default"/>
      </w:rPr>
    </w:lvl>
    <w:lvl w:ilvl="8" w:tplc="041C0005" w:tentative="1">
      <w:start w:val="1"/>
      <w:numFmt w:val="bullet"/>
      <w:lvlText w:val=""/>
      <w:lvlJc w:val="left"/>
      <w:pPr>
        <w:ind w:left="6404" w:hanging="360"/>
      </w:pPr>
      <w:rPr>
        <w:rFonts w:ascii="Wingdings" w:hAnsi="Wingdings" w:hint="default"/>
      </w:rPr>
    </w:lvl>
  </w:abstractNum>
  <w:abstractNum w:abstractNumId="11">
    <w:nsid w:val="309A408E"/>
    <w:multiLevelType w:val="multilevel"/>
    <w:tmpl w:val="7C822E10"/>
    <w:lvl w:ilvl="0">
      <w:start w:val="25"/>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7611F"/>
    <w:multiLevelType w:val="multilevel"/>
    <w:tmpl w:val="CEC63DFE"/>
    <w:lvl w:ilvl="0">
      <w:start w:val="1"/>
      <w:numFmt w:val="decimal"/>
      <w:lvlText w:val="%1."/>
      <w:lvlJc w:val="left"/>
      <w:pPr>
        <w:ind w:left="99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50" w:hanging="1800"/>
      </w:pPr>
      <w:rPr>
        <w:rFonts w:hint="default"/>
      </w:rPr>
    </w:lvl>
  </w:abstractNum>
  <w:abstractNum w:abstractNumId="13">
    <w:nsid w:val="33807E8F"/>
    <w:multiLevelType w:val="hybridMultilevel"/>
    <w:tmpl w:val="5518CAFC"/>
    <w:lvl w:ilvl="0" w:tplc="95D822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4874BB"/>
    <w:multiLevelType w:val="hybridMultilevel"/>
    <w:tmpl w:val="BC5EEC8A"/>
    <w:lvl w:ilvl="0" w:tplc="31CE2ACA">
      <w:start w:val="1"/>
      <w:numFmt w:val="upperLetter"/>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45C7DDE"/>
    <w:multiLevelType w:val="hybridMultilevel"/>
    <w:tmpl w:val="FE78F804"/>
    <w:lvl w:ilvl="0" w:tplc="151C44E2">
      <w:start w:val="1"/>
      <w:numFmt w:val="decimal"/>
      <w:lvlText w:val="%1."/>
      <w:lvlJc w:val="left"/>
      <w:pPr>
        <w:ind w:left="1716" w:hanging="9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3D2B3B"/>
    <w:multiLevelType w:val="multilevel"/>
    <w:tmpl w:val="A68013BC"/>
    <w:lvl w:ilvl="0">
      <w:start w:val="7"/>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17">
    <w:nsid w:val="365934D9"/>
    <w:multiLevelType w:val="hybridMultilevel"/>
    <w:tmpl w:val="7E503D34"/>
    <w:lvl w:ilvl="0" w:tplc="59B61BB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91559D"/>
    <w:multiLevelType w:val="multilevel"/>
    <w:tmpl w:val="523E686C"/>
    <w:lvl w:ilvl="0">
      <w:start w:val="20"/>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2D45BF"/>
    <w:multiLevelType w:val="multilevel"/>
    <w:tmpl w:val="C2BAFBC4"/>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AA752F"/>
    <w:multiLevelType w:val="multilevel"/>
    <w:tmpl w:val="CA8ACB1E"/>
    <w:lvl w:ilvl="0">
      <w:start w:val="8"/>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2A5598"/>
    <w:multiLevelType w:val="hybridMultilevel"/>
    <w:tmpl w:val="ABD6A8B4"/>
    <w:lvl w:ilvl="0" w:tplc="B01815D6">
      <w:start w:val="1"/>
      <w:numFmt w:val="upperLetter"/>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D020DCC"/>
    <w:multiLevelType w:val="hybridMultilevel"/>
    <w:tmpl w:val="E9E0F0F4"/>
    <w:lvl w:ilvl="0" w:tplc="02967A42">
      <w:start w:val="7"/>
      <w:numFmt w:val="decimal"/>
      <w:lvlText w:val="%1."/>
      <w:lvlJc w:val="left"/>
      <w:pPr>
        <w:ind w:left="585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809DA"/>
    <w:multiLevelType w:val="hybridMultilevel"/>
    <w:tmpl w:val="8F52A012"/>
    <w:lvl w:ilvl="0" w:tplc="8522D97A">
      <w:start w:val="17"/>
      <w:numFmt w:val="decimal"/>
      <w:lvlText w:val="%1."/>
      <w:lvlJc w:val="left"/>
      <w:pPr>
        <w:ind w:left="786" w:hanging="360"/>
      </w:pPr>
      <w:rPr>
        <w:rFonts w:hint="default"/>
        <w:i w:val="0"/>
      </w:rPr>
    </w:lvl>
    <w:lvl w:ilvl="1" w:tplc="041C0019" w:tentative="1">
      <w:start w:val="1"/>
      <w:numFmt w:val="lowerLetter"/>
      <w:lvlText w:val="%2."/>
      <w:lvlJc w:val="left"/>
      <w:pPr>
        <w:ind w:left="1506" w:hanging="360"/>
      </w:pPr>
    </w:lvl>
    <w:lvl w:ilvl="2" w:tplc="041C001B" w:tentative="1">
      <w:start w:val="1"/>
      <w:numFmt w:val="lowerRoman"/>
      <w:lvlText w:val="%3."/>
      <w:lvlJc w:val="right"/>
      <w:pPr>
        <w:ind w:left="2226" w:hanging="180"/>
      </w:pPr>
    </w:lvl>
    <w:lvl w:ilvl="3" w:tplc="041C000F" w:tentative="1">
      <w:start w:val="1"/>
      <w:numFmt w:val="decimal"/>
      <w:lvlText w:val="%4."/>
      <w:lvlJc w:val="left"/>
      <w:pPr>
        <w:ind w:left="2946" w:hanging="360"/>
      </w:pPr>
    </w:lvl>
    <w:lvl w:ilvl="4" w:tplc="041C0019" w:tentative="1">
      <w:start w:val="1"/>
      <w:numFmt w:val="lowerLetter"/>
      <w:lvlText w:val="%5."/>
      <w:lvlJc w:val="left"/>
      <w:pPr>
        <w:ind w:left="3666" w:hanging="360"/>
      </w:pPr>
    </w:lvl>
    <w:lvl w:ilvl="5" w:tplc="041C001B" w:tentative="1">
      <w:start w:val="1"/>
      <w:numFmt w:val="lowerRoman"/>
      <w:lvlText w:val="%6."/>
      <w:lvlJc w:val="right"/>
      <w:pPr>
        <w:ind w:left="4386" w:hanging="180"/>
      </w:pPr>
    </w:lvl>
    <w:lvl w:ilvl="6" w:tplc="041C000F" w:tentative="1">
      <w:start w:val="1"/>
      <w:numFmt w:val="decimal"/>
      <w:lvlText w:val="%7."/>
      <w:lvlJc w:val="left"/>
      <w:pPr>
        <w:ind w:left="5106" w:hanging="360"/>
      </w:pPr>
    </w:lvl>
    <w:lvl w:ilvl="7" w:tplc="041C0019" w:tentative="1">
      <w:start w:val="1"/>
      <w:numFmt w:val="lowerLetter"/>
      <w:lvlText w:val="%8."/>
      <w:lvlJc w:val="left"/>
      <w:pPr>
        <w:ind w:left="5826" w:hanging="360"/>
      </w:pPr>
    </w:lvl>
    <w:lvl w:ilvl="8" w:tplc="041C001B" w:tentative="1">
      <w:start w:val="1"/>
      <w:numFmt w:val="lowerRoman"/>
      <w:lvlText w:val="%9."/>
      <w:lvlJc w:val="right"/>
      <w:pPr>
        <w:ind w:left="6546" w:hanging="180"/>
      </w:pPr>
    </w:lvl>
  </w:abstractNum>
  <w:abstractNum w:abstractNumId="24">
    <w:nsid w:val="53214FC3"/>
    <w:multiLevelType w:val="hybridMultilevel"/>
    <w:tmpl w:val="50D44B0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B3543"/>
    <w:multiLevelType w:val="hybridMultilevel"/>
    <w:tmpl w:val="4A565AA2"/>
    <w:lvl w:ilvl="0" w:tplc="9418FC20">
      <w:start w:val="1"/>
      <w:numFmt w:val="decimal"/>
      <w:lvlText w:val="%1."/>
      <w:lvlJc w:val="left"/>
      <w:pPr>
        <w:ind w:left="585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568B4B53"/>
    <w:multiLevelType w:val="hybridMultilevel"/>
    <w:tmpl w:val="4EA0A5BA"/>
    <w:lvl w:ilvl="0" w:tplc="B48CDFFC">
      <w:start w:val="9"/>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7">
    <w:nsid w:val="5A250B77"/>
    <w:multiLevelType w:val="multilevel"/>
    <w:tmpl w:val="F79CAAE0"/>
    <w:lvl w:ilvl="0">
      <w:start w:val="16"/>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895488"/>
    <w:multiLevelType w:val="hybridMultilevel"/>
    <w:tmpl w:val="87A43AF8"/>
    <w:lvl w:ilvl="0" w:tplc="D83ACAC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AE6FEA"/>
    <w:multiLevelType w:val="hybridMultilevel"/>
    <w:tmpl w:val="67F82B1E"/>
    <w:lvl w:ilvl="0" w:tplc="C646E5DC">
      <w:start w:val="3"/>
      <w:numFmt w:val="decimal"/>
      <w:lvlText w:val="%1."/>
      <w:lvlJc w:val="left"/>
      <w:pPr>
        <w:ind w:left="1716" w:hanging="9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21571"/>
    <w:multiLevelType w:val="hybridMultilevel"/>
    <w:tmpl w:val="CDE6A158"/>
    <w:lvl w:ilvl="0" w:tplc="E466C5D4">
      <w:start w:val="1"/>
      <w:numFmt w:val="upperRoman"/>
      <w:lvlText w:val="%1)"/>
      <w:lvlJc w:val="left"/>
      <w:pPr>
        <w:ind w:left="1080" w:hanging="72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61D90EF5"/>
    <w:multiLevelType w:val="multilevel"/>
    <w:tmpl w:val="EE6EB992"/>
    <w:lvl w:ilvl="0">
      <w:start w:val="2011"/>
      <w:numFmt w:val="decimal"/>
      <w:lvlText w:val="06.06.%1"/>
      <w:lvlJc w:val="left"/>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812553"/>
    <w:multiLevelType w:val="multilevel"/>
    <w:tmpl w:val="548AA69C"/>
    <w:lvl w:ilvl="0">
      <w:start w:val="2010"/>
      <w:numFmt w:val="decimal"/>
      <w:lvlText w:val="30.12.%1"/>
      <w:lvlJc w:val="left"/>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71ECE"/>
    <w:multiLevelType w:val="multilevel"/>
    <w:tmpl w:val="E70C6CCC"/>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BB79FA"/>
    <w:multiLevelType w:val="hybridMultilevel"/>
    <w:tmpl w:val="4A565AA2"/>
    <w:lvl w:ilvl="0" w:tplc="9418FC20">
      <w:start w:val="1"/>
      <w:numFmt w:val="decimal"/>
      <w:lvlText w:val="%1."/>
      <w:lvlJc w:val="left"/>
      <w:pPr>
        <w:ind w:left="585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94E1D92"/>
    <w:multiLevelType w:val="multilevel"/>
    <w:tmpl w:val="5AE46FB4"/>
    <w:lvl w:ilvl="0">
      <w:start w:val="27"/>
      <w:numFmt w:val="decimal"/>
      <w:lvlText w:val="%1."/>
      <w:lvlJc w:val="left"/>
      <w:rPr>
        <w:rFonts w:ascii="AngsanaUPC" w:eastAsia="AngsanaUPC" w:hAnsi="AngsanaUPC" w:cs="AngsanaUPC"/>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077D5F"/>
    <w:multiLevelType w:val="hybridMultilevel"/>
    <w:tmpl w:val="F08007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15298B"/>
    <w:multiLevelType w:val="multilevel"/>
    <w:tmpl w:val="D474EE0A"/>
    <w:lvl w:ilvl="0">
      <w:start w:val="40"/>
      <w:numFmt w:val="decimal"/>
      <w:lvlText w:val="%1."/>
      <w:lvlJc w:val="left"/>
      <w:rPr>
        <w:rFonts w:ascii="AngsanaUPC" w:eastAsia="AngsanaUPC" w:hAnsi="AngsanaUPC" w:cs="AngsanaUPC"/>
        <w:b w:val="0"/>
        <w:bCs w:val="0"/>
        <w:i w:val="0"/>
        <w:iCs w:val="0"/>
        <w:smallCaps w:val="0"/>
        <w:strike w:val="0"/>
        <w:color w:val="000000"/>
        <w:spacing w:val="8"/>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E72AB"/>
    <w:multiLevelType w:val="hybridMultilevel"/>
    <w:tmpl w:val="4A565AA2"/>
    <w:lvl w:ilvl="0" w:tplc="9418FC20">
      <w:start w:val="1"/>
      <w:numFmt w:val="decimal"/>
      <w:lvlText w:val="%1."/>
      <w:lvlJc w:val="left"/>
      <w:pPr>
        <w:ind w:left="585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EB65C0B"/>
    <w:multiLevelType w:val="hybridMultilevel"/>
    <w:tmpl w:val="9C7A95E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0"/>
  </w:num>
  <w:num w:numId="3">
    <w:abstractNumId w:val="6"/>
  </w:num>
  <w:num w:numId="4">
    <w:abstractNumId w:val="4"/>
  </w:num>
  <w:num w:numId="5">
    <w:abstractNumId w:val="28"/>
  </w:num>
  <w:num w:numId="6">
    <w:abstractNumId w:val="15"/>
  </w:num>
  <w:num w:numId="7">
    <w:abstractNumId w:val="9"/>
  </w:num>
  <w:num w:numId="8">
    <w:abstractNumId w:val="1"/>
  </w:num>
  <w:num w:numId="9">
    <w:abstractNumId w:val="5"/>
  </w:num>
  <w:num w:numId="10">
    <w:abstractNumId w:val="27"/>
  </w:num>
  <w:num w:numId="11">
    <w:abstractNumId w:val="33"/>
  </w:num>
  <w:num w:numId="12">
    <w:abstractNumId w:val="18"/>
  </w:num>
  <w:num w:numId="13">
    <w:abstractNumId w:val="11"/>
  </w:num>
  <w:num w:numId="14">
    <w:abstractNumId w:val="20"/>
  </w:num>
  <w:num w:numId="15">
    <w:abstractNumId w:val="37"/>
  </w:num>
  <w:num w:numId="16">
    <w:abstractNumId w:val="19"/>
  </w:num>
  <w:num w:numId="17">
    <w:abstractNumId w:val="7"/>
  </w:num>
  <w:num w:numId="18">
    <w:abstractNumId w:val="8"/>
  </w:num>
  <w:num w:numId="19">
    <w:abstractNumId w:val="35"/>
  </w:num>
  <w:num w:numId="20">
    <w:abstractNumId w:val="32"/>
  </w:num>
  <w:num w:numId="21">
    <w:abstractNumId w:val="3"/>
  </w:num>
  <w:num w:numId="22">
    <w:abstractNumId w:val="31"/>
  </w:num>
  <w:num w:numId="23">
    <w:abstractNumId w:val="13"/>
  </w:num>
  <w:num w:numId="24">
    <w:abstractNumId w:val="24"/>
  </w:num>
  <w:num w:numId="25">
    <w:abstractNumId w:val="39"/>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9"/>
  </w:num>
  <w:num w:numId="29">
    <w:abstractNumId w:val="17"/>
  </w:num>
  <w:num w:numId="30">
    <w:abstractNumId w:val="38"/>
  </w:num>
  <w:num w:numId="31">
    <w:abstractNumId w:val="16"/>
  </w:num>
  <w:num w:numId="32">
    <w:abstractNumId w:val="30"/>
  </w:num>
  <w:num w:numId="33">
    <w:abstractNumId w:val="21"/>
  </w:num>
  <w:num w:numId="34">
    <w:abstractNumId w:val="26"/>
  </w:num>
  <w:num w:numId="35">
    <w:abstractNumId w:val="14"/>
  </w:num>
  <w:num w:numId="36">
    <w:abstractNumId w:val="25"/>
  </w:num>
  <w:num w:numId="37">
    <w:abstractNumId w:val="23"/>
  </w:num>
  <w:num w:numId="38">
    <w:abstractNumId w:val="12"/>
  </w:num>
  <w:num w:numId="39">
    <w:abstractNumId w:val="3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66"/>
    <w:rsid w:val="000003EC"/>
    <w:rsid w:val="0000170A"/>
    <w:rsid w:val="000026B9"/>
    <w:rsid w:val="000045E0"/>
    <w:rsid w:val="00005BF4"/>
    <w:rsid w:val="00006960"/>
    <w:rsid w:val="00010219"/>
    <w:rsid w:val="00010CAE"/>
    <w:rsid w:val="00017035"/>
    <w:rsid w:val="000207A6"/>
    <w:rsid w:val="00021DC0"/>
    <w:rsid w:val="00023796"/>
    <w:rsid w:val="000277B9"/>
    <w:rsid w:val="000373DD"/>
    <w:rsid w:val="000420B4"/>
    <w:rsid w:val="00052C45"/>
    <w:rsid w:val="00055EEB"/>
    <w:rsid w:val="00070540"/>
    <w:rsid w:val="00072AED"/>
    <w:rsid w:val="000834F2"/>
    <w:rsid w:val="00083FC8"/>
    <w:rsid w:val="00084ADB"/>
    <w:rsid w:val="00087103"/>
    <w:rsid w:val="000872E4"/>
    <w:rsid w:val="00087330"/>
    <w:rsid w:val="00094549"/>
    <w:rsid w:val="000A1401"/>
    <w:rsid w:val="000A17B7"/>
    <w:rsid w:val="000A63C4"/>
    <w:rsid w:val="000A63D2"/>
    <w:rsid w:val="000C075A"/>
    <w:rsid w:val="000C18F9"/>
    <w:rsid w:val="000C6DDF"/>
    <w:rsid w:val="000C7260"/>
    <w:rsid w:val="000D4F7B"/>
    <w:rsid w:val="000E24B0"/>
    <w:rsid w:val="000E2A01"/>
    <w:rsid w:val="000E389D"/>
    <w:rsid w:val="000F085F"/>
    <w:rsid w:val="000F2041"/>
    <w:rsid w:val="000F4422"/>
    <w:rsid w:val="00101DAA"/>
    <w:rsid w:val="0010375F"/>
    <w:rsid w:val="00107B3E"/>
    <w:rsid w:val="0011129E"/>
    <w:rsid w:val="00114BCA"/>
    <w:rsid w:val="00115386"/>
    <w:rsid w:val="00117A24"/>
    <w:rsid w:val="00120D15"/>
    <w:rsid w:val="00121FDE"/>
    <w:rsid w:val="00124CC6"/>
    <w:rsid w:val="001259C8"/>
    <w:rsid w:val="00126944"/>
    <w:rsid w:val="001374BC"/>
    <w:rsid w:val="001606DF"/>
    <w:rsid w:val="0016083F"/>
    <w:rsid w:val="0016204B"/>
    <w:rsid w:val="00163884"/>
    <w:rsid w:val="0016769C"/>
    <w:rsid w:val="00167913"/>
    <w:rsid w:val="00170C8A"/>
    <w:rsid w:val="00172C86"/>
    <w:rsid w:val="0017584B"/>
    <w:rsid w:val="001804FA"/>
    <w:rsid w:val="0018092F"/>
    <w:rsid w:val="00185EA4"/>
    <w:rsid w:val="0019490A"/>
    <w:rsid w:val="001A1F6A"/>
    <w:rsid w:val="001A4F52"/>
    <w:rsid w:val="001A7AE0"/>
    <w:rsid w:val="001B2FE7"/>
    <w:rsid w:val="001B3366"/>
    <w:rsid w:val="001B35C6"/>
    <w:rsid w:val="001B6FDA"/>
    <w:rsid w:val="001C636C"/>
    <w:rsid w:val="001C7C21"/>
    <w:rsid w:val="001D330C"/>
    <w:rsid w:val="001D5472"/>
    <w:rsid w:val="001D6372"/>
    <w:rsid w:val="001E3109"/>
    <w:rsid w:val="001F1455"/>
    <w:rsid w:val="001F148F"/>
    <w:rsid w:val="001F23F0"/>
    <w:rsid w:val="00201637"/>
    <w:rsid w:val="00201C3A"/>
    <w:rsid w:val="0020427D"/>
    <w:rsid w:val="0021169E"/>
    <w:rsid w:val="00217D55"/>
    <w:rsid w:val="00236D34"/>
    <w:rsid w:val="00250C02"/>
    <w:rsid w:val="00253412"/>
    <w:rsid w:val="0026114E"/>
    <w:rsid w:val="00262B01"/>
    <w:rsid w:val="002713AF"/>
    <w:rsid w:val="0027417C"/>
    <w:rsid w:val="00285C9C"/>
    <w:rsid w:val="00286654"/>
    <w:rsid w:val="00286C81"/>
    <w:rsid w:val="00291FEA"/>
    <w:rsid w:val="0029277D"/>
    <w:rsid w:val="00293136"/>
    <w:rsid w:val="00295760"/>
    <w:rsid w:val="00295E90"/>
    <w:rsid w:val="002971BC"/>
    <w:rsid w:val="002A1B00"/>
    <w:rsid w:val="002A278B"/>
    <w:rsid w:val="002A27B0"/>
    <w:rsid w:val="002A41C1"/>
    <w:rsid w:val="002B53B3"/>
    <w:rsid w:val="002C0819"/>
    <w:rsid w:val="002C1A1B"/>
    <w:rsid w:val="002C29B7"/>
    <w:rsid w:val="002C34C5"/>
    <w:rsid w:val="002C4375"/>
    <w:rsid w:val="002E0F9E"/>
    <w:rsid w:val="002E1318"/>
    <w:rsid w:val="002E4E98"/>
    <w:rsid w:val="002F1DD5"/>
    <w:rsid w:val="002F3CC6"/>
    <w:rsid w:val="00301996"/>
    <w:rsid w:val="0030451D"/>
    <w:rsid w:val="003061A3"/>
    <w:rsid w:val="003118EC"/>
    <w:rsid w:val="00317262"/>
    <w:rsid w:val="003172A6"/>
    <w:rsid w:val="003207D0"/>
    <w:rsid w:val="00322B2F"/>
    <w:rsid w:val="003240B0"/>
    <w:rsid w:val="00324E44"/>
    <w:rsid w:val="00327D8B"/>
    <w:rsid w:val="00330717"/>
    <w:rsid w:val="00331A7F"/>
    <w:rsid w:val="00332004"/>
    <w:rsid w:val="00333FD2"/>
    <w:rsid w:val="00341696"/>
    <w:rsid w:val="00344775"/>
    <w:rsid w:val="00344C07"/>
    <w:rsid w:val="00351F4E"/>
    <w:rsid w:val="00353B26"/>
    <w:rsid w:val="00354565"/>
    <w:rsid w:val="0035541C"/>
    <w:rsid w:val="00356192"/>
    <w:rsid w:val="00356A49"/>
    <w:rsid w:val="00361B2C"/>
    <w:rsid w:val="003622F4"/>
    <w:rsid w:val="00362AB0"/>
    <w:rsid w:val="00363C84"/>
    <w:rsid w:val="00364EBE"/>
    <w:rsid w:val="0037037B"/>
    <w:rsid w:val="003709DA"/>
    <w:rsid w:val="00370EC1"/>
    <w:rsid w:val="00373683"/>
    <w:rsid w:val="00375D49"/>
    <w:rsid w:val="00380EFF"/>
    <w:rsid w:val="00380F59"/>
    <w:rsid w:val="003814A3"/>
    <w:rsid w:val="00381E67"/>
    <w:rsid w:val="0038364A"/>
    <w:rsid w:val="00385C01"/>
    <w:rsid w:val="00395C94"/>
    <w:rsid w:val="003A02BB"/>
    <w:rsid w:val="003A0645"/>
    <w:rsid w:val="003A143A"/>
    <w:rsid w:val="003A233C"/>
    <w:rsid w:val="003A3BD7"/>
    <w:rsid w:val="003A73B2"/>
    <w:rsid w:val="003C74C1"/>
    <w:rsid w:val="003C7B3A"/>
    <w:rsid w:val="003D34C3"/>
    <w:rsid w:val="003E0C88"/>
    <w:rsid w:val="003E629F"/>
    <w:rsid w:val="003F532A"/>
    <w:rsid w:val="003F5EC7"/>
    <w:rsid w:val="003F6FE2"/>
    <w:rsid w:val="00405811"/>
    <w:rsid w:val="00405A59"/>
    <w:rsid w:val="00405AE6"/>
    <w:rsid w:val="00405EE2"/>
    <w:rsid w:val="004066C1"/>
    <w:rsid w:val="00413D70"/>
    <w:rsid w:val="0042314F"/>
    <w:rsid w:val="00425C64"/>
    <w:rsid w:val="00427D77"/>
    <w:rsid w:val="00430C7A"/>
    <w:rsid w:val="004350BA"/>
    <w:rsid w:val="004464CE"/>
    <w:rsid w:val="00450B4D"/>
    <w:rsid w:val="004562A0"/>
    <w:rsid w:val="0046279F"/>
    <w:rsid w:val="00466DA5"/>
    <w:rsid w:val="004716EC"/>
    <w:rsid w:val="00471746"/>
    <w:rsid w:val="00473556"/>
    <w:rsid w:val="00475D6F"/>
    <w:rsid w:val="00476377"/>
    <w:rsid w:val="004814A6"/>
    <w:rsid w:val="004839A8"/>
    <w:rsid w:val="004968BE"/>
    <w:rsid w:val="0049727A"/>
    <w:rsid w:val="004A3977"/>
    <w:rsid w:val="004B1E69"/>
    <w:rsid w:val="004B5688"/>
    <w:rsid w:val="004B6394"/>
    <w:rsid w:val="004C1670"/>
    <w:rsid w:val="004C3373"/>
    <w:rsid w:val="004C5251"/>
    <w:rsid w:val="004D518C"/>
    <w:rsid w:val="004D6AD1"/>
    <w:rsid w:val="004E45B5"/>
    <w:rsid w:val="004F2494"/>
    <w:rsid w:val="004F4714"/>
    <w:rsid w:val="00501700"/>
    <w:rsid w:val="0050272F"/>
    <w:rsid w:val="00502A4E"/>
    <w:rsid w:val="005047C1"/>
    <w:rsid w:val="0051608A"/>
    <w:rsid w:val="0051730C"/>
    <w:rsid w:val="00520C48"/>
    <w:rsid w:val="00523DB7"/>
    <w:rsid w:val="00524C00"/>
    <w:rsid w:val="005265B8"/>
    <w:rsid w:val="0053176E"/>
    <w:rsid w:val="0053219D"/>
    <w:rsid w:val="005364E5"/>
    <w:rsid w:val="00537609"/>
    <w:rsid w:val="00541A7E"/>
    <w:rsid w:val="005445DF"/>
    <w:rsid w:val="005447F6"/>
    <w:rsid w:val="005466B8"/>
    <w:rsid w:val="005473FC"/>
    <w:rsid w:val="00550EDD"/>
    <w:rsid w:val="00555703"/>
    <w:rsid w:val="00556587"/>
    <w:rsid w:val="00556F0A"/>
    <w:rsid w:val="00566AE2"/>
    <w:rsid w:val="0057110C"/>
    <w:rsid w:val="005714AA"/>
    <w:rsid w:val="005765FB"/>
    <w:rsid w:val="00577032"/>
    <w:rsid w:val="00577692"/>
    <w:rsid w:val="00585F8B"/>
    <w:rsid w:val="005A0F90"/>
    <w:rsid w:val="005A1922"/>
    <w:rsid w:val="005A2CC1"/>
    <w:rsid w:val="005A494B"/>
    <w:rsid w:val="005A54B3"/>
    <w:rsid w:val="005B0795"/>
    <w:rsid w:val="005B2C0C"/>
    <w:rsid w:val="005B4546"/>
    <w:rsid w:val="005B56C3"/>
    <w:rsid w:val="005B5F53"/>
    <w:rsid w:val="005C04DA"/>
    <w:rsid w:val="005D51F1"/>
    <w:rsid w:val="005E0253"/>
    <w:rsid w:val="005E559D"/>
    <w:rsid w:val="005E7EA4"/>
    <w:rsid w:val="005F27B1"/>
    <w:rsid w:val="005F4E10"/>
    <w:rsid w:val="00600861"/>
    <w:rsid w:val="00601D94"/>
    <w:rsid w:val="00601FA7"/>
    <w:rsid w:val="00602590"/>
    <w:rsid w:val="006125EE"/>
    <w:rsid w:val="0061449D"/>
    <w:rsid w:val="006209B0"/>
    <w:rsid w:val="006212AB"/>
    <w:rsid w:val="006220B5"/>
    <w:rsid w:val="006225F9"/>
    <w:rsid w:val="00622B6C"/>
    <w:rsid w:val="006313AB"/>
    <w:rsid w:val="00634259"/>
    <w:rsid w:val="00634364"/>
    <w:rsid w:val="00637C7E"/>
    <w:rsid w:val="00644389"/>
    <w:rsid w:val="006454E8"/>
    <w:rsid w:val="00645B7D"/>
    <w:rsid w:val="0065333F"/>
    <w:rsid w:val="00661C18"/>
    <w:rsid w:val="00663AC0"/>
    <w:rsid w:val="00664A00"/>
    <w:rsid w:val="00665080"/>
    <w:rsid w:val="0066791C"/>
    <w:rsid w:val="006A0268"/>
    <w:rsid w:val="006A031C"/>
    <w:rsid w:val="006A3D86"/>
    <w:rsid w:val="006A4E38"/>
    <w:rsid w:val="006A52B5"/>
    <w:rsid w:val="006A7683"/>
    <w:rsid w:val="006B230C"/>
    <w:rsid w:val="006B3151"/>
    <w:rsid w:val="006B50C3"/>
    <w:rsid w:val="006B61A9"/>
    <w:rsid w:val="006C4A51"/>
    <w:rsid w:val="006C5A73"/>
    <w:rsid w:val="006D50DA"/>
    <w:rsid w:val="006D77C6"/>
    <w:rsid w:val="006E1D2C"/>
    <w:rsid w:val="006E3384"/>
    <w:rsid w:val="006E528F"/>
    <w:rsid w:val="006F6E08"/>
    <w:rsid w:val="006F77A9"/>
    <w:rsid w:val="00703392"/>
    <w:rsid w:val="0070393A"/>
    <w:rsid w:val="00704952"/>
    <w:rsid w:val="00705876"/>
    <w:rsid w:val="00712E2E"/>
    <w:rsid w:val="00717098"/>
    <w:rsid w:val="00721200"/>
    <w:rsid w:val="00721EA2"/>
    <w:rsid w:val="00722269"/>
    <w:rsid w:val="00723FBD"/>
    <w:rsid w:val="00724DF2"/>
    <w:rsid w:val="00726DD9"/>
    <w:rsid w:val="007271FA"/>
    <w:rsid w:val="00727641"/>
    <w:rsid w:val="0073083E"/>
    <w:rsid w:val="0073130E"/>
    <w:rsid w:val="007369B6"/>
    <w:rsid w:val="00736D71"/>
    <w:rsid w:val="00736EF0"/>
    <w:rsid w:val="00741743"/>
    <w:rsid w:val="007448AD"/>
    <w:rsid w:val="00747FF0"/>
    <w:rsid w:val="007503BE"/>
    <w:rsid w:val="0075057D"/>
    <w:rsid w:val="007513BE"/>
    <w:rsid w:val="00754B08"/>
    <w:rsid w:val="00774252"/>
    <w:rsid w:val="0077430A"/>
    <w:rsid w:val="007827A9"/>
    <w:rsid w:val="00782988"/>
    <w:rsid w:val="00783096"/>
    <w:rsid w:val="00791075"/>
    <w:rsid w:val="00792B83"/>
    <w:rsid w:val="007A371A"/>
    <w:rsid w:val="007A4AAA"/>
    <w:rsid w:val="007A505F"/>
    <w:rsid w:val="007B7631"/>
    <w:rsid w:val="007C4C8C"/>
    <w:rsid w:val="007C511C"/>
    <w:rsid w:val="007C67B7"/>
    <w:rsid w:val="007D12F8"/>
    <w:rsid w:val="007D14BC"/>
    <w:rsid w:val="007D23FB"/>
    <w:rsid w:val="007D2C80"/>
    <w:rsid w:val="007D6617"/>
    <w:rsid w:val="007D7F11"/>
    <w:rsid w:val="007E0705"/>
    <w:rsid w:val="007E1454"/>
    <w:rsid w:val="007E2245"/>
    <w:rsid w:val="007E461E"/>
    <w:rsid w:val="007F03E7"/>
    <w:rsid w:val="007F1115"/>
    <w:rsid w:val="007F1568"/>
    <w:rsid w:val="007F1DBC"/>
    <w:rsid w:val="007F615B"/>
    <w:rsid w:val="007F637F"/>
    <w:rsid w:val="008048DA"/>
    <w:rsid w:val="00805546"/>
    <w:rsid w:val="00813925"/>
    <w:rsid w:val="00815274"/>
    <w:rsid w:val="008165E8"/>
    <w:rsid w:val="0081756F"/>
    <w:rsid w:val="008179BC"/>
    <w:rsid w:val="00823DC9"/>
    <w:rsid w:val="00824CE4"/>
    <w:rsid w:val="00826C31"/>
    <w:rsid w:val="0082781A"/>
    <w:rsid w:val="008307F6"/>
    <w:rsid w:val="0083326C"/>
    <w:rsid w:val="00835F89"/>
    <w:rsid w:val="00840208"/>
    <w:rsid w:val="008500F9"/>
    <w:rsid w:val="0085020D"/>
    <w:rsid w:val="00853D47"/>
    <w:rsid w:val="0085710C"/>
    <w:rsid w:val="00865138"/>
    <w:rsid w:val="008652FD"/>
    <w:rsid w:val="008662B3"/>
    <w:rsid w:val="008755CD"/>
    <w:rsid w:val="00875EC1"/>
    <w:rsid w:val="00877C77"/>
    <w:rsid w:val="00881D6D"/>
    <w:rsid w:val="00881FF1"/>
    <w:rsid w:val="008837F0"/>
    <w:rsid w:val="00883D7F"/>
    <w:rsid w:val="008875A4"/>
    <w:rsid w:val="00892E20"/>
    <w:rsid w:val="00896DEF"/>
    <w:rsid w:val="008A18E4"/>
    <w:rsid w:val="008A4460"/>
    <w:rsid w:val="008A6398"/>
    <w:rsid w:val="008B5867"/>
    <w:rsid w:val="008C08E2"/>
    <w:rsid w:val="008C1E17"/>
    <w:rsid w:val="008C3F7E"/>
    <w:rsid w:val="008C4F7A"/>
    <w:rsid w:val="008C57BE"/>
    <w:rsid w:val="008C5B63"/>
    <w:rsid w:val="008C612E"/>
    <w:rsid w:val="008C776D"/>
    <w:rsid w:val="008D3F2D"/>
    <w:rsid w:val="008E408D"/>
    <w:rsid w:val="008E4731"/>
    <w:rsid w:val="008E58C0"/>
    <w:rsid w:val="008E63C3"/>
    <w:rsid w:val="008F0482"/>
    <w:rsid w:val="008F06DB"/>
    <w:rsid w:val="008F300F"/>
    <w:rsid w:val="008F391A"/>
    <w:rsid w:val="008F7588"/>
    <w:rsid w:val="009101EE"/>
    <w:rsid w:val="00911266"/>
    <w:rsid w:val="00917BD7"/>
    <w:rsid w:val="00924289"/>
    <w:rsid w:val="00925389"/>
    <w:rsid w:val="00927CC5"/>
    <w:rsid w:val="00933543"/>
    <w:rsid w:val="00944A4A"/>
    <w:rsid w:val="009471D1"/>
    <w:rsid w:val="009507DD"/>
    <w:rsid w:val="00951C31"/>
    <w:rsid w:val="0095384B"/>
    <w:rsid w:val="009564DF"/>
    <w:rsid w:val="00956D25"/>
    <w:rsid w:val="00956F55"/>
    <w:rsid w:val="009605CF"/>
    <w:rsid w:val="00966245"/>
    <w:rsid w:val="009671E2"/>
    <w:rsid w:val="00970CB5"/>
    <w:rsid w:val="0097112E"/>
    <w:rsid w:val="009717B1"/>
    <w:rsid w:val="00973B2C"/>
    <w:rsid w:val="00974B76"/>
    <w:rsid w:val="009756D3"/>
    <w:rsid w:val="00981E31"/>
    <w:rsid w:val="00984358"/>
    <w:rsid w:val="00991930"/>
    <w:rsid w:val="009A32A9"/>
    <w:rsid w:val="009A77C3"/>
    <w:rsid w:val="009B6268"/>
    <w:rsid w:val="009B7449"/>
    <w:rsid w:val="009C024F"/>
    <w:rsid w:val="009D09BF"/>
    <w:rsid w:val="009D1479"/>
    <w:rsid w:val="009D19C5"/>
    <w:rsid w:val="009D1F09"/>
    <w:rsid w:val="009D4E8C"/>
    <w:rsid w:val="009D7253"/>
    <w:rsid w:val="009D72F7"/>
    <w:rsid w:val="009D73B7"/>
    <w:rsid w:val="009E51F1"/>
    <w:rsid w:val="009F0F31"/>
    <w:rsid w:val="009F0F3C"/>
    <w:rsid w:val="009F2591"/>
    <w:rsid w:val="009F7AEC"/>
    <w:rsid w:val="00A07443"/>
    <w:rsid w:val="00A11A7D"/>
    <w:rsid w:val="00A12125"/>
    <w:rsid w:val="00A16668"/>
    <w:rsid w:val="00A177FF"/>
    <w:rsid w:val="00A20344"/>
    <w:rsid w:val="00A2095A"/>
    <w:rsid w:val="00A20F32"/>
    <w:rsid w:val="00A22798"/>
    <w:rsid w:val="00A232DE"/>
    <w:rsid w:val="00A24AE9"/>
    <w:rsid w:val="00A24FB9"/>
    <w:rsid w:val="00A34120"/>
    <w:rsid w:val="00A35048"/>
    <w:rsid w:val="00A40189"/>
    <w:rsid w:val="00A47E66"/>
    <w:rsid w:val="00A50F20"/>
    <w:rsid w:val="00A52958"/>
    <w:rsid w:val="00A57424"/>
    <w:rsid w:val="00A606DF"/>
    <w:rsid w:val="00A62417"/>
    <w:rsid w:val="00A64D82"/>
    <w:rsid w:val="00A713BF"/>
    <w:rsid w:val="00A726D6"/>
    <w:rsid w:val="00A75A3B"/>
    <w:rsid w:val="00A76AEE"/>
    <w:rsid w:val="00A85674"/>
    <w:rsid w:val="00A90EE4"/>
    <w:rsid w:val="00A91776"/>
    <w:rsid w:val="00A91C01"/>
    <w:rsid w:val="00A926B6"/>
    <w:rsid w:val="00AA10EE"/>
    <w:rsid w:val="00AB3172"/>
    <w:rsid w:val="00AB5CA3"/>
    <w:rsid w:val="00AB6668"/>
    <w:rsid w:val="00AB798C"/>
    <w:rsid w:val="00AB79E2"/>
    <w:rsid w:val="00AB7DF9"/>
    <w:rsid w:val="00AC3A8E"/>
    <w:rsid w:val="00AC410E"/>
    <w:rsid w:val="00AD07D1"/>
    <w:rsid w:val="00AD2E05"/>
    <w:rsid w:val="00AD3A87"/>
    <w:rsid w:val="00AD556D"/>
    <w:rsid w:val="00AD6A43"/>
    <w:rsid w:val="00AD6D67"/>
    <w:rsid w:val="00AE3B4B"/>
    <w:rsid w:val="00AE4C4A"/>
    <w:rsid w:val="00AF22D8"/>
    <w:rsid w:val="00AF6215"/>
    <w:rsid w:val="00B0462D"/>
    <w:rsid w:val="00B06D92"/>
    <w:rsid w:val="00B13567"/>
    <w:rsid w:val="00B15B47"/>
    <w:rsid w:val="00B170A4"/>
    <w:rsid w:val="00B17272"/>
    <w:rsid w:val="00B20D57"/>
    <w:rsid w:val="00B22230"/>
    <w:rsid w:val="00B22F1B"/>
    <w:rsid w:val="00B232EC"/>
    <w:rsid w:val="00B238D6"/>
    <w:rsid w:val="00B24FA2"/>
    <w:rsid w:val="00B3018D"/>
    <w:rsid w:val="00B3212A"/>
    <w:rsid w:val="00B3703E"/>
    <w:rsid w:val="00B410BA"/>
    <w:rsid w:val="00B44024"/>
    <w:rsid w:val="00B46E2D"/>
    <w:rsid w:val="00B46F00"/>
    <w:rsid w:val="00B471C2"/>
    <w:rsid w:val="00B53ED8"/>
    <w:rsid w:val="00B568DB"/>
    <w:rsid w:val="00B56CC8"/>
    <w:rsid w:val="00B57777"/>
    <w:rsid w:val="00B609F3"/>
    <w:rsid w:val="00B61049"/>
    <w:rsid w:val="00B6288C"/>
    <w:rsid w:val="00B722CF"/>
    <w:rsid w:val="00B83AFB"/>
    <w:rsid w:val="00B876DE"/>
    <w:rsid w:val="00B9577E"/>
    <w:rsid w:val="00B965CB"/>
    <w:rsid w:val="00BA32F1"/>
    <w:rsid w:val="00BA5DB5"/>
    <w:rsid w:val="00BA7C30"/>
    <w:rsid w:val="00BB03FA"/>
    <w:rsid w:val="00BB5201"/>
    <w:rsid w:val="00BC336F"/>
    <w:rsid w:val="00BC59CA"/>
    <w:rsid w:val="00BD1509"/>
    <w:rsid w:val="00BD2D9F"/>
    <w:rsid w:val="00BE0966"/>
    <w:rsid w:val="00BE0C23"/>
    <w:rsid w:val="00BE29DD"/>
    <w:rsid w:val="00BE5D33"/>
    <w:rsid w:val="00BF0FE5"/>
    <w:rsid w:val="00BF14D9"/>
    <w:rsid w:val="00BF172D"/>
    <w:rsid w:val="00BF2A4A"/>
    <w:rsid w:val="00BF343C"/>
    <w:rsid w:val="00BF347B"/>
    <w:rsid w:val="00BF3865"/>
    <w:rsid w:val="00BF5ABA"/>
    <w:rsid w:val="00BF6B1F"/>
    <w:rsid w:val="00C05B16"/>
    <w:rsid w:val="00C06C91"/>
    <w:rsid w:val="00C12409"/>
    <w:rsid w:val="00C159A6"/>
    <w:rsid w:val="00C175EC"/>
    <w:rsid w:val="00C22803"/>
    <w:rsid w:val="00C240ED"/>
    <w:rsid w:val="00C27DF8"/>
    <w:rsid w:val="00C30B1A"/>
    <w:rsid w:val="00C31F7C"/>
    <w:rsid w:val="00C34185"/>
    <w:rsid w:val="00C35C49"/>
    <w:rsid w:val="00C44DFE"/>
    <w:rsid w:val="00C47215"/>
    <w:rsid w:val="00C504E1"/>
    <w:rsid w:val="00C53A5C"/>
    <w:rsid w:val="00C544E6"/>
    <w:rsid w:val="00C55338"/>
    <w:rsid w:val="00C570A0"/>
    <w:rsid w:val="00C710E4"/>
    <w:rsid w:val="00C7284D"/>
    <w:rsid w:val="00C72F66"/>
    <w:rsid w:val="00C7392B"/>
    <w:rsid w:val="00C80C64"/>
    <w:rsid w:val="00C82D08"/>
    <w:rsid w:val="00C925DB"/>
    <w:rsid w:val="00C95BE5"/>
    <w:rsid w:val="00C966B9"/>
    <w:rsid w:val="00CA044E"/>
    <w:rsid w:val="00CA2395"/>
    <w:rsid w:val="00CA24F6"/>
    <w:rsid w:val="00CA63F4"/>
    <w:rsid w:val="00CA6F11"/>
    <w:rsid w:val="00CC0DEF"/>
    <w:rsid w:val="00CD2E00"/>
    <w:rsid w:val="00CD7906"/>
    <w:rsid w:val="00CE012E"/>
    <w:rsid w:val="00CE08EB"/>
    <w:rsid w:val="00CE5A0A"/>
    <w:rsid w:val="00CE644D"/>
    <w:rsid w:val="00CF13F5"/>
    <w:rsid w:val="00CF1910"/>
    <w:rsid w:val="00CF7738"/>
    <w:rsid w:val="00D0098C"/>
    <w:rsid w:val="00D01214"/>
    <w:rsid w:val="00D01372"/>
    <w:rsid w:val="00D03482"/>
    <w:rsid w:val="00D052B0"/>
    <w:rsid w:val="00D100B0"/>
    <w:rsid w:val="00D10EA4"/>
    <w:rsid w:val="00D11975"/>
    <w:rsid w:val="00D13885"/>
    <w:rsid w:val="00D15116"/>
    <w:rsid w:val="00D170A2"/>
    <w:rsid w:val="00D173F1"/>
    <w:rsid w:val="00D20DA6"/>
    <w:rsid w:val="00D27E1F"/>
    <w:rsid w:val="00D341AA"/>
    <w:rsid w:val="00D425CF"/>
    <w:rsid w:val="00D452A0"/>
    <w:rsid w:val="00D4636E"/>
    <w:rsid w:val="00D50890"/>
    <w:rsid w:val="00D51BF0"/>
    <w:rsid w:val="00D52AC6"/>
    <w:rsid w:val="00D55A71"/>
    <w:rsid w:val="00D56ADB"/>
    <w:rsid w:val="00D635AB"/>
    <w:rsid w:val="00D734EE"/>
    <w:rsid w:val="00D7398E"/>
    <w:rsid w:val="00D77AFF"/>
    <w:rsid w:val="00D77E69"/>
    <w:rsid w:val="00D83BAC"/>
    <w:rsid w:val="00D84822"/>
    <w:rsid w:val="00D876E9"/>
    <w:rsid w:val="00D91EDC"/>
    <w:rsid w:val="00DA7480"/>
    <w:rsid w:val="00DA7DA7"/>
    <w:rsid w:val="00DB34BE"/>
    <w:rsid w:val="00DC56E9"/>
    <w:rsid w:val="00DD32A2"/>
    <w:rsid w:val="00DD5912"/>
    <w:rsid w:val="00DD6C1B"/>
    <w:rsid w:val="00DF1D5E"/>
    <w:rsid w:val="00DF384B"/>
    <w:rsid w:val="00E014B0"/>
    <w:rsid w:val="00E12FDB"/>
    <w:rsid w:val="00E2001E"/>
    <w:rsid w:val="00E263CA"/>
    <w:rsid w:val="00E30583"/>
    <w:rsid w:val="00E3598B"/>
    <w:rsid w:val="00E44DD7"/>
    <w:rsid w:val="00E45285"/>
    <w:rsid w:val="00E50E90"/>
    <w:rsid w:val="00E51616"/>
    <w:rsid w:val="00E52FDE"/>
    <w:rsid w:val="00E5366F"/>
    <w:rsid w:val="00E5432E"/>
    <w:rsid w:val="00E62674"/>
    <w:rsid w:val="00E64A2C"/>
    <w:rsid w:val="00E66B82"/>
    <w:rsid w:val="00E7588F"/>
    <w:rsid w:val="00E84BD8"/>
    <w:rsid w:val="00E90B75"/>
    <w:rsid w:val="00E950D1"/>
    <w:rsid w:val="00E960F2"/>
    <w:rsid w:val="00E9663A"/>
    <w:rsid w:val="00E97D0B"/>
    <w:rsid w:val="00EA214A"/>
    <w:rsid w:val="00EA535B"/>
    <w:rsid w:val="00EB21BF"/>
    <w:rsid w:val="00EC15D7"/>
    <w:rsid w:val="00EC28A4"/>
    <w:rsid w:val="00EC2F26"/>
    <w:rsid w:val="00EC4B25"/>
    <w:rsid w:val="00EE3F80"/>
    <w:rsid w:val="00EE421D"/>
    <w:rsid w:val="00EF5080"/>
    <w:rsid w:val="00EF55DC"/>
    <w:rsid w:val="00EF5EA6"/>
    <w:rsid w:val="00EF6317"/>
    <w:rsid w:val="00EF75D4"/>
    <w:rsid w:val="00F02D83"/>
    <w:rsid w:val="00F0536E"/>
    <w:rsid w:val="00F05B91"/>
    <w:rsid w:val="00F26105"/>
    <w:rsid w:val="00F3277B"/>
    <w:rsid w:val="00F368ED"/>
    <w:rsid w:val="00F42C07"/>
    <w:rsid w:val="00F42D9D"/>
    <w:rsid w:val="00F5042D"/>
    <w:rsid w:val="00F560F6"/>
    <w:rsid w:val="00F61930"/>
    <w:rsid w:val="00F62157"/>
    <w:rsid w:val="00F6367A"/>
    <w:rsid w:val="00F64033"/>
    <w:rsid w:val="00F642EC"/>
    <w:rsid w:val="00F64B2B"/>
    <w:rsid w:val="00F67F49"/>
    <w:rsid w:val="00F7670E"/>
    <w:rsid w:val="00F8116C"/>
    <w:rsid w:val="00F816C2"/>
    <w:rsid w:val="00F817A0"/>
    <w:rsid w:val="00F823A8"/>
    <w:rsid w:val="00F9058B"/>
    <w:rsid w:val="00F90708"/>
    <w:rsid w:val="00F9212F"/>
    <w:rsid w:val="00F93927"/>
    <w:rsid w:val="00F94A99"/>
    <w:rsid w:val="00F97211"/>
    <w:rsid w:val="00F974FE"/>
    <w:rsid w:val="00FA06E8"/>
    <w:rsid w:val="00FA367A"/>
    <w:rsid w:val="00FA55A1"/>
    <w:rsid w:val="00FA6B95"/>
    <w:rsid w:val="00FB20E8"/>
    <w:rsid w:val="00FB74B3"/>
    <w:rsid w:val="00FC2CA9"/>
    <w:rsid w:val="00FC3788"/>
    <w:rsid w:val="00FC422A"/>
    <w:rsid w:val="00FD031D"/>
    <w:rsid w:val="00FD4B22"/>
    <w:rsid w:val="00FE789C"/>
    <w:rsid w:val="00FF3833"/>
    <w:rsid w:val="00FF686A"/>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2B142B-423F-47CF-BDF1-25E11296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paragraph" w:styleId="Heading3">
    <w:name w:val="heading 3"/>
    <w:basedOn w:val="Normal"/>
    <w:next w:val="Normal"/>
    <w:link w:val="Heading3Char"/>
    <w:qFormat/>
    <w:rsid w:val="008875A4"/>
    <w:pPr>
      <w:keepNext/>
      <w:spacing w:line="288" w:lineRule="auto"/>
      <w:ind w:firstLine="720"/>
      <w:outlineLvl w:val="2"/>
    </w:pPr>
    <w:rPr>
      <w:i/>
      <w:iCs/>
      <w:noProof/>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E08EB"/>
    <w:pPr>
      <w:tabs>
        <w:tab w:val="center" w:pos="4320"/>
        <w:tab w:val="right" w:pos="8640"/>
      </w:tabs>
    </w:pPr>
  </w:style>
  <w:style w:type="character" w:styleId="PageNumber">
    <w:name w:val="page number"/>
    <w:basedOn w:val="DefaultParagraphFont"/>
    <w:rsid w:val="00CE08EB"/>
  </w:style>
  <w:style w:type="paragraph" w:styleId="FootnoteText">
    <w:name w:val="footnote text"/>
    <w:basedOn w:val="Normal"/>
    <w:link w:val="FootnoteTextChar"/>
    <w:uiPriority w:val="99"/>
    <w:semiHidden/>
    <w:rsid w:val="00BF3865"/>
    <w:rPr>
      <w:sz w:val="20"/>
      <w:szCs w:val="20"/>
    </w:rPr>
  </w:style>
  <w:style w:type="character" w:styleId="FootnoteReference">
    <w:name w:val="footnote reference"/>
    <w:basedOn w:val="DefaultParagraphFont"/>
    <w:uiPriority w:val="99"/>
    <w:semiHidden/>
    <w:rsid w:val="00BF3865"/>
    <w:rPr>
      <w:vertAlign w:val="superscript"/>
    </w:rPr>
  </w:style>
  <w:style w:type="character" w:customStyle="1" w:styleId="Heading3Char">
    <w:name w:val="Heading 3 Char"/>
    <w:basedOn w:val="DefaultParagraphFont"/>
    <w:link w:val="Heading3"/>
    <w:rsid w:val="008875A4"/>
    <w:rPr>
      <w:i/>
      <w:iCs/>
      <w:noProof/>
      <w:sz w:val="28"/>
      <w:szCs w:val="24"/>
      <w:lang w:val="en-US" w:eastAsia="en-US" w:bidi="ar-SA"/>
    </w:rPr>
  </w:style>
  <w:style w:type="paragraph" w:styleId="BodyTextIndent2">
    <w:name w:val="Body Text Indent 2"/>
    <w:basedOn w:val="Normal"/>
    <w:rsid w:val="00637C7E"/>
    <w:pPr>
      <w:spacing w:after="120" w:line="480" w:lineRule="auto"/>
      <w:ind w:left="360"/>
    </w:pPr>
    <w:rPr>
      <w:noProof/>
      <w:lang w:val="en-US"/>
    </w:rPr>
  </w:style>
  <w:style w:type="character" w:customStyle="1" w:styleId="Char2">
    <w:name w:val=" Char2"/>
    <w:basedOn w:val="DefaultParagraphFont"/>
    <w:rsid w:val="00722269"/>
    <w:rPr>
      <w:i/>
      <w:iCs/>
      <w:noProof/>
      <w:sz w:val="28"/>
      <w:szCs w:val="24"/>
      <w:lang w:val="en-US" w:eastAsia="en-US" w:bidi="ar-SA"/>
    </w:rPr>
  </w:style>
  <w:style w:type="character" w:customStyle="1" w:styleId="hps">
    <w:name w:val="hps"/>
    <w:basedOn w:val="DefaultParagraphFont"/>
    <w:rsid w:val="004B5688"/>
  </w:style>
  <w:style w:type="paragraph" w:styleId="BodyText">
    <w:name w:val="Body Text"/>
    <w:basedOn w:val="Normal"/>
    <w:rsid w:val="00107B3E"/>
    <w:pPr>
      <w:spacing w:after="120"/>
    </w:pPr>
    <w:rPr>
      <w:noProof/>
      <w:lang w:val="en-US"/>
    </w:rPr>
  </w:style>
  <w:style w:type="paragraph" w:styleId="BodyTextIndent">
    <w:name w:val="Body Text Indent"/>
    <w:basedOn w:val="Normal"/>
    <w:link w:val="BodyTextIndentChar"/>
    <w:uiPriority w:val="99"/>
    <w:semiHidden/>
    <w:unhideWhenUsed/>
    <w:rsid w:val="00724DF2"/>
    <w:pPr>
      <w:spacing w:after="120"/>
      <w:ind w:left="360"/>
    </w:pPr>
  </w:style>
  <w:style w:type="character" w:customStyle="1" w:styleId="BodyTextIndentChar">
    <w:name w:val="Body Text Indent Char"/>
    <w:basedOn w:val="DefaultParagraphFont"/>
    <w:link w:val="BodyTextIndent"/>
    <w:uiPriority w:val="99"/>
    <w:semiHidden/>
    <w:rsid w:val="00724DF2"/>
    <w:rPr>
      <w:sz w:val="24"/>
      <w:szCs w:val="24"/>
      <w:lang w:val="sq-AL"/>
    </w:rPr>
  </w:style>
  <w:style w:type="character" w:customStyle="1" w:styleId="FootnoteTextChar">
    <w:name w:val="Footnote Text Char"/>
    <w:basedOn w:val="DefaultParagraphFont"/>
    <w:link w:val="FootnoteText"/>
    <w:uiPriority w:val="99"/>
    <w:semiHidden/>
    <w:rsid w:val="00285C9C"/>
    <w:rPr>
      <w:lang w:val="sq-AL"/>
    </w:rPr>
  </w:style>
  <w:style w:type="character" w:customStyle="1" w:styleId="JuParaCar">
    <w:name w:val="Ju_Para Car"/>
    <w:basedOn w:val="DefaultParagraphFont"/>
    <w:link w:val="JuPara"/>
    <w:locked/>
    <w:rsid w:val="009F2591"/>
    <w:rPr>
      <w:lang w:val="en-GB" w:eastAsia="fr-FR"/>
    </w:rPr>
  </w:style>
  <w:style w:type="paragraph" w:customStyle="1" w:styleId="JuPara">
    <w:name w:val="Ju_Para"/>
    <w:basedOn w:val="Normal"/>
    <w:link w:val="JuParaCar"/>
    <w:rsid w:val="009F2591"/>
    <w:pPr>
      <w:suppressAutoHyphens/>
      <w:ind w:firstLine="284"/>
      <w:jc w:val="both"/>
    </w:pPr>
    <w:rPr>
      <w:sz w:val="20"/>
      <w:szCs w:val="20"/>
      <w:lang w:val="en-GB" w:eastAsia="fr-FR"/>
    </w:rPr>
  </w:style>
  <w:style w:type="paragraph" w:styleId="ListParagraph">
    <w:name w:val="List Paragraph"/>
    <w:basedOn w:val="Normal"/>
    <w:uiPriority w:val="34"/>
    <w:qFormat/>
    <w:rsid w:val="0050272F"/>
    <w:pPr>
      <w:ind w:left="720"/>
      <w:contextualSpacing/>
    </w:pPr>
    <w:rPr>
      <w:noProof/>
      <w:lang w:val="en-US"/>
    </w:rPr>
  </w:style>
  <w:style w:type="character" w:customStyle="1" w:styleId="Footnote2">
    <w:name w:val="Footnote (2)_"/>
    <w:basedOn w:val="DefaultParagraphFont"/>
    <w:link w:val="Footnote20"/>
    <w:rsid w:val="00865138"/>
    <w:rPr>
      <w:rFonts w:ascii="AngsanaUPC" w:eastAsia="AngsanaUPC" w:hAnsi="AngsanaUPC" w:cs="AngsanaUPC"/>
      <w:b/>
      <w:bCs/>
      <w:shd w:val="clear" w:color="auto" w:fill="FFFFFF"/>
    </w:rPr>
  </w:style>
  <w:style w:type="character" w:customStyle="1" w:styleId="Footnote2Italic">
    <w:name w:val="Footnote (2) + Italic"/>
    <w:basedOn w:val="Footnote2"/>
    <w:rsid w:val="00865138"/>
    <w:rPr>
      <w:rFonts w:ascii="AngsanaUPC" w:eastAsia="AngsanaUPC" w:hAnsi="AngsanaUPC" w:cs="AngsanaUPC"/>
      <w:b/>
      <w:bCs/>
      <w:i/>
      <w:iCs/>
      <w:color w:val="000000"/>
      <w:spacing w:val="0"/>
      <w:w w:val="100"/>
      <w:position w:val="0"/>
      <w:sz w:val="24"/>
      <w:szCs w:val="24"/>
      <w:shd w:val="clear" w:color="auto" w:fill="FFFFFF"/>
      <w:lang w:val="en-US" w:eastAsia="en-US" w:bidi="en-US"/>
    </w:rPr>
  </w:style>
  <w:style w:type="character" w:customStyle="1" w:styleId="Footnote">
    <w:name w:val="Footnote"/>
    <w:basedOn w:val="DefaultParagraphFont"/>
    <w:rsid w:val="00865138"/>
    <w:rPr>
      <w:rFonts w:ascii="AngsanaUPC" w:eastAsia="AngsanaUPC" w:hAnsi="AngsanaUPC" w:cs="AngsanaUPC"/>
      <w:b w:val="0"/>
      <w:bCs w:val="0"/>
      <w:i w:val="0"/>
      <w:iCs w:val="0"/>
      <w:smallCaps w:val="0"/>
      <w:strike w:val="0"/>
      <w:color w:val="000000"/>
      <w:spacing w:val="0"/>
      <w:w w:val="100"/>
      <w:position w:val="0"/>
      <w:sz w:val="32"/>
      <w:szCs w:val="32"/>
      <w:u w:val="single"/>
      <w:lang w:val="en-US" w:eastAsia="en-US" w:bidi="en-US"/>
    </w:rPr>
  </w:style>
  <w:style w:type="character" w:customStyle="1" w:styleId="Footnote3">
    <w:name w:val="Footnote (3)_"/>
    <w:basedOn w:val="DefaultParagraphFont"/>
    <w:link w:val="Footnote30"/>
    <w:rsid w:val="00865138"/>
    <w:rPr>
      <w:rFonts w:ascii="AngsanaUPC" w:eastAsia="AngsanaUPC" w:hAnsi="AngsanaUPC" w:cs="AngsanaUPC"/>
      <w:i/>
      <w:iCs/>
      <w:sz w:val="32"/>
      <w:szCs w:val="32"/>
      <w:shd w:val="clear" w:color="auto" w:fill="FFFFFF"/>
    </w:rPr>
  </w:style>
  <w:style w:type="character" w:customStyle="1" w:styleId="Footnote3NotItalic">
    <w:name w:val="Footnote (3) + Not Italic"/>
    <w:basedOn w:val="Footnote3"/>
    <w:rsid w:val="00865138"/>
    <w:rPr>
      <w:rFonts w:ascii="AngsanaUPC" w:eastAsia="AngsanaUPC" w:hAnsi="AngsanaUPC" w:cs="AngsanaUPC"/>
      <w:i/>
      <w:iCs/>
      <w:color w:val="000000"/>
      <w:spacing w:val="0"/>
      <w:w w:val="100"/>
      <w:position w:val="0"/>
      <w:sz w:val="32"/>
      <w:szCs w:val="32"/>
      <w:shd w:val="clear" w:color="auto" w:fill="FFFFFF"/>
      <w:lang w:val="en-US" w:eastAsia="en-US" w:bidi="en-US"/>
    </w:rPr>
  </w:style>
  <w:style w:type="character" w:customStyle="1" w:styleId="FootnoteItalic">
    <w:name w:val="Footnote + Italic"/>
    <w:basedOn w:val="DefaultParagraphFont"/>
    <w:rsid w:val="00865138"/>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style>
  <w:style w:type="character" w:customStyle="1" w:styleId="Footnote105pt">
    <w:name w:val="Footnote + 10.5 pt"/>
    <w:aliases w:val="Bold,Body text + 10.5 pt,Body text (4) + 6.5 pt,Italic,Body text + Bold,Body text (6) + 4.5 pt"/>
    <w:basedOn w:val="DefaultParagraphFont"/>
    <w:rsid w:val="00865138"/>
    <w:rPr>
      <w:rFonts w:ascii="AngsanaUPC" w:eastAsia="AngsanaUPC" w:hAnsi="AngsanaUPC" w:cs="AngsanaUPC"/>
      <w:b/>
      <w:bCs/>
      <w:i w:val="0"/>
      <w:iCs w:val="0"/>
      <w:smallCaps w:val="0"/>
      <w:strike w:val="0"/>
      <w:color w:val="000000"/>
      <w:spacing w:val="0"/>
      <w:w w:val="100"/>
      <w:position w:val="0"/>
      <w:sz w:val="21"/>
      <w:szCs w:val="21"/>
      <w:u w:val="none"/>
      <w:lang w:val="en-US" w:eastAsia="en-US" w:bidi="en-US"/>
    </w:rPr>
  </w:style>
  <w:style w:type="character" w:customStyle="1" w:styleId="Footnote12pt">
    <w:name w:val="Footnote + 12 pt"/>
    <w:basedOn w:val="DefaultParagraphFont"/>
    <w:rsid w:val="00865138"/>
    <w:rPr>
      <w:rFonts w:ascii="AngsanaUPC" w:eastAsia="AngsanaUPC" w:hAnsi="AngsanaUPC" w:cs="AngsanaUPC"/>
      <w:b w:val="0"/>
      <w:bCs w:val="0"/>
      <w:i w:val="0"/>
      <w:iCs w:val="0"/>
      <w:smallCaps w:val="0"/>
      <w:strike w:val="0"/>
      <w:color w:val="000000"/>
      <w:spacing w:val="0"/>
      <w:w w:val="100"/>
      <w:position w:val="0"/>
      <w:sz w:val="24"/>
      <w:szCs w:val="24"/>
      <w:u w:val="none"/>
      <w:lang w:val="en-US" w:eastAsia="en-US" w:bidi="en-US"/>
    </w:rPr>
  </w:style>
  <w:style w:type="character" w:customStyle="1" w:styleId="Headerorfooter">
    <w:name w:val="Header or footer"/>
    <w:basedOn w:val="DefaultParagraphFont"/>
    <w:rsid w:val="00865138"/>
    <w:rPr>
      <w:rFonts w:ascii="AngsanaUPC" w:eastAsia="AngsanaUPC" w:hAnsi="AngsanaUPC" w:cs="AngsanaUPC"/>
      <w:b w:val="0"/>
      <w:bCs w:val="0"/>
      <w:i w:val="0"/>
      <w:iCs w:val="0"/>
      <w:smallCaps w:val="0"/>
      <w:strike w:val="0"/>
      <w:color w:val="000000"/>
      <w:spacing w:val="20"/>
      <w:w w:val="100"/>
      <w:position w:val="0"/>
      <w:sz w:val="30"/>
      <w:szCs w:val="30"/>
      <w:u w:val="none"/>
      <w:lang w:val="en-US" w:eastAsia="en-US" w:bidi="en-US"/>
    </w:rPr>
  </w:style>
  <w:style w:type="character" w:customStyle="1" w:styleId="Bodytext3">
    <w:name w:val="Body text (3)_"/>
    <w:basedOn w:val="DefaultParagraphFont"/>
    <w:link w:val="Bodytext30"/>
    <w:rsid w:val="00865138"/>
    <w:rPr>
      <w:rFonts w:ascii="AngsanaUPC" w:eastAsia="AngsanaUPC" w:hAnsi="AngsanaUPC" w:cs="AngsanaUPC"/>
      <w:i/>
      <w:iCs/>
      <w:sz w:val="32"/>
      <w:szCs w:val="32"/>
      <w:shd w:val="clear" w:color="auto" w:fill="FFFFFF"/>
    </w:rPr>
  </w:style>
  <w:style w:type="character" w:customStyle="1" w:styleId="Bodytext0">
    <w:name w:val="Body text"/>
    <w:basedOn w:val="DefaultParagraphFont"/>
    <w:rsid w:val="00865138"/>
    <w:rPr>
      <w:rFonts w:ascii="AngsanaUPC" w:eastAsia="AngsanaUPC" w:hAnsi="AngsanaUPC" w:cs="AngsanaUPC"/>
      <w:b w:val="0"/>
      <w:bCs w:val="0"/>
      <w:i w:val="0"/>
      <w:iCs w:val="0"/>
      <w:smallCaps w:val="0"/>
      <w:strike w:val="0"/>
      <w:color w:val="000000"/>
      <w:spacing w:val="0"/>
      <w:w w:val="100"/>
      <w:position w:val="0"/>
      <w:sz w:val="32"/>
      <w:szCs w:val="32"/>
      <w:u w:val="single"/>
      <w:lang w:val="en-US" w:eastAsia="en-US" w:bidi="en-US"/>
    </w:rPr>
  </w:style>
  <w:style w:type="character" w:customStyle="1" w:styleId="Bodytext12pt">
    <w:name w:val="Body text + 12 pt"/>
    <w:basedOn w:val="DefaultParagraphFont"/>
    <w:rsid w:val="00865138"/>
    <w:rPr>
      <w:rFonts w:ascii="AngsanaUPC" w:eastAsia="AngsanaUPC" w:hAnsi="AngsanaUPC" w:cs="AngsanaUPC"/>
      <w:b w:val="0"/>
      <w:bCs w:val="0"/>
      <w:i w:val="0"/>
      <w:iCs w:val="0"/>
      <w:smallCaps w:val="0"/>
      <w:strike w:val="0"/>
      <w:color w:val="000000"/>
      <w:spacing w:val="0"/>
      <w:w w:val="100"/>
      <w:position w:val="0"/>
      <w:sz w:val="24"/>
      <w:szCs w:val="24"/>
      <w:u w:val="none"/>
      <w:lang w:val="en-US" w:eastAsia="en-US" w:bidi="en-US"/>
    </w:rPr>
  </w:style>
  <w:style w:type="character" w:customStyle="1" w:styleId="BodytextItalic">
    <w:name w:val="Body text + Italic"/>
    <w:aliases w:val="Spacing 0 pt Exact"/>
    <w:basedOn w:val="DefaultParagraphFont"/>
    <w:rsid w:val="00865138"/>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style>
  <w:style w:type="character" w:customStyle="1" w:styleId="Bodytext5Exact">
    <w:name w:val="Body text (5) Exact"/>
    <w:basedOn w:val="DefaultParagraphFont"/>
    <w:link w:val="Bodytext5"/>
    <w:rsid w:val="00865138"/>
    <w:rPr>
      <w:rFonts w:ascii="Garamond" w:eastAsia="Garamond" w:hAnsi="Garamond" w:cs="Garamond"/>
      <w:i/>
      <w:iCs/>
      <w:spacing w:val="79"/>
      <w:sz w:val="48"/>
      <w:szCs w:val="48"/>
      <w:shd w:val="clear" w:color="auto" w:fill="FFFFFF"/>
    </w:rPr>
  </w:style>
  <w:style w:type="character" w:customStyle="1" w:styleId="BodytextExact">
    <w:name w:val="Body text Exact"/>
    <w:basedOn w:val="DefaultParagraphFont"/>
    <w:rsid w:val="00865138"/>
    <w:rPr>
      <w:rFonts w:ascii="AngsanaUPC" w:eastAsia="AngsanaUPC" w:hAnsi="AngsanaUPC" w:cs="AngsanaUPC"/>
      <w:b w:val="0"/>
      <w:bCs w:val="0"/>
      <w:i w:val="0"/>
      <w:iCs w:val="0"/>
      <w:smallCaps w:val="0"/>
      <w:strike w:val="0"/>
      <w:spacing w:val="8"/>
      <w:sz w:val="30"/>
      <w:szCs w:val="30"/>
      <w:u w:val="none"/>
    </w:rPr>
  </w:style>
  <w:style w:type="character" w:customStyle="1" w:styleId="Bodytext3Exact">
    <w:name w:val="Body text (3) Exact"/>
    <w:basedOn w:val="DefaultParagraphFont"/>
    <w:rsid w:val="00865138"/>
    <w:rPr>
      <w:rFonts w:ascii="AngsanaUPC" w:eastAsia="AngsanaUPC" w:hAnsi="AngsanaUPC" w:cs="AngsanaUPC"/>
      <w:b w:val="0"/>
      <w:bCs w:val="0"/>
      <w:i/>
      <w:iCs/>
      <w:smallCaps w:val="0"/>
      <w:strike w:val="0"/>
      <w:spacing w:val="1"/>
      <w:sz w:val="30"/>
      <w:szCs w:val="30"/>
      <w:u w:val="none"/>
    </w:rPr>
  </w:style>
  <w:style w:type="character" w:customStyle="1" w:styleId="Bodytext4">
    <w:name w:val="Body text (4)"/>
    <w:basedOn w:val="DefaultParagraphFont"/>
    <w:rsid w:val="00865138"/>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en-US" w:eastAsia="en-US" w:bidi="en-US"/>
    </w:rPr>
  </w:style>
  <w:style w:type="character" w:customStyle="1" w:styleId="Bodytext6">
    <w:name w:val="Body text (6)"/>
    <w:basedOn w:val="DefaultParagraphFont"/>
    <w:rsid w:val="00865138"/>
    <w:rPr>
      <w:rFonts w:ascii="AngsanaUPC" w:eastAsia="AngsanaUPC" w:hAnsi="AngsanaUPC" w:cs="AngsanaUPC"/>
      <w:b w:val="0"/>
      <w:bCs w:val="0"/>
      <w:i w:val="0"/>
      <w:iCs w:val="0"/>
      <w:smallCaps w:val="0"/>
      <w:strike w:val="0"/>
      <w:color w:val="000000"/>
      <w:spacing w:val="0"/>
      <w:w w:val="100"/>
      <w:position w:val="0"/>
      <w:sz w:val="8"/>
      <w:szCs w:val="8"/>
      <w:u w:val="none"/>
      <w:lang w:val="en-US" w:eastAsia="en-US" w:bidi="en-US"/>
    </w:rPr>
  </w:style>
  <w:style w:type="character" w:customStyle="1" w:styleId="Bodytext610pt">
    <w:name w:val="Body text (6) + 10 pt"/>
    <w:basedOn w:val="DefaultParagraphFont"/>
    <w:rsid w:val="00865138"/>
    <w:rPr>
      <w:rFonts w:ascii="AngsanaUPC" w:eastAsia="AngsanaUPC" w:hAnsi="AngsanaUPC" w:cs="AngsanaUPC"/>
      <w:b w:val="0"/>
      <w:bCs w:val="0"/>
      <w:i w:val="0"/>
      <w:iCs w:val="0"/>
      <w:smallCaps w:val="0"/>
      <w:strike w:val="0"/>
      <w:color w:val="000000"/>
      <w:spacing w:val="0"/>
      <w:w w:val="100"/>
      <w:position w:val="0"/>
      <w:sz w:val="20"/>
      <w:szCs w:val="20"/>
      <w:u w:val="single"/>
      <w:lang w:val="en-US" w:eastAsia="en-US" w:bidi="en-US"/>
    </w:rPr>
  </w:style>
  <w:style w:type="character" w:customStyle="1" w:styleId="Bodytext7">
    <w:name w:val="Body text (7)"/>
    <w:basedOn w:val="DefaultParagraphFont"/>
    <w:rsid w:val="00865138"/>
    <w:rPr>
      <w:rFonts w:ascii="Sylfaen" w:eastAsia="Sylfaen" w:hAnsi="Sylfaen" w:cs="Sylfaen"/>
      <w:b w:val="0"/>
      <w:bCs w:val="0"/>
      <w:i w:val="0"/>
      <w:iCs w:val="0"/>
      <w:smallCaps w:val="0"/>
      <w:strike w:val="0"/>
      <w:color w:val="000000"/>
      <w:spacing w:val="0"/>
      <w:w w:val="100"/>
      <w:position w:val="0"/>
      <w:sz w:val="10"/>
      <w:szCs w:val="10"/>
      <w:u w:val="none"/>
      <w:lang w:val="en-US" w:eastAsia="en-US" w:bidi="en-US"/>
    </w:rPr>
  </w:style>
  <w:style w:type="paragraph" w:customStyle="1" w:styleId="Footnote20">
    <w:name w:val="Footnote (2)"/>
    <w:basedOn w:val="Normal"/>
    <w:link w:val="Footnote2"/>
    <w:rsid w:val="00865138"/>
    <w:pPr>
      <w:widowControl w:val="0"/>
      <w:shd w:val="clear" w:color="auto" w:fill="FFFFFF"/>
      <w:spacing w:line="221" w:lineRule="exact"/>
      <w:jc w:val="both"/>
    </w:pPr>
    <w:rPr>
      <w:rFonts w:ascii="AngsanaUPC" w:eastAsia="AngsanaUPC" w:hAnsi="AngsanaUPC" w:cs="AngsanaUPC"/>
      <w:b/>
      <w:bCs/>
      <w:sz w:val="20"/>
      <w:szCs w:val="20"/>
      <w:lang w:val="en-US"/>
    </w:rPr>
  </w:style>
  <w:style w:type="paragraph" w:customStyle="1" w:styleId="Footnote30">
    <w:name w:val="Footnote (3)"/>
    <w:basedOn w:val="Normal"/>
    <w:link w:val="Footnote3"/>
    <w:rsid w:val="00865138"/>
    <w:pPr>
      <w:widowControl w:val="0"/>
      <w:shd w:val="clear" w:color="auto" w:fill="FFFFFF"/>
      <w:spacing w:line="403" w:lineRule="exact"/>
      <w:jc w:val="both"/>
    </w:pPr>
    <w:rPr>
      <w:rFonts w:ascii="AngsanaUPC" w:eastAsia="AngsanaUPC" w:hAnsi="AngsanaUPC" w:cs="AngsanaUPC"/>
      <w:i/>
      <w:iCs/>
      <w:sz w:val="32"/>
      <w:szCs w:val="32"/>
      <w:lang w:val="en-US"/>
    </w:rPr>
  </w:style>
  <w:style w:type="paragraph" w:customStyle="1" w:styleId="Bodytext30">
    <w:name w:val="Body text (3)"/>
    <w:basedOn w:val="Normal"/>
    <w:link w:val="Bodytext3"/>
    <w:rsid w:val="00865138"/>
    <w:pPr>
      <w:widowControl w:val="0"/>
      <w:shd w:val="clear" w:color="auto" w:fill="FFFFFF"/>
      <w:spacing w:line="403" w:lineRule="exact"/>
      <w:jc w:val="both"/>
    </w:pPr>
    <w:rPr>
      <w:rFonts w:ascii="AngsanaUPC" w:eastAsia="AngsanaUPC" w:hAnsi="AngsanaUPC" w:cs="AngsanaUPC"/>
      <w:i/>
      <w:iCs/>
      <w:sz w:val="32"/>
      <w:szCs w:val="32"/>
      <w:lang w:val="en-US"/>
    </w:rPr>
  </w:style>
  <w:style w:type="paragraph" w:customStyle="1" w:styleId="Bodytext5">
    <w:name w:val="Body text (5)"/>
    <w:basedOn w:val="Normal"/>
    <w:link w:val="Bodytext5Exact"/>
    <w:rsid w:val="00865138"/>
    <w:pPr>
      <w:widowControl w:val="0"/>
      <w:shd w:val="clear" w:color="auto" w:fill="FFFFFF"/>
      <w:spacing w:line="0" w:lineRule="atLeast"/>
    </w:pPr>
    <w:rPr>
      <w:rFonts w:ascii="Garamond" w:eastAsia="Garamond" w:hAnsi="Garamond" w:cs="Garamond"/>
      <w:i/>
      <w:iCs/>
      <w:spacing w:val="79"/>
      <w:sz w:val="48"/>
      <w:szCs w:val="48"/>
      <w:lang w:val="en-US"/>
    </w:rPr>
  </w:style>
  <w:style w:type="character" w:customStyle="1" w:styleId="highlight">
    <w:name w:val="highlight"/>
    <w:basedOn w:val="DefaultParagraphFont"/>
    <w:rsid w:val="008837F0"/>
  </w:style>
  <w:style w:type="paragraph" w:styleId="Title">
    <w:name w:val="Title"/>
    <w:aliases w:val="Char"/>
    <w:basedOn w:val="Normal"/>
    <w:link w:val="TitleChar"/>
    <w:qFormat/>
    <w:rsid w:val="003814A3"/>
    <w:pPr>
      <w:jc w:val="center"/>
    </w:pPr>
    <w:rPr>
      <w:b/>
      <w:bCs/>
      <w:noProof/>
      <w:lang w:val="en-US"/>
    </w:rPr>
  </w:style>
  <w:style w:type="character" w:customStyle="1" w:styleId="TitleChar">
    <w:name w:val="Title Char"/>
    <w:aliases w:val="Char Char"/>
    <w:basedOn w:val="DefaultParagraphFont"/>
    <w:link w:val="Title"/>
    <w:rsid w:val="003814A3"/>
    <w:rPr>
      <w:b/>
      <w:bCs/>
      <w:noProof/>
      <w:sz w:val="24"/>
      <w:szCs w:val="24"/>
    </w:rPr>
  </w:style>
  <w:style w:type="character" w:styleId="CommentReference">
    <w:name w:val="annotation reference"/>
    <w:basedOn w:val="DefaultParagraphFont"/>
    <w:uiPriority w:val="99"/>
    <w:semiHidden/>
    <w:unhideWhenUsed/>
    <w:rsid w:val="00853D47"/>
    <w:rPr>
      <w:sz w:val="16"/>
      <w:szCs w:val="16"/>
    </w:rPr>
  </w:style>
  <w:style w:type="paragraph" w:styleId="CommentText">
    <w:name w:val="annotation text"/>
    <w:basedOn w:val="Normal"/>
    <w:link w:val="CommentTextChar"/>
    <w:uiPriority w:val="99"/>
    <w:semiHidden/>
    <w:unhideWhenUsed/>
    <w:rsid w:val="00853D47"/>
    <w:rPr>
      <w:sz w:val="20"/>
      <w:szCs w:val="20"/>
    </w:rPr>
  </w:style>
  <w:style w:type="character" w:customStyle="1" w:styleId="CommentTextChar">
    <w:name w:val="Comment Text Char"/>
    <w:basedOn w:val="DefaultParagraphFont"/>
    <w:link w:val="CommentText"/>
    <w:uiPriority w:val="99"/>
    <w:semiHidden/>
    <w:rsid w:val="00853D47"/>
    <w:rPr>
      <w:lang w:val="sq-AL"/>
    </w:rPr>
  </w:style>
  <w:style w:type="paragraph" w:styleId="CommentSubject">
    <w:name w:val="annotation subject"/>
    <w:basedOn w:val="CommentText"/>
    <w:next w:val="CommentText"/>
    <w:link w:val="CommentSubjectChar"/>
    <w:uiPriority w:val="99"/>
    <w:semiHidden/>
    <w:unhideWhenUsed/>
    <w:rsid w:val="00853D47"/>
    <w:rPr>
      <w:b/>
      <w:bCs/>
    </w:rPr>
  </w:style>
  <w:style w:type="character" w:customStyle="1" w:styleId="CommentSubjectChar">
    <w:name w:val="Comment Subject Char"/>
    <w:basedOn w:val="CommentTextChar"/>
    <w:link w:val="CommentSubject"/>
    <w:uiPriority w:val="99"/>
    <w:semiHidden/>
    <w:rsid w:val="00853D47"/>
    <w:rPr>
      <w:b/>
      <w:bCs/>
      <w:lang w:val="sq-AL"/>
    </w:rPr>
  </w:style>
  <w:style w:type="paragraph" w:styleId="BalloonText">
    <w:name w:val="Balloon Text"/>
    <w:basedOn w:val="Normal"/>
    <w:link w:val="BalloonTextChar"/>
    <w:uiPriority w:val="99"/>
    <w:semiHidden/>
    <w:unhideWhenUsed/>
    <w:rsid w:val="00853D47"/>
    <w:rPr>
      <w:rFonts w:ascii="Tahoma" w:hAnsi="Tahoma" w:cs="Tahoma"/>
      <w:sz w:val="16"/>
      <w:szCs w:val="16"/>
    </w:rPr>
  </w:style>
  <w:style w:type="character" w:customStyle="1" w:styleId="BalloonTextChar">
    <w:name w:val="Balloon Text Char"/>
    <w:basedOn w:val="DefaultParagraphFont"/>
    <w:link w:val="BalloonText"/>
    <w:uiPriority w:val="99"/>
    <w:semiHidden/>
    <w:rsid w:val="00853D47"/>
    <w:rPr>
      <w:rFonts w:ascii="Tahoma" w:hAnsi="Tahoma" w:cs="Tahoma"/>
      <w:sz w:val="16"/>
      <w:szCs w:val="16"/>
      <w:lang w:val="sq-AL"/>
    </w:rPr>
  </w:style>
  <w:style w:type="paragraph" w:styleId="Header">
    <w:name w:val="header"/>
    <w:basedOn w:val="Normal"/>
    <w:link w:val="HeaderChar"/>
    <w:uiPriority w:val="99"/>
    <w:semiHidden/>
    <w:unhideWhenUsed/>
    <w:rsid w:val="00585F8B"/>
    <w:pPr>
      <w:tabs>
        <w:tab w:val="center" w:pos="4680"/>
        <w:tab w:val="right" w:pos="9360"/>
      </w:tabs>
    </w:pPr>
  </w:style>
  <w:style w:type="character" w:customStyle="1" w:styleId="HeaderChar">
    <w:name w:val="Header Char"/>
    <w:basedOn w:val="DefaultParagraphFont"/>
    <w:link w:val="Header"/>
    <w:uiPriority w:val="99"/>
    <w:semiHidden/>
    <w:rsid w:val="00585F8B"/>
    <w:rPr>
      <w:sz w:val="24"/>
      <w:szCs w:val="24"/>
      <w:lang w:val="sq-AL"/>
    </w:rPr>
  </w:style>
  <w:style w:type="character" w:customStyle="1" w:styleId="FooterChar">
    <w:name w:val="Footer Char"/>
    <w:basedOn w:val="DefaultParagraphFont"/>
    <w:link w:val="Footer"/>
    <w:uiPriority w:val="99"/>
    <w:rsid w:val="00924289"/>
    <w:rPr>
      <w:sz w:val="24"/>
      <w:szCs w:val="24"/>
      <w:lang w:val="sq-AL"/>
    </w:rPr>
  </w:style>
  <w:style w:type="character" w:customStyle="1" w:styleId="wordhighlighted">
    <w:name w:val="wordhighlighted"/>
    <w:basedOn w:val="DefaultParagraphFont"/>
    <w:rsid w:val="00C4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78230">
      <w:bodyDiv w:val="1"/>
      <w:marLeft w:val="0"/>
      <w:marRight w:val="0"/>
      <w:marTop w:val="0"/>
      <w:marBottom w:val="0"/>
      <w:divBdr>
        <w:top w:val="none" w:sz="0" w:space="0" w:color="auto"/>
        <w:left w:val="none" w:sz="0" w:space="0" w:color="auto"/>
        <w:bottom w:val="none" w:sz="0" w:space="0" w:color="auto"/>
        <w:right w:val="none" w:sz="0" w:space="0" w:color="auto"/>
      </w:divBdr>
      <w:divsChild>
        <w:div w:id="111750490">
          <w:marLeft w:val="0"/>
          <w:marRight w:val="0"/>
          <w:marTop w:val="0"/>
          <w:marBottom w:val="0"/>
          <w:divBdr>
            <w:top w:val="none" w:sz="0" w:space="0" w:color="auto"/>
            <w:left w:val="none" w:sz="0" w:space="0" w:color="auto"/>
            <w:bottom w:val="none" w:sz="0" w:space="0" w:color="auto"/>
            <w:right w:val="none" w:sz="0" w:space="0" w:color="auto"/>
          </w:divBdr>
        </w:div>
        <w:div w:id="185103263">
          <w:marLeft w:val="0"/>
          <w:marRight w:val="0"/>
          <w:marTop w:val="0"/>
          <w:marBottom w:val="0"/>
          <w:divBdr>
            <w:top w:val="none" w:sz="0" w:space="0" w:color="auto"/>
            <w:left w:val="none" w:sz="0" w:space="0" w:color="auto"/>
            <w:bottom w:val="none" w:sz="0" w:space="0" w:color="auto"/>
            <w:right w:val="none" w:sz="0" w:space="0" w:color="auto"/>
          </w:divBdr>
        </w:div>
        <w:div w:id="398404430">
          <w:marLeft w:val="0"/>
          <w:marRight w:val="0"/>
          <w:marTop w:val="0"/>
          <w:marBottom w:val="0"/>
          <w:divBdr>
            <w:top w:val="none" w:sz="0" w:space="0" w:color="auto"/>
            <w:left w:val="none" w:sz="0" w:space="0" w:color="auto"/>
            <w:bottom w:val="none" w:sz="0" w:space="0" w:color="auto"/>
            <w:right w:val="none" w:sz="0" w:space="0" w:color="auto"/>
          </w:divBdr>
        </w:div>
        <w:div w:id="426465991">
          <w:marLeft w:val="0"/>
          <w:marRight w:val="0"/>
          <w:marTop w:val="0"/>
          <w:marBottom w:val="0"/>
          <w:divBdr>
            <w:top w:val="none" w:sz="0" w:space="0" w:color="auto"/>
            <w:left w:val="none" w:sz="0" w:space="0" w:color="auto"/>
            <w:bottom w:val="none" w:sz="0" w:space="0" w:color="auto"/>
            <w:right w:val="none" w:sz="0" w:space="0" w:color="auto"/>
          </w:divBdr>
        </w:div>
        <w:div w:id="569315580">
          <w:marLeft w:val="0"/>
          <w:marRight w:val="0"/>
          <w:marTop w:val="0"/>
          <w:marBottom w:val="0"/>
          <w:divBdr>
            <w:top w:val="none" w:sz="0" w:space="0" w:color="auto"/>
            <w:left w:val="none" w:sz="0" w:space="0" w:color="auto"/>
            <w:bottom w:val="none" w:sz="0" w:space="0" w:color="auto"/>
            <w:right w:val="none" w:sz="0" w:space="0" w:color="auto"/>
          </w:divBdr>
        </w:div>
        <w:div w:id="839589225">
          <w:marLeft w:val="0"/>
          <w:marRight w:val="0"/>
          <w:marTop w:val="0"/>
          <w:marBottom w:val="0"/>
          <w:divBdr>
            <w:top w:val="none" w:sz="0" w:space="0" w:color="auto"/>
            <w:left w:val="none" w:sz="0" w:space="0" w:color="auto"/>
            <w:bottom w:val="none" w:sz="0" w:space="0" w:color="auto"/>
            <w:right w:val="none" w:sz="0" w:space="0" w:color="auto"/>
          </w:divBdr>
        </w:div>
        <w:div w:id="961040061">
          <w:marLeft w:val="0"/>
          <w:marRight w:val="0"/>
          <w:marTop w:val="0"/>
          <w:marBottom w:val="0"/>
          <w:divBdr>
            <w:top w:val="none" w:sz="0" w:space="0" w:color="auto"/>
            <w:left w:val="none" w:sz="0" w:space="0" w:color="auto"/>
            <w:bottom w:val="none" w:sz="0" w:space="0" w:color="auto"/>
            <w:right w:val="none" w:sz="0" w:space="0" w:color="auto"/>
          </w:divBdr>
        </w:div>
        <w:div w:id="1065497217">
          <w:marLeft w:val="0"/>
          <w:marRight w:val="0"/>
          <w:marTop w:val="0"/>
          <w:marBottom w:val="0"/>
          <w:divBdr>
            <w:top w:val="none" w:sz="0" w:space="0" w:color="auto"/>
            <w:left w:val="none" w:sz="0" w:space="0" w:color="auto"/>
            <w:bottom w:val="none" w:sz="0" w:space="0" w:color="auto"/>
            <w:right w:val="none" w:sz="0" w:space="0" w:color="auto"/>
          </w:divBdr>
        </w:div>
        <w:div w:id="1304389042">
          <w:marLeft w:val="0"/>
          <w:marRight w:val="0"/>
          <w:marTop w:val="0"/>
          <w:marBottom w:val="0"/>
          <w:divBdr>
            <w:top w:val="none" w:sz="0" w:space="0" w:color="auto"/>
            <w:left w:val="none" w:sz="0" w:space="0" w:color="auto"/>
            <w:bottom w:val="none" w:sz="0" w:space="0" w:color="auto"/>
            <w:right w:val="none" w:sz="0" w:space="0" w:color="auto"/>
          </w:divBdr>
        </w:div>
        <w:div w:id="1341200415">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1590699822">
          <w:marLeft w:val="0"/>
          <w:marRight w:val="0"/>
          <w:marTop w:val="0"/>
          <w:marBottom w:val="0"/>
          <w:divBdr>
            <w:top w:val="none" w:sz="0" w:space="0" w:color="auto"/>
            <w:left w:val="none" w:sz="0" w:space="0" w:color="auto"/>
            <w:bottom w:val="none" w:sz="0" w:space="0" w:color="auto"/>
            <w:right w:val="none" w:sz="0" w:space="0" w:color="auto"/>
          </w:divBdr>
        </w:div>
        <w:div w:id="1651179539">
          <w:marLeft w:val="0"/>
          <w:marRight w:val="0"/>
          <w:marTop w:val="0"/>
          <w:marBottom w:val="0"/>
          <w:divBdr>
            <w:top w:val="none" w:sz="0" w:space="0" w:color="auto"/>
            <w:left w:val="none" w:sz="0" w:space="0" w:color="auto"/>
            <w:bottom w:val="none" w:sz="0" w:space="0" w:color="auto"/>
            <w:right w:val="none" w:sz="0" w:space="0" w:color="auto"/>
          </w:divBdr>
        </w:div>
        <w:div w:id="1731073091">
          <w:marLeft w:val="0"/>
          <w:marRight w:val="0"/>
          <w:marTop w:val="0"/>
          <w:marBottom w:val="0"/>
          <w:divBdr>
            <w:top w:val="none" w:sz="0" w:space="0" w:color="auto"/>
            <w:left w:val="none" w:sz="0" w:space="0" w:color="auto"/>
            <w:bottom w:val="none" w:sz="0" w:space="0" w:color="auto"/>
            <w:right w:val="none" w:sz="0" w:space="0" w:color="auto"/>
          </w:divBdr>
        </w:div>
        <w:div w:id="1820656240">
          <w:marLeft w:val="0"/>
          <w:marRight w:val="0"/>
          <w:marTop w:val="0"/>
          <w:marBottom w:val="0"/>
          <w:divBdr>
            <w:top w:val="none" w:sz="0" w:space="0" w:color="auto"/>
            <w:left w:val="none" w:sz="0" w:space="0" w:color="auto"/>
            <w:bottom w:val="none" w:sz="0" w:space="0" w:color="auto"/>
            <w:right w:val="none" w:sz="0" w:space="0" w:color="auto"/>
          </w:divBdr>
        </w:div>
        <w:div w:id="2132701745">
          <w:marLeft w:val="0"/>
          <w:marRight w:val="0"/>
          <w:marTop w:val="0"/>
          <w:marBottom w:val="0"/>
          <w:divBdr>
            <w:top w:val="none" w:sz="0" w:space="0" w:color="auto"/>
            <w:left w:val="none" w:sz="0" w:space="0" w:color="auto"/>
            <w:bottom w:val="none" w:sz="0" w:space="0" w:color="auto"/>
            <w:right w:val="none" w:sz="0" w:space="0" w:color="auto"/>
          </w:divBdr>
        </w:div>
      </w:divsChild>
    </w:div>
    <w:div w:id="742332864">
      <w:bodyDiv w:val="1"/>
      <w:marLeft w:val="0"/>
      <w:marRight w:val="0"/>
      <w:marTop w:val="0"/>
      <w:marBottom w:val="0"/>
      <w:divBdr>
        <w:top w:val="none" w:sz="0" w:space="0" w:color="auto"/>
        <w:left w:val="none" w:sz="0" w:space="0" w:color="auto"/>
        <w:bottom w:val="none" w:sz="0" w:space="0" w:color="auto"/>
        <w:right w:val="none" w:sz="0" w:space="0" w:color="auto"/>
      </w:divBdr>
      <w:divsChild>
        <w:div w:id="76828568">
          <w:marLeft w:val="0"/>
          <w:marRight w:val="0"/>
          <w:marTop w:val="0"/>
          <w:marBottom w:val="0"/>
          <w:divBdr>
            <w:top w:val="none" w:sz="0" w:space="0" w:color="auto"/>
            <w:left w:val="none" w:sz="0" w:space="0" w:color="auto"/>
            <w:bottom w:val="none" w:sz="0" w:space="0" w:color="auto"/>
            <w:right w:val="none" w:sz="0" w:space="0" w:color="auto"/>
          </w:divBdr>
        </w:div>
        <w:div w:id="222640363">
          <w:marLeft w:val="0"/>
          <w:marRight w:val="0"/>
          <w:marTop w:val="0"/>
          <w:marBottom w:val="0"/>
          <w:divBdr>
            <w:top w:val="none" w:sz="0" w:space="0" w:color="auto"/>
            <w:left w:val="none" w:sz="0" w:space="0" w:color="auto"/>
            <w:bottom w:val="none" w:sz="0" w:space="0" w:color="auto"/>
            <w:right w:val="none" w:sz="0" w:space="0" w:color="auto"/>
          </w:divBdr>
        </w:div>
        <w:div w:id="270747209">
          <w:marLeft w:val="0"/>
          <w:marRight w:val="0"/>
          <w:marTop w:val="0"/>
          <w:marBottom w:val="0"/>
          <w:divBdr>
            <w:top w:val="none" w:sz="0" w:space="0" w:color="auto"/>
            <w:left w:val="none" w:sz="0" w:space="0" w:color="auto"/>
            <w:bottom w:val="none" w:sz="0" w:space="0" w:color="auto"/>
            <w:right w:val="none" w:sz="0" w:space="0" w:color="auto"/>
          </w:divBdr>
        </w:div>
        <w:div w:id="303200133">
          <w:marLeft w:val="0"/>
          <w:marRight w:val="0"/>
          <w:marTop w:val="0"/>
          <w:marBottom w:val="0"/>
          <w:divBdr>
            <w:top w:val="none" w:sz="0" w:space="0" w:color="auto"/>
            <w:left w:val="none" w:sz="0" w:space="0" w:color="auto"/>
            <w:bottom w:val="none" w:sz="0" w:space="0" w:color="auto"/>
            <w:right w:val="none" w:sz="0" w:space="0" w:color="auto"/>
          </w:divBdr>
        </w:div>
        <w:div w:id="318702288">
          <w:marLeft w:val="0"/>
          <w:marRight w:val="0"/>
          <w:marTop w:val="0"/>
          <w:marBottom w:val="0"/>
          <w:divBdr>
            <w:top w:val="none" w:sz="0" w:space="0" w:color="auto"/>
            <w:left w:val="none" w:sz="0" w:space="0" w:color="auto"/>
            <w:bottom w:val="none" w:sz="0" w:space="0" w:color="auto"/>
            <w:right w:val="none" w:sz="0" w:space="0" w:color="auto"/>
          </w:divBdr>
        </w:div>
        <w:div w:id="623313530">
          <w:marLeft w:val="0"/>
          <w:marRight w:val="0"/>
          <w:marTop w:val="0"/>
          <w:marBottom w:val="0"/>
          <w:divBdr>
            <w:top w:val="none" w:sz="0" w:space="0" w:color="auto"/>
            <w:left w:val="none" w:sz="0" w:space="0" w:color="auto"/>
            <w:bottom w:val="none" w:sz="0" w:space="0" w:color="auto"/>
            <w:right w:val="none" w:sz="0" w:space="0" w:color="auto"/>
          </w:divBdr>
        </w:div>
        <w:div w:id="755438489">
          <w:marLeft w:val="0"/>
          <w:marRight w:val="0"/>
          <w:marTop w:val="0"/>
          <w:marBottom w:val="0"/>
          <w:divBdr>
            <w:top w:val="none" w:sz="0" w:space="0" w:color="auto"/>
            <w:left w:val="none" w:sz="0" w:space="0" w:color="auto"/>
            <w:bottom w:val="none" w:sz="0" w:space="0" w:color="auto"/>
            <w:right w:val="none" w:sz="0" w:space="0" w:color="auto"/>
          </w:divBdr>
        </w:div>
        <w:div w:id="1418865207">
          <w:marLeft w:val="0"/>
          <w:marRight w:val="0"/>
          <w:marTop w:val="0"/>
          <w:marBottom w:val="0"/>
          <w:divBdr>
            <w:top w:val="none" w:sz="0" w:space="0" w:color="auto"/>
            <w:left w:val="none" w:sz="0" w:space="0" w:color="auto"/>
            <w:bottom w:val="none" w:sz="0" w:space="0" w:color="auto"/>
            <w:right w:val="none" w:sz="0" w:space="0" w:color="auto"/>
          </w:divBdr>
        </w:div>
        <w:div w:id="1451169516">
          <w:marLeft w:val="0"/>
          <w:marRight w:val="0"/>
          <w:marTop w:val="0"/>
          <w:marBottom w:val="0"/>
          <w:divBdr>
            <w:top w:val="none" w:sz="0" w:space="0" w:color="auto"/>
            <w:left w:val="none" w:sz="0" w:space="0" w:color="auto"/>
            <w:bottom w:val="none" w:sz="0" w:space="0" w:color="auto"/>
            <w:right w:val="none" w:sz="0" w:space="0" w:color="auto"/>
          </w:divBdr>
        </w:div>
        <w:div w:id="1656497056">
          <w:marLeft w:val="0"/>
          <w:marRight w:val="0"/>
          <w:marTop w:val="0"/>
          <w:marBottom w:val="0"/>
          <w:divBdr>
            <w:top w:val="none" w:sz="0" w:space="0" w:color="auto"/>
            <w:left w:val="none" w:sz="0" w:space="0" w:color="auto"/>
            <w:bottom w:val="none" w:sz="0" w:space="0" w:color="auto"/>
            <w:right w:val="none" w:sz="0" w:space="0" w:color="auto"/>
          </w:divBdr>
        </w:div>
        <w:div w:id="1825320333">
          <w:marLeft w:val="0"/>
          <w:marRight w:val="0"/>
          <w:marTop w:val="0"/>
          <w:marBottom w:val="0"/>
          <w:divBdr>
            <w:top w:val="none" w:sz="0" w:space="0" w:color="auto"/>
            <w:left w:val="none" w:sz="0" w:space="0" w:color="auto"/>
            <w:bottom w:val="none" w:sz="0" w:space="0" w:color="auto"/>
            <w:right w:val="none" w:sz="0" w:space="0" w:color="auto"/>
          </w:divBdr>
        </w:div>
        <w:div w:id="1855459225">
          <w:marLeft w:val="0"/>
          <w:marRight w:val="0"/>
          <w:marTop w:val="0"/>
          <w:marBottom w:val="0"/>
          <w:divBdr>
            <w:top w:val="none" w:sz="0" w:space="0" w:color="auto"/>
            <w:left w:val="none" w:sz="0" w:space="0" w:color="auto"/>
            <w:bottom w:val="none" w:sz="0" w:space="0" w:color="auto"/>
            <w:right w:val="none" w:sz="0" w:space="0" w:color="auto"/>
          </w:divBdr>
        </w:div>
        <w:div w:id="1986817733">
          <w:marLeft w:val="0"/>
          <w:marRight w:val="0"/>
          <w:marTop w:val="0"/>
          <w:marBottom w:val="0"/>
          <w:divBdr>
            <w:top w:val="none" w:sz="0" w:space="0" w:color="auto"/>
            <w:left w:val="none" w:sz="0" w:space="0" w:color="auto"/>
            <w:bottom w:val="none" w:sz="0" w:space="0" w:color="auto"/>
            <w:right w:val="none" w:sz="0" w:space="0" w:color="auto"/>
          </w:divBdr>
        </w:div>
      </w:divsChild>
    </w:div>
    <w:div w:id="1008872791">
      <w:bodyDiv w:val="1"/>
      <w:marLeft w:val="0"/>
      <w:marRight w:val="0"/>
      <w:marTop w:val="0"/>
      <w:marBottom w:val="0"/>
      <w:divBdr>
        <w:top w:val="none" w:sz="0" w:space="0" w:color="auto"/>
        <w:left w:val="none" w:sz="0" w:space="0" w:color="auto"/>
        <w:bottom w:val="none" w:sz="0" w:space="0" w:color="auto"/>
        <w:right w:val="none" w:sz="0" w:space="0" w:color="auto"/>
      </w:divBdr>
    </w:div>
    <w:div w:id="1093890965">
      <w:bodyDiv w:val="1"/>
      <w:marLeft w:val="0"/>
      <w:marRight w:val="0"/>
      <w:marTop w:val="0"/>
      <w:marBottom w:val="0"/>
      <w:divBdr>
        <w:top w:val="none" w:sz="0" w:space="0" w:color="auto"/>
        <w:left w:val="none" w:sz="0" w:space="0" w:color="auto"/>
        <w:bottom w:val="none" w:sz="0" w:space="0" w:color="auto"/>
        <w:right w:val="none" w:sz="0" w:space="0" w:color="auto"/>
      </w:divBdr>
    </w:div>
    <w:div w:id="1827163464">
      <w:bodyDiv w:val="1"/>
      <w:marLeft w:val="0"/>
      <w:marRight w:val="0"/>
      <w:marTop w:val="0"/>
      <w:marBottom w:val="0"/>
      <w:divBdr>
        <w:top w:val="none" w:sz="0" w:space="0" w:color="auto"/>
        <w:left w:val="none" w:sz="0" w:space="0" w:color="auto"/>
        <w:bottom w:val="none" w:sz="0" w:space="0" w:color="auto"/>
        <w:right w:val="none" w:sz="0" w:space="0" w:color="auto"/>
      </w:divBdr>
      <w:divsChild>
        <w:div w:id="155194959">
          <w:marLeft w:val="0"/>
          <w:marRight w:val="0"/>
          <w:marTop w:val="0"/>
          <w:marBottom w:val="0"/>
          <w:divBdr>
            <w:top w:val="none" w:sz="0" w:space="0" w:color="auto"/>
            <w:left w:val="none" w:sz="0" w:space="0" w:color="auto"/>
            <w:bottom w:val="none" w:sz="0" w:space="0" w:color="auto"/>
            <w:right w:val="none" w:sz="0" w:space="0" w:color="auto"/>
          </w:divBdr>
        </w:div>
        <w:div w:id="620377901">
          <w:marLeft w:val="0"/>
          <w:marRight w:val="0"/>
          <w:marTop w:val="0"/>
          <w:marBottom w:val="0"/>
          <w:divBdr>
            <w:top w:val="none" w:sz="0" w:space="0" w:color="auto"/>
            <w:left w:val="none" w:sz="0" w:space="0" w:color="auto"/>
            <w:bottom w:val="none" w:sz="0" w:space="0" w:color="auto"/>
            <w:right w:val="none" w:sz="0" w:space="0" w:color="auto"/>
          </w:divBdr>
        </w:div>
        <w:div w:id="693843749">
          <w:marLeft w:val="0"/>
          <w:marRight w:val="0"/>
          <w:marTop w:val="0"/>
          <w:marBottom w:val="0"/>
          <w:divBdr>
            <w:top w:val="none" w:sz="0" w:space="0" w:color="auto"/>
            <w:left w:val="none" w:sz="0" w:space="0" w:color="auto"/>
            <w:bottom w:val="none" w:sz="0" w:space="0" w:color="auto"/>
            <w:right w:val="none" w:sz="0" w:space="0" w:color="auto"/>
          </w:divBdr>
        </w:div>
        <w:div w:id="756169140">
          <w:marLeft w:val="0"/>
          <w:marRight w:val="0"/>
          <w:marTop w:val="0"/>
          <w:marBottom w:val="0"/>
          <w:divBdr>
            <w:top w:val="none" w:sz="0" w:space="0" w:color="auto"/>
            <w:left w:val="none" w:sz="0" w:space="0" w:color="auto"/>
            <w:bottom w:val="none" w:sz="0" w:space="0" w:color="auto"/>
            <w:right w:val="none" w:sz="0" w:space="0" w:color="auto"/>
          </w:divBdr>
        </w:div>
        <w:div w:id="806623547">
          <w:marLeft w:val="0"/>
          <w:marRight w:val="0"/>
          <w:marTop w:val="0"/>
          <w:marBottom w:val="0"/>
          <w:divBdr>
            <w:top w:val="none" w:sz="0" w:space="0" w:color="auto"/>
            <w:left w:val="none" w:sz="0" w:space="0" w:color="auto"/>
            <w:bottom w:val="none" w:sz="0" w:space="0" w:color="auto"/>
            <w:right w:val="none" w:sz="0" w:space="0" w:color="auto"/>
          </w:divBdr>
        </w:div>
        <w:div w:id="1037006661">
          <w:marLeft w:val="0"/>
          <w:marRight w:val="0"/>
          <w:marTop w:val="0"/>
          <w:marBottom w:val="0"/>
          <w:divBdr>
            <w:top w:val="none" w:sz="0" w:space="0" w:color="auto"/>
            <w:left w:val="none" w:sz="0" w:space="0" w:color="auto"/>
            <w:bottom w:val="none" w:sz="0" w:space="0" w:color="auto"/>
            <w:right w:val="none" w:sz="0" w:space="0" w:color="auto"/>
          </w:divBdr>
        </w:div>
        <w:div w:id="1062094122">
          <w:marLeft w:val="0"/>
          <w:marRight w:val="0"/>
          <w:marTop w:val="0"/>
          <w:marBottom w:val="0"/>
          <w:divBdr>
            <w:top w:val="none" w:sz="0" w:space="0" w:color="auto"/>
            <w:left w:val="none" w:sz="0" w:space="0" w:color="auto"/>
            <w:bottom w:val="none" w:sz="0" w:space="0" w:color="auto"/>
            <w:right w:val="none" w:sz="0" w:space="0" w:color="auto"/>
          </w:divBdr>
        </w:div>
        <w:div w:id="1123378580">
          <w:marLeft w:val="0"/>
          <w:marRight w:val="0"/>
          <w:marTop w:val="0"/>
          <w:marBottom w:val="0"/>
          <w:divBdr>
            <w:top w:val="none" w:sz="0" w:space="0" w:color="auto"/>
            <w:left w:val="none" w:sz="0" w:space="0" w:color="auto"/>
            <w:bottom w:val="none" w:sz="0" w:space="0" w:color="auto"/>
            <w:right w:val="none" w:sz="0" w:space="0" w:color="auto"/>
          </w:divBdr>
        </w:div>
        <w:div w:id="1258516120">
          <w:marLeft w:val="0"/>
          <w:marRight w:val="0"/>
          <w:marTop w:val="0"/>
          <w:marBottom w:val="0"/>
          <w:divBdr>
            <w:top w:val="none" w:sz="0" w:space="0" w:color="auto"/>
            <w:left w:val="none" w:sz="0" w:space="0" w:color="auto"/>
            <w:bottom w:val="none" w:sz="0" w:space="0" w:color="auto"/>
            <w:right w:val="none" w:sz="0" w:space="0" w:color="auto"/>
          </w:divBdr>
        </w:div>
        <w:div w:id="1273367414">
          <w:marLeft w:val="0"/>
          <w:marRight w:val="0"/>
          <w:marTop w:val="0"/>
          <w:marBottom w:val="0"/>
          <w:divBdr>
            <w:top w:val="none" w:sz="0" w:space="0" w:color="auto"/>
            <w:left w:val="none" w:sz="0" w:space="0" w:color="auto"/>
            <w:bottom w:val="none" w:sz="0" w:space="0" w:color="auto"/>
            <w:right w:val="none" w:sz="0" w:space="0" w:color="auto"/>
          </w:divBdr>
        </w:div>
        <w:div w:id="1413695849">
          <w:marLeft w:val="0"/>
          <w:marRight w:val="0"/>
          <w:marTop w:val="0"/>
          <w:marBottom w:val="0"/>
          <w:divBdr>
            <w:top w:val="none" w:sz="0" w:space="0" w:color="auto"/>
            <w:left w:val="none" w:sz="0" w:space="0" w:color="auto"/>
            <w:bottom w:val="none" w:sz="0" w:space="0" w:color="auto"/>
            <w:right w:val="none" w:sz="0" w:space="0" w:color="auto"/>
          </w:divBdr>
        </w:div>
        <w:div w:id="1435898352">
          <w:marLeft w:val="0"/>
          <w:marRight w:val="0"/>
          <w:marTop w:val="0"/>
          <w:marBottom w:val="0"/>
          <w:divBdr>
            <w:top w:val="none" w:sz="0" w:space="0" w:color="auto"/>
            <w:left w:val="none" w:sz="0" w:space="0" w:color="auto"/>
            <w:bottom w:val="none" w:sz="0" w:space="0" w:color="auto"/>
            <w:right w:val="none" w:sz="0" w:space="0" w:color="auto"/>
          </w:divBdr>
        </w:div>
        <w:div w:id="1485782142">
          <w:marLeft w:val="0"/>
          <w:marRight w:val="0"/>
          <w:marTop w:val="0"/>
          <w:marBottom w:val="0"/>
          <w:divBdr>
            <w:top w:val="none" w:sz="0" w:space="0" w:color="auto"/>
            <w:left w:val="none" w:sz="0" w:space="0" w:color="auto"/>
            <w:bottom w:val="none" w:sz="0" w:space="0" w:color="auto"/>
            <w:right w:val="none" w:sz="0" w:space="0" w:color="auto"/>
          </w:divBdr>
        </w:div>
        <w:div w:id="1496532171">
          <w:marLeft w:val="0"/>
          <w:marRight w:val="0"/>
          <w:marTop w:val="0"/>
          <w:marBottom w:val="0"/>
          <w:divBdr>
            <w:top w:val="none" w:sz="0" w:space="0" w:color="auto"/>
            <w:left w:val="none" w:sz="0" w:space="0" w:color="auto"/>
            <w:bottom w:val="none" w:sz="0" w:space="0" w:color="auto"/>
            <w:right w:val="none" w:sz="0" w:space="0" w:color="auto"/>
          </w:divBdr>
        </w:div>
        <w:div w:id="1599563140">
          <w:marLeft w:val="0"/>
          <w:marRight w:val="0"/>
          <w:marTop w:val="0"/>
          <w:marBottom w:val="0"/>
          <w:divBdr>
            <w:top w:val="none" w:sz="0" w:space="0" w:color="auto"/>
            <w:left w:val="none" w:sz="0" w:space="0" w:color="auto"/>
            <w:bottom w:val="none" w:sz="0" w:space="0" w:color="auto"/>
            <w:right w:val="none" w:sz="0" w:space="0" w:color="auto"/>
          </w:divBdr>
        </w:div>
        <w:div w:id="208679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MIRELA SINANI</vt:lpstr>
    </vt:vector>
  </TitlesOfParts>
  <Company>Servisi</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MIRELA SINANI</dc:title>
  <dc:subject>Dt.26.01.2015</dc:subject>
  <dc:creator>Vitore TUSHA</dc:creator>
  <cp:keywords/>
  <cp:lastModifiedBy>User</cp:lastModifiedBy>
  <cp:revision>2</cp:revision>
  <cp:lastPrinted>2015-01-21T12:29:00Z</cp:lastPrinted>
  <dcterms:created xsi:type="dcterms:W3CDTF">2021-03-02T14:04:00Z</dcterms:created>
  <dcterms:modified xsi:type="dcterms:W3CDTF">2021-03-02T14:04:00Z</dcterms:modified>
</cp:coreProperties>
</file>