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5AB" w:rsidRPr="00220A56" w:rsidRDefault="007815AB" w:rsidP="00AC0308">
      <w:pPr>
        <w:jc w:val="center"/>
        <w:rPr>
          <w:rFonts w:eastAsia="Calibri"/>
          <w:b/>
          <w:bCs/>
        </w:rPr>
      </w:pPr>
      <w:r w:rsidRPr="00220A56">
        <w:rPr>
          <w:rFonts w:eastAsia="Times New Roman"/>
          <w:b/>
          <w:bCs/>
        </w:rPr>
        <w:t>V</w:t>
      </w:r>
      <w:r w:rsidR="00AC0308">
        <w:rPr>
          <w:rFonts w:eastAsia="Times New Roman"/>
          <w:b/>
          <w:bCs/>
        </w:rPr>
        <w:t>endim nr. 3 dat</w:t>
      </w:r>
      <w:r w:rsidR="00AC0308" w:rsidRPr="00AC0308">
        <w:rPr>
          <w:rFonts w:eastAsia="Times New Roman"/>
          <w:b/>
        </w:rPr>
        <w:t>ë</w:t>
      </w:r>
      <w:r w:rsidR="00DA1866">
        <w:rPr>
          <w:rFonts w:eastAsia="Times New Roman"/>
          <w:b/>
        </w:rPr>
        <w:t xml:space="preserve"> </w:t>
      </w:r>
      <w:r w:rsidR="00DA1866" w:rsidRPr="00220A56">
        <w:rPr>
          <w:b/>
          <w:bCs/>
        </w:rPr>
        <w:t>17.02.2022</w:t>
      </w:r>
    </w:p>
    <w:p w:rsidR="007815AB" w:rsidRPr="00220A56" w:rsidRDefault="00DA1866" w:rsidP="00026FB2">
      <w:pPr>
        <w:jc w:val="center"/>
        <w:rPr>
          <w:rFonts w:eastAsia="Times New Roman"/>
          <w:b/>
          <w:bCs/>
        </w:rPr>
      </w:pPr>
      <w:r>
        <w:rPr>
          <w:rFonts w:eastAsia="Times New Roman"/>
          <w:b/>
          <w:bCs/>
        </w:rPr>
        <w:t>(V-3/22)</w:t>
      </w:r>
    </w:p>
    <w:p w:rsidR="00DA1866" w:rsidRDefault="00DA1866" w:rsidP="00DA1866">
      <w:pPr>
        <w:jc w:val="both"/>
        <w:rPr>
          <w:rFonts w:eastAsia="Times New Roman"/>
        </w:rPr>
      </w:pPr>
    </w:p>
    <w:p w:rsidR="007815AB" w:rsidRPr="00220A56" w:rsidRDefault="007815AB" w:rsidP="00DA1866">
      <w:pPr>
        <w:jc w:val="both"/>
        <w:rPr>
          <w:rFonts w:eastAsia="Times New Roman"/>
        </w:rPr>
      </w:pPr>
      <w:r w:rsidRPr="00220A56">
        <w:rPr>
          <w:rFonts w:eastAsia="Times New Roman"/>
        </w:rPr>
        <w:t xml:space="preserve">Gjykata Kushtetuese </w:t>
      </w:r>
      <w:r w:rsidR="00427AA6" w:rsidRPr="00220A56">
        <w:rPr>
          <w:rFonts w:eastAsia="Times New Roman"/>
        </w:rPr>
        <w:t>E</w:t>
      </w:r>
      <w:r w:rsidRPr="00220A56">
        <w:rPr>
          <w:rFonts w:eastAsia="Times New Roman"/>
        </w:rPr>
        <w:t xml:space="preserve"> Republikës së Shqipërisë, e përbërë nga:</w:t>
      </w:r>
      <w:r w:rsidR="00DA1866">
        <w:rPr>
          <w:rFonts w:eastAsia="Times New Roman"/>
        </w:rPr>
        <w:t xml:space="preserve"> Vitore Tusha, </w:t>
      </w:r>
      <w:r w:rsidR="00AC0308">
        <w:rPr>
          <w:rFonts w:eastAsia="Times New Roman"/>
        </w:rPr>
        <w:t>Kryetare,</w:t>
      </w:r>
      <w:r w:rsidR="00DA1866">
        <w:rPr>
          <w:rFonts w:eastAsia="Times New Roman"/>
        </w:rPr>
        <w:t xml:space="preserve"> </w:t>
      </w:r>
      <w:proofErr w:type="spellStart"/>
      <w:r w:rsidR="00AC0308">
        <w:rPr>
          <w:rFonts w:eastAsia="Times New Roman"/>
        </w:rPr>
        <w:t>Marsida</w:t>
      </w:r>
      <w:proofErr w:type="spellEnd"/>
      <w:r w:rsidR="00AC0308">
        <w:rPr>
          <w:rFonts w:eastAsia="Times New Roman"/>
        </w:rPr>
        <w:t xml:space="preserve"> </w:t>
      </w:r>
      <w:proofErr w:type="spellStart"/>
      <w:r w:rsidR="00AC0308">
        <w:rPr>
          <w:rFonts w:eastAsia="Times New Roman"/>
        </w:rPr>
        <w:t>Xhaferllari</w:t>
      </w:r>
      <w:proofErr w:type="spellEnd"/>
      <w:r w:rsidR="00AC0308">
        <w:rPr>
          <w:rFonts w:eastAsia="Times New Roman"/>
        </w:rPr>
        <w:t xml:space="preserve">, </w:t>
      </w:r>
      <w:proofErr w:type="spellStart"/>
      <w:r w:rsidR="00AC0308">
        <w:rPr>
          <w:rFonts w:eastAsia="Times New Roman"/>
        </w:rPr>
        <w:t>Fiona</w:t>
      </w:r>
      <w:proofErr w:type="spellEnd"/>
      <w:r w:rsidR="00AC0308">
        <w:rPr>
          <w:rFonts w:eastAsia="Times New Roman"/>
        </w:rPr>
        <w:t xml:space="preserve"> </w:t>
      </w:r>
      <w:proofErr w:type="spellStart"/>
      <w:r w:rsidR="00AC0308">
        <w:rPr>
          <w:rFonts w:eastAsia="Times New Roman"/>
        </w:rPr>
        <w:t>Papajorgji</w:t>
      </w:r>
      <w:proofErr w:type="spellEnd"/>
      <w:r w:rsidR="00AC0308">
        <w:rPr>
          <w:rFonts w:eastAsia="Times New Roman"/>
        </w:rPr>
        <w:t xml:space="preserve">, Altin </w:t>
      </w:r>
      <w:proofErr w:type="spellStart"/>
      <w:r w:rsidR="00AC0308">
        <w:rPr>
          <w:rFonts w:eastAsia="Times New Roman"/>
        </w:rPr>
        <w:t>Binaj</w:t>
      </w:r>
      <w:proofErr w:type="spellEnd"/>
      <w:r w:rsidR="00AC0308">
        <w:rPr>
          <w:rFonts w:eastAsia="Times New Roman"/>
        </w:rPr>
        <w:t xml:space="preserve">, </w:t>
      </w:r>
      <w:r w:rsidR="00AC0308">
        <w:t xml:space="preserve">Përparim Kalo, </w:t>
      </w:r>
      <w:proofErr w:type="spellStart"/>
      <w:r w:rsidR="00AC0308">
        <w:rPr>
          <w:rFonts w:eastAsia="Times New Roman"/>
        </w:rPr>
        <w:t>Sonila</w:t>
      </w:r>
      <w:proofErr w:type="spellEnd"/>
      <w:r w:rsidR="00AC0308">
        <w:rPr>
          <w:rFonts w:eastAsia="Times New Roman"/>
        </w:rPr>
        <w:t xml:space="preserve"> Bejtja, </w:t>
      </w:r>
      <w:proofErr w:type="spellStart"/>
      <w:r w:rsidR="00DA1866">
        <w:rPr>
          <w:rFonts w:eastAsia="Times New Roman"/>
        </w:rPr>
        <w:t>Elsa</w:t>
      </w:r>
      <w:proofErr w:type="spellEnd"/>
      <w:r w:rsidR="00DA1866">
        <w:rPr>
          <w:rFonts w:eastAsia="Times New Roman"/>
        </w:rPr>
        <w:t xml:space="preserve"> Toska, </w:t>
      </w:r>
      <w:r w:rsidR="00AC0308">
        <w:rPr>
          <w:rFonts w:eastAsia="Times New Roman"/>
        </w:rPr>
        <w:t>anëtar</w:t>
      </w:r>
      <w:r w:rsidR="00AC0308" w:rsidRPr="00220A56">
        <w:rPr>
          <w:rFonts w:eastAsia="Times New Roman"/>
        </w:rPr>
        <w:t>ë</w:t>
      </w:r>
      <w:r w:rsidRPr="00220A56">
        <w:rPr>
          <w:rFonts w:eastAsia="Times New Roman"/>
        </w:rPr>
        <w:t xml:space="preserve"> </w:t>
      </w:r>
    </w:p>
    <w:p w:rsidR="007815AB" w:rsidRPr="00220A56" w:rsidRDefault="007815AB" w:rsidP="00DA1866">
      <w:pPr>
        <w:tabs>
          <w:tab w:val="left" w:pos="1080"/>
        </w:tabs>
        <w:contextualSpacing/>
        <w:jc w:val="both"/>
        <w:rPr>
          <w:rFonts w:eastAsia="Calibri"/>
        </w:rPr>
      </w:pPr>
      <w:r w:rsidRPr="00220A56">
        <w:rPr>
          <w:rFonts w:eastAsia="Calibri"/>
        </w:rPr>
        <w:t xml:space="preserve">me sekretare </w:t>
      </w:r>
      <w:proofErr w:type="spellStart"/>
      <w:r w:rsidR="00BA04DC" w:rsidRPr="00220A56">
        <w:rPr>
          <w:rFonts w:eastAsia="Calibri"/>
        </w:rPr>
        <w:t>Belma</w:t>
      </w:r>
      <w:proofErr w:type="spellEnd"/>
      <w:r w:rsidR="00BA04DC" w:rsidRPr="00220A56">
        <w:rPr>
          <w:rFonts w:eastAsia="Calibri"/>
        </w:rPr>
        <w:t xml:space="preserve"> Lleshi</w:t>
      </w:r>
      <w:r w:rsidRPr="00220A56">
        <w:rPr>
          <w:rFonts w:eastAsia="Calibri"/>
        </w:rPr>
        <w:t xml:space="preserve">, në datën </w:t>
      </w:r>
      <w:r w:rsidR="005150E4" w:rsidRPr="00220A56">
        <w:rPr>
          <w:rFonts w:eastAsia="Times New Roman"/>
        </w:rPr>
        <w:t>17</w:t>
      </w:r>
      <w:r w:rsidR="00553554" w:rsidRPr="00220A56">
        <w:rPr>
          <w:rFonts w:eastAsia="Times New Roman"/>
        </w:rPr>
        <w:t>.</w:t>
      </w:r>
      <w:r w:rsidR="005150E4" w:rsidRPr="00220A56">
        <w:rPr>
          <w:rFonts w:eastAsia="Times New Roman"/>
        </w:rPr>
        <w:t>02</w:t>
      </w:r>
      <w:r w:rsidRPr="00220A56">
        <w:rPr>
          <w:rFonts w:eastAsia="Times New Roman"/>
        </w:rPr>
        <w:t>.202</w:t>
      </w:r>
      <w:r w:rsidR="00553554" w:rsidRPr="00220A56">
        <w:rPr>
          <w:rFonts w:eastAsia="Times New Roman"/>
        </w:rPr>
        <w:t>2</w:t>
      </w:r>
      <w:r w:rsidRPr="00220A56">
        <w:rPr>
          <w:rFonts w:eastAsia="Times New Roman"/>
        </w:rPr>
        <w:t xml:space="preserve"> </w:t>
      </w:r>
      <w:r w:rsidRPr="00220A56">
        <w:rPr>
          <w:rFonts w:eastAsia="Calibri"/>
        </w:rPr>
        <w:t>mori në shqyrtim në seancë plenare</w:t>
      </w:r>
      <w:r w:rsidR="00427AA6" w:rsidRPr="00220A56">
        <w:rPr>
          <w:rFonts w:eastAsia="Calibri"/>
        </w:rPr>
        <w:t>,</w:t>
      </w:r>
      <w:r w:rsidRPr="00220A56">
        <w:rPr>
          <w:rFonts w:eastAsia="Calibri"/>
        </w:rPr>
        <w:t xml:space="preserve"> mbi bazë dokumentesh</w:t>
      </w:r>
      <w:r w:rsidR="00427AA6" w:rsidRPr="00220A56">
        <w:rPr>
          <w:rFonts w:eastAsia="Calibri"/>
        </w:rPr>
        <w:t>,</w:t>
      </w:r>
      <w:r w:rsidRPr="00220A56">
        <w:rPr>
          <w:rFonts w:eastAsia="Calibri"/>
        </w:rPr>
        <w:t xml:space="preserve"> çështjen nr. </w:t>
      </w:r>
      <w:r w:rsidR="00553554" w:rsidRPr="00220A56">
        <w:rPr>
          <w:rFonts w:eastAsia="Calibri"/>
        </w:rPr>
        <w:t>2</w:t>
      </w:r>
      <w:r w:rsidRPr="00220A56">
        <w:rPr>
          <w:rFonts w:eastAsia="Calibri"/>
        </w:rPr>
        <w:t xml:space="preserve"> (L) 2021 të Regjistrit Themeltar, që u përket:</w:t>
      </w:r>
    </w:p>
    <w:p w:rsidR="007815AB" w:rsidRPr="00220A56" w:rsidRDefault="007815AB" w:rsidP="00026FB2">
      <w:pPr>
        <w:jc w:val="center"/>
        <w:rPr>
          <w:rFonts w:eastAsia="Calibri"/>
          <w:b/>
        </w:rPr>
      </w:pPr>
    </w:p>
    <w:p w:rsidR="00553554" w:rsidRPr="00220A56" w:rsidRDefault="00553554" w:rsidP="00026FB2">
      <w:pPr>
        <w:ind w:firstLine="720"/>
        <w:jc w:val="both"/>
        <w:rPr>
          <w:b/>
        </w:rPr>
      </w:pPr>
      <w:r w:rsidRPr="00220A56">
        <w:rPr>
          <w:b/>
        </w:rPr>
        <w:t>KËRKUES:</w:t>
      </w:r>
      <w:r w:rsidRPr="00220A56">
        <w:rPr>
          <w:b/>
        </w:rPr>
        <w:tab/>
      </w:r>
      <w:r w:rsidRPr="00220A56">
        <w:rPr>
          <w:b/>
        </w:rPr>
        <w:tab/>
        <w:t>LAERT KOLA</w:t>
      </w:r>
    </w:p>
    <w:p w:rsidR="00553554" w:rsidRPr="00220A56" w:rsidRDefault="00553554" w:rsidP="00026FB2">
      <w:pPr>
        <w:jc w:val="both"/>
        <w:rPr>
          <w:b/>
        </w:rPr>
      </w:pPr>
    </w:p>
    <w:p w:rsidR="00553554" w:rsidRPr="00220A56" w:rsidRDefault="00553554" w:rsidP="00026FB2">
      <w:pPr>
        <w:pStyle w:val="BodyTextIndent2"/>
      </w:pPr>
      <w:r w:rsidRPr="00220A56">
        <w:t xml:space="preserve">SUBJEKTE TË INTERESUARA: </w:t>
      </w:r>
    </w:p>
    <w:p w:rsidR="00553554" w:rsidRPr="00220A56" w:rsidRDefault="00553554" w:rsidP="00026FB2">
      <w:pPr>
        <w:pStyle w:val="BodyTextIndent2"/>
        <w:ind w:firstLine="0"/>
      </w:pPr>
      <w:r w:rsidRPr="00220A56">
        <w:t>AGJENCIA SHTETËRORE E KADASTËS</w:t>
      </w:r>
      <w:r w:rsidR="00427AA6" w:rsidRPr="00220A56">
        <w:t>,</w:t>
      </w:r>
    </w:p>
    <w:p w:rsidR="00553554" w:rsidRPr="00220A56" w:rsidRDefault="00553554" w:rsidP="00026FB2">
      <w:pPr>
        <w:pStyle w:val="BodyTextIndent2"/>
        <w:ind w:firstLine="0"/>
      </w:pPr>
      <w:r w:rsidRPr="00220A56">
        <w:t>AGJENCIA SHTETËRORE E KADASTËS, DREJTORIA VENDORE FIER</w:t>
      </w:r>
      <w:r w:rsidR="00427AA6" w:rsidRPr="00220A56">
        <w:t>,</w:t>
      </w:r>
    </w:p>
    <w:p w:rsidR="00553554" w:rsidRPr="00220A56" w:rsidRDefault="00553554" w:rsidP="00026FB2">
      <w:pPr>
        <w:pStyle w:val="BodyTextIndent2"/>
        <w:ind w:firstLine="0"/>
      </w:pPr>
      <w:r w:rsidRPr="00220A56">
        <w:t>BASHKIA FIER</w:t>
      </w:r>
      <w:r w:rsidR="00427AA6" w:rsidRPr="00220A56">
        <w:t>,</w:t>
      </w:r>
    </w:p>
    <w:p w:rsidR="00553554" w:rsidRPr="00220A56" w:rsidRDefault="00553554" w:rsidP="00026FB2">
      <w:pPr>
        <w:pStyle w:val="BodyTextIndent2"/>
        <w:ind w:firstLine="0"/>
      </w:pPr>
      <w:r w:rsidRPr="00220A56">
        <w:t>AVOKATURA E SHTETIT, ZYRA VENDORE VLORË</w:t>
      </w:r>
    </w:p>
    <w:p w:rsidR="00553554" w:rsidRPr="00220A56" w:rsidRDefault="00553554" w:rsidP="00026FB2">
      <w:pPr>
        <w:jc w:val="both"/>
        <w:rPr>
          <w:b/>
        </w:rPr>
      </w:pPr>
    </w:p>
    <w:p w:rsidR="00553554" w:rsidRPr="00220A56" w:rsidRDefault="00553554" w:rsidP="00026FB2">
      <w:pPr>
        <w:ind w:left="2880" w:hanging="2160"/>
        <w:jc w:val="both"/>
        <w:rPr>
          <w:b/>
        </w:rPr>
      </w:pPr>
      <w:r w:rsidRPr="00220A56">
        <w:rPr>
          <w:b/>
        </w:rPr>
        <w:t>OBJEKTI:</w:t>
      </w:r>
      <w:r w:rsidRPr="00220A56">
        <w:rPr>
          <w:b/>
        </w:rPr>
        <w:tab/>
        <w:t>Shfuqizimi i vendimit nr. 25/22, datë 17.06.2021 të Kolegjit Administrativ të Gjykatës së Lartë, si i papajtueshëm me Kushtetutën e Republikës së Shqipërisë.</w:t>
      </w:r>
    </w:p>
    <w:p w:rsidR="00553554" w:rsidRPr="00220A56" w:rsidRDefault="008A5AB8" w:rsidP="00026FB2">
      <w:pPr>
        <w:ind w:left="2880" w:hanging="2160"/>
        <w:jc w:val="both"/>
        <w:rPr>
          <w:b/>
        </w:rPr>
      </w:pPr>
      <w:r w:rsidRPr="00220A56">
        <w:rPr>
          <w:b/>
        </w:rPr>
        <w:tab/>
      </w:r>
    </w:p>
    <w:p w:rsidR="00553554" w:rsidRPr="00220A56" w:rsidRDefault="00553554" w:rsidP="00026FB2">
      <w:pPr>
        <w:ind w:left="2880" w:hanging="2160"/>
        <w:jc w:val="both"/>
      </w:pPr>
      <w:r w:rsidRPr="00220A56">
        <w:rPr>
          <w:b/>
        </w:rPr>
        <w:t>BAZA LIGJORE:</w:t>
      </w:r>
      <w:r w:rsidRPr="00220A56">
        <w:rPr>
          <w:b/>
        </w:rPr>
        <w:tab/>
      </w:r>
      <w:r w:rsidRPr="00220A56">
        <w:t>Nene</w:t>
      </w:r>
      <w:r w:rsidR="00427AA6" w:rsidRPr="00220A56">
        <w:t>t 42, 131, pika 1, shkronja “f” dhe</w:t>
      </w:r>
      <w:r w:rsidRPr="00220A56">
        <w:t xml:space="preserve"> 134, pika 1, shkronja “i”, të Kushtetutës; neni 6 i Konventës Evropiane për të Drejtat e Njeriut </w:t>
      </w:r>
      <w:r w:rsidRPr="00220A56">
        <w:rPr>
          <w:i/>
        </w:rPr>
        <w:t>(KEDNJ)</w:t>
      </w:r>
      <w:r w:rsidRPr="00220A56">
        <w:t>;</w:t>
      </w:r>
      <w:r w:rsidRPr="00220A56">
        <w:rPr>
          <w:i/>
        </w:rPr>
        <w:t xml:space="preserve"> </w:t>
      </w:r>
      <w:r w:rsidRPr="00220A56">
        <w:t xml:space="preserve">neni 71/a i ligjit nr. 8577, datë 10.02.2000 “Për organizimin dhe funksionimin e Gjykatës Kushtetuese të Republikës së Shqipërisë”, </w:t>
      </w:r>
      <w:r w:rsidR="00427AA6" w:rsidRPr="00220A56">
        <w:t>i</w:t>
      </w:r>
      <w:r w:rsidRPr="00220A56">
        <w:t xml:space="preserve"> ndryshuar </w:t>
      </w:r>
      <w:r w:rsidRPr="00220A56">
        <w:rPr>
          <w:i/>
        </w:rPr>
        <w:t>(ligji nr. 8577/2000)</w:t>
      </w:r>
      <w:r w:rsidRPr="00220A56">
        <w:t>.</w:t>
      </w:r>
    </w:p>
    <w:p w:rsidR="007815AB" w:rsidRPr="00220A56" w:rsidRDefault="007815AB" w:rsidP="00026FB2">
      <w:pPr>
        <w:ind w:left="2160" w:hanging="2160"/>
        <w:jc w:val="both"/>
        <w:rPr>
          <w:rFonts w:eastAsia="Calibri"/>
        </w:rPr>
      </w:pPr>
    </w:p>
    <w:p w:rsidR="007815AB" w:rsidRPr="00220A56" w:rsidRDefault="007815AB" w:rsidP="00026FB2">
      <w:pPr>
        <w:ind w:left="2160" w:hanging="2160"/>
        <w:jc w:val="center"/>
        <w:rPr>
          <w:rFonts w:eastAsia="Calibri"/>
          <w:b/>
        </w:rPr>
      </w:pPr>
      <w:r w:rsidRPr="00220A56">
        <w:rPr>
          <w:rFonts w:eastAsia="Calibri"/>
          <w:b/>
        </w:rPr>
        <w:t>GJYKATA KUSHTETUESE,</w:t>
      </w:r>
    </w:p>
    <w:p w:rsidR="007815AB" w:rsidRPr="00220A56" w:rsidRDefault="007815AB" w:rsidP="00026FB2">
      <w:pPr>
        <w:ind w:firstLine="720"/>
        <w:jc w:val="both"/>
        <w:rPr>
          <w:rFonts w:eastAsia="Calibri"/>
        </w:rPr>
      </w:pPr>
      <w:r w:rsidRPr="00220A56">
        <w:rPr>
          <w:rFonts w:eastAsia="Calibri"/>
        </w:rPr>
        <w:t xml:space="preserve">pasi dëgjoi </w:t>
      </w:r>
      <w:proofErr w:type="spellStart"/>
      <w:r w:rsidRPr="00220A56">
        <w:rPr>
          <w:rFonts w:eastAsia="Calibri"/>
        </w:rPr>
        <w:t>relatoren</w:t>
      </w:r>
      <w:proofErr w:type="spellEnd"/>
      <w:r w:rsidRPr="00220A56">
        <w:rPr>
          <w:rFonts w:eastAsia="Calibri"/>
        </w:rPr>
        <w:t xml:space="preserve"> e çështjes </w:t>
      </w:r>
      <w:proofErr w:type="spellStart"/>
      <w:r w:rsidRPr="00220A56">
        <w:rPr>
          <w:rFonts w:eastAsia="Calibri"/>
        </w:rPr>
        <w:t>Elsa</w:t>
      </w:r>
      <w:proofErr w:type="spellEnd"/>
      <w:r w:rsidRPr="00220A56">
        <w:rPr>
          <w:rFonts w:eastAsia="Calibri"/>
        </w:rPr>
        <w:t xml:space="preserve"> Toska, </w:t>
      </w:r>
      <w:r w:rsidR="00B24488" w:rsidRPr="00220A56">
        <w:rPr>
          <w:rFonts w:eastAsia="Calibri"/>
        </w:rPr>
        <w:t>shqyrtoi</w:t>
      </w:r>
      <w:r w:rsidRPr="00220A56">
        <w:rPr>
          <w:rFonts w:eastAsia="Calibri"/>
        </w:rPr>
        <w:t xml:space="preserve"> </w:t>
      </w:r>
      <w:r w:rsidR="00B24488" w:rsidRPr="00220A56">
        <w:rPr>
          <w:rFonts w:eastAsia="Calibri"/>
        </w:rPr>
        <w:t>parashtrimet e kërkuesit</w:t>
      </w:r>
      <w:r w:rsidR="00533DF3" w:rsidRPr="00220A56">
        <w:rPr>
          <w:rFonts w:eastAsia="Calibri"/>
        </w:rPr>
        <w:t xml:space="preserve"> </w:t>
      </w:r>
      <w:proofErr w:type="spellStart"/>
      <w:r w:rsidR="00533DF3" w:rsidRPr="00220A56">
        <w:rPr>
          <w:rFonts w:eastAsia="Calibri"/>
        </w:rPr>
        <w:t>Laert</w:t>
      </w:r>
      <w:proofErr w:type="spellEnd"/>
      <w:r w:rsidR="00533DF3" w:rsidRPr="00220A56">
        <w:rPr>
          <w:rFonts w:eastAsia="Calibri"/>
        </w:rPr>
        <w:t xml:space="preserve"> </w:t>
      </w:r>
      <w:proofErr w:type="spellStart"/>
      <w:r w:rsidR="00533DF3" w:rsidRPr="00220A56">
        <w:rPr>
          <w:rFonts w:eastAsia="Calibri"/>
        </w:rPr>
        <w:t>Kola</w:t>
      </w:r>
      <w:proofErr w:type="spellEnd"/>
      <w:r w:rsidR="00533DF3" w:rsidRPr="00220A56">
        <w:rPr>
          <w:rFonts w:eastAsia="Calibri"/>
        </w:rPr>
        <w:t>, i cili ka kërkuar pranimin e kërkesës,</w:t>
      </w:r>
      <w:r w:rsidRPr="00220A56">
        <w:rPr>
          <w:rFonts w:eastAsia="Calibri"/>
        </w:rPr>
        <w:t xml:space="preserve"> </w:t>
      </w:r>
      <w:r w:rsidR="00B24488" w:rsidRPr="00220A56">
        <w:rPr>
          <w:rFonts w:eastAsia="Calibri"/>
        </w:rPr>
        <w:t>prapësimet dhe qëndrimin e su</w:t>
      </w:r>
      <w:r w:rsidR="00561516" w:rsidRPr="00220A56">
        <w:rPr>
          <w:rFonts w:eastAsia="Calibri"/>
        </w:rPr>
        <w:t>bjektit të interesuar, Avokaturës së</w:t>
      </w:r>
      <w:r w:rsidR="00B24488" w:rsidRPr="00220A56">
        <w:rPr>
          <w:rFonts w:eastAsia="Calibri"/>
        </w:rPr>
        <w:t xml:space="preserve"> Shtetit, </w:t>
      </w:r>
      <w:r w:rsidR="00561516" w:rsidRPr="00220A56">
        <w:t xml:space="preserve">që </w:t>
      </w:r>
      <w:r w:rsidR="00533DF3" w:rsidRPr="00220A56">
        <w:t xml:space="preserve">ka kërkuar rrëzimin e kërkesës, </w:t>
      </w:r>
      <w:r w:rsidR="00B24488" w:rsidRPr="00220A56">
        <w:rPr>
          <w:rFonts w:eastAsia="Calibri"/>
        </w:rPr>
        <w:t>konstatoi mungesën e prapësimeve me shkrim të sub</w:t>
      </w:r>
      <w:r w:rsidR="00561516" w:rsidRPr="00220A56">
        <w:rPr>
          <w:rFonts w:eastAsia="Calibri"/>
        </w:rPr>
        <w:t>jekteve të interesuara, Agjencisë Shtetërore të</w:t>
      </w:r>
      <w:r w:rsidR="00B24488" w:rsidRPr="00220A56">
        <w:rPr>
          <w:rFonts w:eastAsia="Calibri"/>
        </w:rPr>
        <w:t xml:space="preserve"> Kadastrës</w:t>
      </w:r>
      <w:r w:rsidR="009E73C1" w:rsidRPr="00220A56">
        <w:rPr>
          <w:rFonts w:eastAsia="Calibri"/>
        </w:rPr>
        <w:t xml:space="preserve"> </w:t>
      </w:r>
      <w:r w:rsidR="009E73C1" w:rsidRPr="00220A56">
        <w:rPr>
          <w:rFonts w:eastAsia="Calibri"/>
          <w:i/>
        </w:rPr>
        <w:t>(ASHK)</w:t>
      </w:r>
      <w:r w:rsidR="00561516" w:rsidRPr="00220A56">
        <w:rPr>
          <w:rFonts w:eastAsia="Calibri"/>
        </w:rPr>
        <w:t>, Drejtorisë</w:t>
      </w:r>
      <w:r w:rsidR="004B668E" w:rsidRPr="00220A56">
        <w:rPr>
          <w:rFonts w:eastAsia="Calibri"/>
        </w:rPr>
        <w:t xml:space="preserve"> Vendore </w:t>
      </w:r>
      <w:r w:rsidR="00561516" w:rsidRPr="00220A56">
        <w:rPr>
          <w:rFonts w:eastAsia="Calibri"/>
        </w:rPr>
        <w:t>të</w:t>
      </w:r>
      <w:r w:rsidR="00B01A6E" w:rsidRPr="00220A56">
        <w:rPr>
          <w:rFonts w:eastAsia="Calibri"/>
        </w:rPr>
        <w:t xml:space="preserve"> ASHK-së</w:t>
      </w:r>
      <w:r w:rsidR="009D7CE2" w:rsidRPr="00220A56">
        <w:rPr>
          <w:rFonts w:eastAsia="Calibri"/>
        </w:rPr>
        <w:t>,</w:t>
      </w:r>
      <w:r w:rsidR="00B01A6E" w:rsidRPr="00220A56">
        <w:rPr>
          <w:rFonts w:eastAsia="Calibri"/>
        </w:rPr>
        <w:t xml:space="preserve"> </w:t>
      </w:r>
      <w:r w:rsidR="004B668E" w:rsidRPr="00220A56">
        <w:rPr>
          <w:rFonts w:eastAsia="Calibri"/>
        </w:rPr>
        <w:t xml:space="preserve">Fier, </w:t>
      </w:r>
      <w:r w:rsidR="00561516" w:rsidRPr="00220A56">
        <w:rPr>
          <w:rFonts w:eastAsia="Calibri"/>
        </w:rPr>
        <w:t>b</w:t>
      </w:r>
      <w:r w:rsidR="00B24488" w:rsidRPr="00220A56">
        <w:rPr>
          <w:rFonts w:eastAsia="Calibri"/>
        </w:rPr>
        <w:t>ashki</w:t>
      </w:r>
      <w:r w:rsidR="00561516" w:rsidRPr="00220A56">
        <w:rPr>
          <w:rFonts w:eastAsia="Calibri"/>
        </w:rPr>
        <w:t>së</w:t>
      </w:r>
      <w:r w:rsidR="00B24488" w:rsidRPr="00220A56">
        <w:rPr>
          <w:rFonts w:eastAsia="Calibri"/>
        </w:rPr>
        <w:t xml:space="preserve"> Fier, </w:t>
      </w:r>
      <w:r w:rsidRPr="00220A56">
        <w:rPr>
          <w:rFonts w:eastAsia="Calibri"/>
        </w:rPr>
        <w:t>si dhe diskutoi çështjen në tërësi,</w:t>
      </w:r>
    </w:p>
    <w:p w:rsidR="007815AB" w:rsidRPr="00220A56" w:rsidRDefault="007815AB" w:rsidP="00026FB2">
      <w:pPr>
        <w:jc w:val="center"/>
        <w:rPr>
          <w:rFonts w:eastAsia="Calibri"/>
          <w:b/>
        </w:rPr>
      </w:pPr>
    </w:p>
    <w:p w:rsidR="007815AB" w:rsidRPr="00220A56" w:rsidRDefault="007815AB" w:rsidP="00026FB2">
      <w:pPr>
        <w:jc w:val="center"/>
        <w:rPr>
          <w:rFonts w:eastAsia="Calibri"/>
          <w:b/>
          <w:bCs/>
        </w:rPr>
      </w:pPr>
      <w:r w:rsidRPr="00220A56">
        <w:rPr>
          <w:rFonts w:eastAsia="Calibri"/>
          <w:b/>
          <w:bCs/>
        </w:rPr>
        <w:t>V Ë R E N:</w:t>
      </w:r>
    </w:p>
    <w:p w:rsidR="007B78ED" w:rsidRPr="00220A56" w:rsidRDefault="007B78ED" w:rsidP="00026FB2">
      <w:pPr>
        <w:pStyle w:val="Heading1"/>
      </w:pPr>
      <w:r w:rsidRPr="00220A56">
        <w:t>I</w:t>
      </w:r>
    </w:p>
    <w:p w:rsidR="007B78ED" w:rsidRPr="00220A56" w:rsidRDefault="007B78ED" w:rsidP="00026FB2">
      <w:pPr>
        <w:jc w:val="center"/>
        <w:rPr>
          <w:b/>
        </w:rPr>
      </w:pPr>
      <w:r w:rsidRPr="00220A56">
        <w:rPr>
          <w:b/>
        </w:rPr>
        <w:t>Rrethanat e çështjes</w:t>
      </w:r>
    </w:p>
    <w:p w:rsidR="001D7747" w:rsidRPr="00220A56" w:rsidRDefault="005A3FF1" w:rsidP="00026FB2">
      <w:pPr>
        <w:pStyle w:val="ListParagraph"/>
        <w:numPr>
          <w:ilvl w:val="0"/>
          <w:numId w:val="1"/>
        </w:numPr>
        <w:tabs>
          <w:tab w:val="left" w:pos="1080"/>
        </w:tabs>
        <w:ind w:left="0" w:firstLine="720"/>
        <w:jc w:val="both"/>
      </w:pPr>
      <w:r w:rsidRPr="00220A56">
        <w:t xml:space="preserve">Me vendimin nr. 132, datë 14.02.1996 </w:t>
      </w:r>
      <w:r w:rsidR="00473624" w:rsidRPr="00220A56">
        <w:rPr>
          <w:i/>
        </w:rPr>
        <w:t xml:space="preserve"> </w:t>
      </w:r>
      <w:r w:rsidRPr="00220A56">
        <w:t xml:space="preserve">të Komisionit të Kthimit e Kompensimit të Pronave ish-Pronarëve </w:t>
      </w:r>
      <w:r w:rsidR="00D81CF3" w:rsidRPr="00220A56">
        <w:rPr>
          <w:i/>
        </w:rPr>
        <w:t>(vendim</w:t>
      </w:r>
      <w:r w:rsidR="00561516" w:rsidRPr="00220A56">
        <w:rPr>
          <w:i/>
        </w:rPr>
        <w:t>i</w:t>
      </w:r>
      <w:r w:rsidR="00D81CF3" w:rsidRPr="00220A56">
        <w:rPr>
          <w:i/>
        </w:rPr>
        <w:t xml:space="preserve"> nr. 132/1996 i KKKP</w:t>
      </w:r>
      <w:r w:rsidR="00473624" w:rsidRPr="00220A56">
        <w:rPr>
          <w:i/>
        </w:rPr>
        <w:t xml:space="preserve">) </w:t>
      </w:r>
      <w:r w:rsidRPr="00220A56">
        <w:t>është vendosur, ndër të tjera, njohja e pronësisë së J.K. për një truall me sipërfaqe 5000 m</w:t>
      </w:r>
      <w:r w:rsidRPr="00220A56">
        <w:rPr>
          <w:vertAlign w:val="superscript"/>
        </w:rPr>
        <w:t>2</w:t>
      </w:r>
      <w:r w:rsidRPr="00220A56">
        <w:t xml:space="preserve">, të ndodhur në fshatin </w:t>
      </w:r>
      <w:proofErr w:type="spellStart"/>
      <w:r w:rsidRPr="00220A56">
        <w:t>G</w:t>
      </w:r>
      <w:r w:rsidR="00E9448B" w:rsidRPr="00220A56">
        <w:t>re</w:t>
      </w:r>
      <w:r w:rsidRPr="00220A56">
        <w:t>calli</w:t>
      </w:r>
      <w:proofErr w:type="spellEnd"/>
      <w:r w:rsidRPr="00220A56">
        <w:t xml:space="preserve">, </w:t>
      </w:r>
      <w:r w:rsidR="00561516" w:rsidRPr="00220A56">
        <w:t>k</w:t>
      </w:r>
      <w:r w:rsidRPr="00220A56">
        <w:t>omuna Qendër</w:t>
      </w:r>
      <w:r w:rsidR="004D7FBD" w:rsidRPr="00220A56">
        <w:t>, Fier</w:t>
      </w:r>
      <w:r w:rsidR="00D260EF" w:rsidRPr="00220A56">
        <w:t xml:space="preserve"> dhe kompensimi me truall fizik i trashëgimtarëve të tij ligjorë.</w:t>
      </w:r>
      <w:r w:rsidR="001D7747" w:rsidRPr="00220A56">
        <w:t xml:space="preserve"> </w:t>
      </w:r>
    </w:p>
    <w:p w:rsidR="007B78ED" w:rsidRPr="00220A56" w:rsidRDefault="00A10505" w:rsidP="00026FB2">
      <w:pPr>
        <w:pStyle w:val="ListParagraph"/>
        <w:numPr>
          <w:ilvl w:val="0"/>
          <w:numId w:val="1"/>
        </w:numPr>
        <w:tabs>
          <w:tab w:val="left" w:pos="1080"/>
        </w:tabs>
        <w:ind w:left="0" w:firstLine="720"/>
        <w:jc w:val="both"/>
      </w:pPr>
      <w:r w:rsidRPr="00220A56">
        <w:t>Në datën 11.12.2015 k</w:t>
      </w:r>
      <w:r w:rsidR="007B78ED" w:rsidRPr="00220A56">
        <w:t>ërkuesi</w:t>
      </w:r>
      <w:r w:rsidR="005A3FF1" w:rsidRPr="00220A56">
        <w:t>, trashëgimtar i të ndjerit J.K.,</w:t>
      </w:r>
      <w:r w:rsidR="007B78ED" w:rsidRPr="00220A56">
        <w:t xml:space="preserve"> i është drejtuar Gjykatës Administrative të Shkallës së Parë Vlorë me kërkesëpadi me objekt: </w:t>
      </w:r>
      <w:r w:rsidR="007B78ED" w:rsidRPr="00220A56">
        <w:rPr>
          <w:i/>
        </w:rPr>
        <w:t>“Konstatimin e pavlefshmërisë absolute të aktit administrativ, regjistrimin e pasurisë nr. 128/1, ZK 1453, terren sportiv, regjistruar sipas VKM nr. 509, datë 06.07.2011 në emër të Komunës Qendër Fier. Detyrimin e ZVRPP Fier të fshijë nga regjistrat publikë të pasurive të paluajtshme subjektin Komuna Qendër Fier për pasurinë nr. 128/1, ZK 1453, vol. 3, faqe 203. Detyrimin e ZVRPP Fier të regjistrojë pronarët sipas vendimit nr. 132, datë 14.02.1996 të Komisionit të Kthimit dhe Kompensimit të Pronave ish-</w:t>
      </w:r>
      <w:r w:rsidR="00804192" w:rsidRPr="00220A56">
        <w:rPr>
          <w:i/>
        </w:rPr>
        <w:t>P</w:t>
      </w:r>
      <w:r w:rsidR="007B78ED" w:rsidRPr="00220A56">
        <w:rPr>
          <w:i/>
        </w:rPr>
        <w:t>ronarëve për pasurinë nr. 128/1, ZK 1453, vol. 3, faqe 203. Të shfuqizojë aktin administrativ të regjistrimit të pasurisë së paluajtshme nr. 128/1, ZK 1453, vol. 3, faqe 203 në emër të subjektit Komuna Qendër Fier. Sigurimin e padisë.”</w:t>
      </w:r>
      <w:r w:rsidR="007B78ED" w:rsidRPr="00220A56">
        <w:t xml:space="preserve">. Në përfundim të gjykimit të çështjes, Gjykata Administrative </w:t>
      </w:r>
      <w:r w:rsidR="00AF5DE4" w:rsidRPr="00220A56">
        <w:t>e</w:t>
      </w:r>
      <w:r w:rsidR="007B78ED" w:rsidRPr="00220A56">
        <w:t xml:space="preserve"> Shkallës së Parë Vlorë, me vendimin nr. 447, datë 31.03.2016</w:t>
      </w:r>
      <w:r w:rsidR="00AF5DE4" w:rsidRPr="00220A56">
        <w:t>,</w:t>
      </w:r>
      <w:r w:rsidR="007B78ED" w:rsidRPr="00220A56">
        <w:t xml:space="preserve"> ka vendosur rrëzimin e kërkesëpadisë.</w:t>
      </w:r>
    </w:p>
    <w:p w:rsidR="007B78ED" w:rsidRPr="00220A56" w:rsidRDefault="006F2B1F" w:rsidP="00026FB2">
      <w:pPr>
        <w:pStyle w:val="ListParagraph"/>
        <w:numPr>
          <w:ilvl w:val="0"/>
          <w:numId w:val="1"/>
        </w:numPr>
        <w:tabs>
          <w:tab w:val="left" w:pos="1080"/>
        </w:tabs>
        <w:ind w:left="0" w:firstLine="720"/>
        <w:jc w:val="both"/>
      </w:pPr>
      <w:r w:rsidRPr="00220A56">
        <w:t>K</w:t>
      </w:r>
      <w:r w:rsidR="007B78ED" w:rsidRPr="00220A56">
        <w:t>ërkuesi ka paraqitur ankim ndaj vendimit nr. 447, datë 31.03.2016 të Gjykatës Administrative të Shkallës së Parë Vlorë, i cili është regjistruar në  Gjykatën Administrative të Apelit me nr. 15037 (31025-04490-86-2016)</w:t>
      </w:r>
      <w:r w:rsidR="00483EDF" w:rsidRPr="00220A56">
        <w:t xml:space="preserve"> akti</w:t>
      </w:r>
      <w:r w:rsidRPr="00220A56">
        <w:t>, datë 09.09.2016</w:t>
      </w:r>
      <w:r w:rsidR="007B78ED" w:rsidRPr="00220A56">
        <w:t>.</w:t>
      </w:r>
    </w:p>
    <w:p w:rsidR="007B78ED" w:rsidRPr="00220A56" w:rsidRDefault="007B78ED" w:rsidP="00026FB2">
      <w:pPr>
        <w:pStyle w:val="ListParagraph"/>
        <w:numPr>
          <w:ilvl w:val="0"/>
          <w:numId w:val="1"/>
        </w:numPr>
        <w:tabs>
          <w:tab w:val="left" w:pos="1080"/>
        </w:tabs>
        <w:ind w:left="0" w:firstLine="720"/>
        <w:jc w:val="both"/>
      </w:pPr>
      <w:r w:rsidRPr="00220A56">
        <w:t xml:space="preserve">Në kushtet kur ankimi i tij drejtuar Gjykatës Administrative të Apelit nuk ishte shqyrtuar ende, në datën 14.12.2020, kërkuesi i është drejtuar Gjykatës së Lartë me kërkesë me objekt: </w:t>
      </w:r>
      <w:r w:rsidRPr="00220A56">
        <w:rPr>
          <w:i/>
        </w:rPr>
        <w:t>“Konstatimin e shkeljes së afatit të arsyeshëm, përshpejtimin e procedurave dhe shpërblimin e dëmit. Kohëzgjatjen e paarsyeshme në procedurat e gjykimit të çështjes nga Gjykata Administrative e Apelit.”</w:t>
      </w:r>
      <w:r w:rsidRPr="00220A56">
        <w:t>.</w:t>
      </w:r>
    </w:p>
    <w:p w:rsidR="007B78ED" w:rsidRPr="00220A56" w:rsidRDefault="007B78ED" w:rsidP="00026FB2">
      <w:pPr>
        <w:pStyle w:val="ListParagraph"/>
        <w:numPr>
          <w:ilvl w:val="0"/>
          <w:numId w:val="1"/>
        </w:numPr>
        <w:tabs>
          <w:tab w:val="left" w:pos="1080"/>
        </w:tabs>
        <w:ind w:left="0" w:firstLine="720"/>
        <w:jc w:val="both"/>
      </w:pPr>
      <w:r w:rsidRPr="00220A56">
        <w:t>Me vendimin nr. 25/22, datë 17.06.2021, Kolegji Administrativ i Gjykatës së Lartë ka vendosur rrëzimin e kërkesës së kërkuesit dhe pushimin e gjykimit në lidhje me k</w:t>
      </w:r>
      <w:r w:rsidR="00137966" w:rsidRPr="00220A56">
        <w:t>ërkimin për shpërblimin e dëmit, pasi</w:t>
      </w:r>
      <w:r w:rsidR="00E46E91" w:rsidRPr="00220A56">
        <w:t xml:space="preserve"> ka konstatuar se</w:t>
      </w:r>
      <w:r w:rsidR="00137966" w:rsidRPr="00220A56">
        <w:t xml:space="preserve"> mosveprimi i gjykatës nuk ka ndodhur për shkaqe subjektive, që lidhen me vlerësime dhe qëndrime abuzive të gjyqtarit. Ndër </w:t>
      </w:r>
      <w:r w:rsidR="006C0EC6" w:rsidRPr="00220A56">
        <w:t>të tjera, Kolegji Administrativ i Gjykatës së Lartë</w:t>
      </w:r>
      <w:r w:rsidR="00137966" w:rsidRPr="00220A56">
        <w:t xml:space="preserve"> ka arsyetuar </w:t>
      </w:r>
      <w:r w:rsidR="00137966" w:rsidRPr="00220A56">
        <w:rPr>
          <w:bCs/>
        </w:rPr>
        <w:t>se vonesa e gjatë në shqyrtimin e çështjes ishte rrjedhojë e një problematike të përgjithshme që tejkalon</w:t>
      </w:r>
      <w:r w:rsidR="006C0EC6" w:rsidRPr="00220A56">
        <w:rPr>
          <w:bCs/>
        </w:rPr>
        <w:t>te</w:t>
      </w:r>
      <w:r w:rsidR="00137966" w:rsidRPr="00220A56">
        <w:rPr>
          <w:bCs/>
        </w:rPr>
        <w:t xml:space="preserve"> rastin konkret, se reforma në drejtësi ka shkarkuar/pezulluar një numër të konsiderueshëm gjyqtarësh duke krijuar kosto për qytetarët në </w:t>
      </w:r>
      <w:proofErr w:type="spellStart"/>
      <w:r w:rsidR="00137966" w:rsidRPr="00220A56">
        <w:rPr>
          <w:bCs/>
        </w:rPr>
        <w:t>tejzgjatjen</w:t>
      </w:r>
      <w:proofErr w:type="spellEnd"/>
      <w:r w:rsidR="00137966" w:rsidRPr="00220A56">
        <w:rPr>
          <w:bCs/>
        </w:rPr>
        <w:t xml:space="preserve"> e afateve për gjykimin e çështjeve gjyqësore, por që këto vështirësi janë proporcionale në raport me të mirën e përgjithshme të krijuar nga procesi i reformës. Parimi i gjykimit brenda një afati të arsyeshëm nuk duhet të keqkuptohet, pasi shpejtësia e kryerjes së veprimeve procedurale nuk e përjashton, përkundrazi, e nënkupton kryerjen me cilësi të këtyre veprimeve të gjykatës. Në asnjë rast cilësia e procesit të rregullt ligjor dhe e vendimmarrjes së gjykatës nuk duhet të sakrifikohet për “</w:t>
      </w:r>
      <w:r w:rsidR="00137966" w:rsidRPr="00220A56">
        <w:rPr>
          <w:bCs/>
          <w:i/>
        </w:rPr>
        <w:t>sasinë e afatit të arsyeshëm</w:t>
      </w:r>
      <w:r w:rsidR="00F86D2F" w:rsidRPr="00220A56">
        <w:rPr>
          <w:bCs/>
        </w:rPr>
        <w:t xml:space="preserve">” </w:t>
      </w:r>
      <w:r w:rsidR="00137966" w:rsidRPr="00220A56">
        <w:rPr>
          <w:bCs/>
        </w:rPr>
        <w:t>o</w:t>
      </w:r>
      <w:r w:rsidR="00F86D2F" w:rsidRPr="00220A56">
        <w:rPr>
          <w:bCs/>
        </w:rPr>
        <w:t>se</w:t>
      </w:r>
      <w:r w:rsidR="00137966" w:rsidRPr="00220A56">
        <w:rPr>
          <w:bCs/>
        </w:rPr>
        <w:t xml:space="preserve"> edhe ekonominë gjyqësore në tërësi </w:t>
      </w:r>
      <w:r w:rsidR="00137966" w:rsidRPr="00220A56">
        <w:rPr>
          <w:bCs/>
          <w:i/>
        </w:rPr>
        <w:t>(shih paragrafët 23, 27 dhe 28 të vendimit të Gjykatës së Lartë)</w:t>
      </w:r>
      <w:r w:rsidR="00951F6C" w:rsidRPr="00220A56">
        <w:rPr>
          <w:bCs/>
        </w:rPr>
        <w:t>.</w:t>
      </w:r>
    </w:p>
    <w:p w:rsidR="00553554" w:rsidRPr="00220A56" w:rsidRDefault="00F2128C" w:rsidP="00026FB2">
      <w:pPr>
        <w:pStyle w:val="ListParagraph"/>
        <w:numPr>
          <w:ilvl w:val="0"/>
          <w:numId w:val="1"/>
        </w:numPr>
        <w:tabs>
          <w:tab w:val="left" w:pos="1080"/>
        </w:tabs>
        <w:ind w:left="0" w:firstLine="720"/>
        <w:jc w:val="both"/>
      </w:pPr>
      <w:r w:rsidRPr="00220A56">
        <w:t xml:space="preserve">Në datën 12.10.2021 </w:t>
      </w:r>
      <w:r w:rsidR="0070567B" w:rsidRPr="00220A56">
        <w:t xml:space="preserve">kërkuesi </w:t>
      </w:r>
      <w:r w:rsidRPr="00220A56">
        <w:t>i është drejtuar Gjykatës Kushtetuese (</w:t>
      </w:r>
      <w:r w:rsidRPr="00220A56">
        <w:rPr>
          <w:i/>
        </w:rPr>
        <w:t>Gjykata</w:t>
      </w:r>
      <w:r w:rsidRPr="00220A56">
        <w:t xml:space="preserve">) me kërkesë </w:t>
      </w:r>
      <w:r w:rsidR="006F7DE9" w:rsidRPr="00220A56">
        <w:t xml:space="preserve">për shfuqizimin e vendimit nr. 25/22, datë 17.06.2021 të Kolegjit Administrativ të </w:t>
      </w:r>
      <w:r w:rsidR="00F41DCA" w:rsidRPr="00220A56">
        <w:t>Gjykatës së Lartë, si të</w:t>
      </w:r>
      <w:r w:rsidR="006F7DE9" w:rsidRPr="00220A56">
        <w:t xml:space="preserve"> papajtueshëm me Kushtetutën e Republikës së Shqipërisë</w:t>
      </w:r>
      <w:r w:rsidRPr="00220A56">
        <w:t>.</w:t>
      </w:r>
    </w:p>
    <w:p w:rsidR="00F2128C" w:rsidRPr="00220A56" w:rsidRDefault="00F2128C" w:rsidP="00026FB2">
      <w:pPr>
        <w:pStyle w:val="ListParagraph"/>
        <w:numPr>
          <w:ilvl w:val="0"/>
          <w:numId w:val="1"/>
        </w:numPr>
        <w:tabs>
          <w:tab w:val="left" w:pos="1080"/>
        </w:tabs>
        <w:ind w:left="0" w:firstLine="720"/>
        <w:jc w:val="both"/>
      </w:pPr>
      <w:r w:rsidRPr="00220A56">
        <w:t>Me vendimin e datës 05.11.2021, Kolegji i Gjykatës</w:t>
      </w:r>
      <w:r w:rsidR="00AD616F" w:rsidRPr="00220A56">
        <w:t>, bazuar në nenin 31 të ligjit nr. 8577/2000,</w:t>
      </w:r>
      <w:r w:rsidRPr="00220A56">
        <w:t xml:space="preserve"> ka vendosur kalimin e çështje</w:t>
      </w:r>
      <w:r w:rsidR="00AD616F" w:rsidRPr="00220A56">
        <w:t>s</w:t>
      </w:r>
      <w:r w:rsidRPr="00220A56">
        <w:t xml:space="preserve"> për shqyrtim paraprak në Mbledhjen e Gjyqtarëve. Kjo e fundit, me vendimin e datës 07.12.2021, ka vendosur ta kalojë atë për shqyrtim në seancë plenare</w:t>
      </w:r>
      <w:r w:rsidR="00E90D92" w:rsidRPr="00220A56">
        <w:t>,</w:t>
      </w:r>
      <w:r w:rsidRPr="00220A56">
        <w:t xml:space="preserve"> mbi bazë </w:t>
      </w:r>
      <w:r w:rsidR="00AD616F" w:rsidRPr="00220A56">
        <w:t>dokumente</w:t>
      </w:r>
      <w:r w:rsidR="006F7DE9" w:rsidRPr="00220A56">
        <w:t>sh</w:t>
      </w:r>
      <w:r w:rsidRPr="00220A56">
        <w:t>.</w:t>
      </w:r>
    </w:p>
    <w:p w:rsidR="008F590D" w:rsidRPr="00220A56" w:rsidRDefault="00B85E11" w:rsidP="00026FB2">
      <w:pPr>
        <w:pStyle w:val="ListParagraph"/>
        <w:numPr>
          <w:ilvl w:val="0"/>
          <w:numId w:val="1"/>
        </w:numPr>
        <w:tabs>
          <w:tab w:val="left" w:pos="1080"/>
        </w:tabs>
        <w:ind w:left="0" w:firstLine="720"/>
        <w:jc w:val="both"/>
      </w:pPr>
      <w:r w:rsidRPr="00220A56">
        <w:t>Gjykata Administrative e Apelit, në përgjigje të kërkesës së Gjykatës, me shkresën e datës 28.12.2021</w:t>
      </w:r>
      <w:r w:rsidR="00E90D92" w:rsidRPr="00220A56">
        <w:t>,</w:t>
      </w:r>
      <w:r w:rsidRPr="00220A56">
        <w:t xml:space="preserve"> ka informuar se: </w:t>
      </w:r>
      <w:r w:rsidR="008F590D" w:rsidRPr="00220A56">
        <w:t xml:space="preserve">(i) pranë </w:t>
      </w:r>
      <w:r w:rsidRPr="00220A56">
        <w:t>saj ushtrojnë detyrën 5 gjyqtarë</w:t>
      </w:r>
      <w:r w:rsidR="008F590D" w:rsidRPr="00220A56">
        <w:t>; (</w:t>
      </w:r>
      <w:proofErr w:type="spellStart"/>
      <w:r w:rsidR="008F590D" w:rsidRPr="00220A56">
        <w:t>ii</w:t>
      </w:r>
      <w:proofErr w:type="spellEnd"/>
      <w:r w:rsidR="008F590D" w:rsidRPr="00220A56">
        <w:t xml:space="preserve">) ngarkesa </w:t>
      </w:r>
      <w:r w:rsidR="00533DF3" w:rsidRPr="00220A56">
        <w:t xml:space="preserve">e tyre </w:t>
      </w:r>
      <w:proofErr w:type="spellStart"/>
      <w:r w:rsidR="008F590D" w:rsidRPr="00220A56">
        <w:t>varion</w:t>
      </w:r>
      <w:proofErr w:type="spellEnd"/>
      <w:r w:rsidR="008F590D" w:rsidRPr="00220A56">
        <w:t xml:space="preserve"> nga 2683-4378 çështje për çdo gjyqtar; (</w:t>
      </w:r>
      <w:proofErr w:type="spellStart"/>
      <w:r w:rsidR="008F590D" w:rsidRPr="00220A56">
        <w:t>iii</w:t>
      </w:r>
      <w:proofErr w:type="spellEnd"/>
      <w:r w:rsidR="008F590D" w:rsidRPr="00220A56">
        <w:t>) janë duke u shqyrtuar çështjet e regjistruara në periudhën shtator 2016 – shkurt 2017; (</w:t>
      </w:r>
      <w:proofErr w:type="spellStart"/>
      <w:r w:rsidR="008F590D" w:rsidRPr="00220A56">
        <w:t>iv</w:t>
      </w:r>
      <w:proofErr w:type="spellEnd"/>
      <w:r w:rsidR="008F590D" w:rsidRPr="00220A56">
        <w:t xml:space="preserve">) deri në datën 15.12.2021 nga ajo gjykatë janë dhënë 623 vendime themeli e deri në muajin korrik 2021 gjykata ka funksionuar me 9 gjyqtarë, ndërsa gjyqtarja A.G. </w:t>
      </w:r>
      <w:r w:rsidR="00651684" w:rsidRPr="00220A56">
        <w:t xml:space="preserve">është shkarkuar në datën 23.11.2021 me vendim të Kolegjit të Posaçëm të Apelimit </w:t>
      </w:r>
      <w:r w:rsidR="00651684" w:rsidRPr="00220A56">
        <w:rPr>
          <w:i/>
        </w:rPr>
        <w:t>(</w:t>
      </w:r>
      <w:r w:rsidR="00F8438D" w:rsidRPr="00220A56">
        <w:rPr>
          <w:i/>
        </w:rPr>
        <w:t>KPA</w:t>
      </w:r>
      <w:r w:rsidR="00651684" w:rsidRPr="00220A56">
        <w:rPr>
          <w:i/>
        </w:rPr>
        <w:t>)</w:t>
      </w:r>
      <w:r w:rsidR="00651684" w:rsidRPr="00220A56">
        <w:t xml:space="preserve">; (v) çështja e kërkuesit ka qenë në ngarkim të gjyqtarit </w:t>
      </w:r>
      <w:proofErr w:type="spellStart"/>
      <w:r w:rsidR="00651684" w:rsidRPr="00220A56">
        <w:t>B.Sh</w:t>
      </w:r>
      <w:proofErr w:type="spellEnd"/>
      <w:r w:rsidR="00651684" w:rsidRPr="00220A56">
        <w:t>., i cili nuk e ushtron më detyrën e gjyqtarit, sipas vendimmarrjes së Komisionit të Pavarur të Kualifikimit</w:t>
      </w:r>
      <w:r w:rsidR="0031180A" w:rsidRPr="00220A56">
        <w:t xml:space="preserve"> </w:t>
      </w:r>
      <w:r w:rsidR="0031180A" w:rsidRPr="00220A56">
        <w:rPr>
          <w:i/>
        </w:rPr>
        <w:t>(KPK)</w:t>
      </w:r>
      <w:r w:rsidR="00651684" w:rsidRPr="00220A56">
        <w:t xml:space="preserve"> nr. 361, datë 25.03.2021, ndërsa pas procedurave të </w:t>
      </w:r>
      <w:proofErr w:type="spellStart"/>
      <w:r w:rsidR="00651684" w:rsidRPr="00220A56">
        <w:t>rishortimit</w:t>
      </w:r>
      <w:proofErr w:type="spellEnd"/>
      <w:r w:rsidR="00651684" w:rsidRPr="00220A56">
        <w:t xml:space="preserve"> në datën 30.04.2021, çështja i ka kaluar për gjykim gjyqtares A.G., e cila e ka planifikuar </w:t>
      </w:r>
      <w:r w:rsidR="006800B8" w:rsidRPr="00220A56">
        <w:t xml:space="preserve">atë </w:t>
      </w:r>
      <w:r w:rsidR="00651684" w:rsidRPr="00220A56">
        <w:t>për gjykim në dhomë këshillimi në datën 10.11.2021, seancë e cila nuk është zhvilluar</w:t>
      </w:r>
      <w:r w:rsidR="004E43A9" w:rsidRPr="00220A56">
        <w:t xml:space="preserve">. </w:t>
      </w:r>
      <w:r w:rsidR="006800B8" w:rsidRPr="00220A56">
        <w:t xml:space="preserve">Gjyqtarja A.G. </w:t>
      </w:r>
      <w:r w:rsidR="00651684" w:rsidRPr="00220A56">
        <w:t xml:space="preserve"> </w:t>
      </w:r>
      <w:r w:rsidR="006800B8" w:rsidRPr="00220A56">
        <w:t xml:space="preserve">është shkarkuar me vendim të KPA-së </w:t>
      </w:r>
      <w:r w:rsidR="001C326E" w:rsidRPr="00220A56">
        <w:t xml:space="preserve">në </w:t>
      </w:r>
      <w:r w:rsidR="006800B8" w:rsidRPr="00220A56">
        <w:t>datë</w:t>
      </w:r>
      <w:r w:rsidR="001C326E" w:rsidRPr="00220A56">
        <w:t>n</w:t>
      </w:r>
      <w:r w:rsidR="006800B8" w:rsidRPr="00220A56">
        <w:t xml:space="preserve"> </w:t>
      </w:r>
      <w:r w:rsidR="00651684" w:rsidRPr="00220A56">
        <w:t xml:space="preserve">23.11.2021. Pas procedurave të shortit në datën </w:t>
      </w:r>
      <w:r w:rsidR="004E43A9" w:rsidRPr="00220A56">
        <w:t>16.12.2021, çështja i ka kaluar gjyqtares B.H.</w:t>
      </w:r>
      <w:r w:rsidR="001C326E" w:rsidRPr="00220A56">
        <w:t xml:space="preserve"> </w:t>
      </w:r>
    </w:p>
    <w:p w:rsidR="00B85E11" w:rsidRPr="00220A56" w:rsidRDefault="003C7081" w:rsidP="00026FB2">
      <w:pPr>
        <w:pStyle w:val="ListParagraph"/>
        <w:numPr>
          <w:ilvl w:val="0"/>
          <w:numId w:val="1"/>
        </w:numPr>
        <w:tabs>
          <w:tab w:val="left" w:pos="1080"/>
        </w:tabs>
        <w:ind w:left="0" w:firstLine="720"/>
        <w:jc w:val="both"/>
      </w:pPr>
      <w:r w:rsidRPr="00220A56">
        <w:rPr>
          <w:rFonts w:eastAsia="MS Mincho"/>
        </w:rPr>
        <w:t xml:space="preserve">Në datën 07.02.2019 është miratuar ligji nr. 111/2018 “Për kadastrën”, me të cilin kompetencat e ZQRPP-së dhe ZVRPP-së Fier i kanë kaluar respektivisht Agjencisë Shtetërore të Kadastrës </w:t>
      </w:r>
      <w:r w:rsidR="004526F1" w:rsidRPr="00220A56">
        <w:rPr>
          <w:rFonts w:eastAsia="MS Mincho"/>
          <w:i/>
        </w:rPr>
        <w:t xml:space="preserve">(ASHK) </w:t>
      </w:r>
      <w:r w:rsidRPr="00220A56">
        <w:rPr>
          <w:rFonts w:eastAsia="MS Mincho"/>
        </w:rPr>
        <w:t xml:space="preserve">dhe </w:t>
      </w:r>
      <w:r w:rsidR="005F081F" w:rsidRPr="00220A56">
        <w:rPr>
          <w:rFonts w:eastAsia="MS Mincho"/>
        </w:rPr>
        <w:t>d</w:t>
      </w:r>
      <w:r w:rsidRPr="00220A56">
        <w:rPr>
          <w:rFonts w:eastAsia="MS Mincho"/>
        </w:rPr>
        <w:t xml:space="preserve">rejtorisë </w:t>
      </w:r>
      <w:r w:rsidR="005F081F" w:rsidRPr="00220A56">
        <w:rPr>
          <w:rFonts w:eastAsia="MS Mincho"/>
        </w:rPr>
        <w:t>v</w:t>
      </w:r>
      <w:r w:rsidRPr="00220A56">
        <w:rPr>
          <w:rFonts w:eastAsia="MS Mincho"/>
        </w:rPr>
        <w:t xml:space="preserve">endore </w:t>
      </w:r>
      <w:r w:rsidR="00B94F6E" w:rsidRPr="00220A56">
        <w:rPr>
          <w:rFonts w:eastAsia="MS Mincho"/>
        </w:rPr>
        <w:t xml:space="preserve">të saj, </w:t>
      </w:r>
      <w:r w:rsidRPr="00220A56">
        <w:rPr>
          <w:rFonts w:eastAsia="MS Mincho"/>
        </w:rPr>
        <w:t xml:space="preserve">Fier. </w:t>
      </w:r>
      <w:r w:rsidRPr="00220A56">
        <w:t>Për këtë shkak, në tekstin e këtij vendimi</w:t>
      </w:r>
      <w:r w:rsidR="005F081F" w:rsidRPr="00220A56">
        <w:t>,</w:t>
      </w:r>
      <w:r w:rsidRPr="00220A56">
        <w:t xml:space="preserve"> emrat e këtyre institucioneve janë përdorur në përkëmbim </w:t>
      </w:r>
      <w:proofErr w:type="spellStart"/>
      <w:r w:rsidRPr="00220A56">
        <w:t>respektiv</w:t>
      </w:r>
      <w:proofErr w:type="spellEnd"/>
      <w:r w:rsidRPr="00220A56">
        <w:t xml:space="preserve"> të njëri-tjetrit, duke iu referuar kohës që janë kryer veprime prej tyre.</w:t>
      </w:r>
    </w:p>
    <w:p w:rsidR="007B78ED" w:rsidRPr="00220A56" w:rsidRDefault="007B78ED" w:rsidP="00026FB2">
      <w:pPr>
        <w:tabs>
          <w:tab w:val="left" w:pos="1080"/>
        </w:tabs>
        <w:jc w:val="both"/>
      </w:pPr>
    </w:p>
    <w:p w:rsidR="007B78ED" w:rsidRPr="00220A56" w:rsidRDefault="007B78ED" w:rsidP="00026FB2">
      <w:pPr>
        <w:pStyle w:val="Heading1"/>
        <w:tabs>
          <w:tab w:val="left" w:pos="1080"/>
        </w:tabs>
      </w:pPr>
      <w:r w:rsidRPr="00220A56">
        <w:t>II</w:t>
      </w:r>
    </w:p>
    <w:p w:rsidR="007B78ED" w:rsidRPr="00220A56" w:rsidRDefault="007B78ED" w:rsidP="00026FB2">
      <w:pPr>
        <w:tabs>
          <w:tab w:val="left" w:pos="1080"/>
        </w:tabs>
        <w:jc w:val="center"/>
        <w:rPr>
          <w:b/>
        </w:rPr>
      </w:pPr>
      <w:r w:rsidRPr="00220A56">
        <w:rPr>
          <w:b/>
        </w:rPr>
        <w:t xml:space="preserve">Pretendimet </w:t>
      </w:r>
      <w:r w:rsidR="00B24488" w:rsidRPr="00220A56">
        <w:rPr>
          <w:b/>
        </w:rPr>
        <w:t>në Gjykatën Kushtetuese</w:t>
      </w:r>
    </w:p>
    <w:p w:rsidR="00A10505" w:rsidRPr="00220A56" w:rsidRDefault="007B78ED" w:rsidP="00FC17C7">
      <w:pPr>
        <w:pStyle w:val="ListParagraph"/>
        <w:numPr>
          <w:ilvl w:val="0"/>
          <w:numId w:val="1"/>
        </w:numPr>
        <w:tabs>
          <w:tab w:val="left" w:pos="1080"/>
        </w:tabs>
        <w:ind w:left="0" w:firstLine="720"/>
        <w:jc w:val="both"/>
      </w:pPr>
      <w:r w:rsidRPr="00220A56">
        <w:rPr>
          <w:b/>
          <w:i/>
        </w:rPr>
        <w:t>Kërkuesi</w:t>
      </w:r>
      <w:r w:rsidRPr="00220A56">
        <w:t xml:space="preserve"> </w:t>
      </w:r>
      <w:r w:rsidR="00A10505" w:rsidRPr="00220A56">
        <w:t xml:space="preserve">në mënyrë të përmbledhur ka pretenduar se i </w:t>
      </w:r>
      <w:r w:rsidR="00026FB2" w:rsidRPr="00220A56">
        <w:t xml:space="preserve">është </w:t>
      </w:r>
      <w:r w:rsidR="00A10505" w:rsidRPr="00220A56">
        <w:t>cenuar</w:t>
      </w:r>
      <w:r w:rsidR="00026FB2" w:rsidRPr="00220A56">
        <w:t xml:space="preserve"> </w:t>
      </w:r>
      <w:r w:rsidR="00026FB2" w:rsidRPr="00220A56">
        <w:rPr>
          <w:i/>
        </w:rPr>
        <w:t>e</w:t>
      </w:r>
      <w:r w:rsidR="00A10505" w:rsidRPr="00220A56">
        <w:rPr>
          <w:i/>
        </w:rPr>
        <w:t xml:space="preserve"> drejta për një proces të rregullt ligjor</w:t>
      </w:r>
      <w:r w:rsidR="00A10505" w:rsidRPr="00220A56">
        <w:t xml:space="preserve"> në drejtim të:</w:t>
      </w:r>
    </w:p>
    <w:p w:rsidR="007B78ED" w:rsidRPr="00220A56" w:rsidRDefault="003C7081" w:rsidP="00026FB2">
      <w:pPr>
        <w:pStyle w:val="ListParagraph"/>
        <w:tabs>
          <w:tab w:val="left" w:pos="1260"/>
        </w:tabs>
        <w:ind w:left="1440" w:hanging="720"/>
        <w:jc w:val="both"/>
      </w:pPr>
      <w:r w:rsidRPr="00220A56">
        <w:t>10</w:t>
      </w:r>
      <w:r w:rsidR="00FC17C7" w:rsidRPr="00220A56">
        <w:t xml:space="preserve">.1.  </w:t>
      </w:r>
      <w:r w:rsidR="00932EBE" w:rsidRPr="00220A56">
        <w:rPr>
          <w:i/>
        </w:rPr>
        <w:t xml:space="preserve"> </w:t>
      </w:r>
      <w:r w:rsidR="007D1495" w:rsidRPr="00220A56">
        <w:rPr>
          <w:i/>
        </w:rPr>
        <w:t>Së drejtës për</w:t>
      </w:r>
      <w:r w:rsidR="007B78ED" w:rsidRPr="00220A56">
        <w:rPr>
          <w:i/>
        </w:rPr>
        <w:t xml:space="preserve"> g</w:t>
      </w:r>
      <w:r w:rsidR="00E72ACB" w:rsidRPr="00220A56">
        <w:rPr>
          <w:i/>
        </w:rPr>
        <w:t>jykim</w:t>
      </w:r>
      <w:r w:rsidR="007B78ED" w:rsidRPr="00220A56">
        <w:rPr>
          <w:i/>
        </w:rPr>
        <w:t xml:space="preserve"> brenda një afati të arsyeshëm</w:t>
      </w:r>
      <w:r w:rsidR="007B78ED" w:rsidRPr="00220A56">
        <w:t xml:space="preserve">, pasi </w:t>
      </w:r>
      <w:r w:rsidR="00E72ACB" w:rsidRPr="00220A56">
        <w:t xml:space="preserve">arsyetimi i vendimit të Gjykatës Administrative të Shkallës së Parë Vlorë është bërë tej afatit 7-ditor të parashikuar në nenin 42, pika 3, të ligjit </w:t>
      </w:r>
      <w:r w:rsidR="00FC17C7" w:rsidRPr="00220A56">
        <w:t xml:space="preserve">nr. 49/2012, datë 03.05.2012 “Për gjykatat administrative dhe gjykimin e mosmarrëveshjeve administrative”, </w:t>
      </w:r>
      <w:r w:rsidR="005F081F" w:rsidRPr="00220A56">
        <w:t>të</w:t>
      </w:r>
      <w:r w:rsidR="00FC17C7" w:rsidRPr="00220A56">
        <w:t xml:space="preserve"> ndryshuar </w:t>
      </w:r>
      <w:r w:rsidR="00FC17C7" w:rsidRPr="00220A56">
        <w:rPr>
          <w:i/>
        </w:rPr>
        <w:t>(ligj</w:t>
      </w:r>
      <w:r w:rsidR="005F081F" w:rsidRPr="00220A56">
        <w:rPr>
          <w:i/>
        </w:rPr>
        <w:t>i</w:t>
      </w:r>
      <w:r w:rsidR="00FC17C7" w:rsidRPr="00220A56">
        <w:rPr>
          <w:i/>
        </w:rPr>
        <w:t xml:space="preserve"> nr. 49/2012)</w:t>
      </w:r>
      <w:r w:rsidR="00E72ACB" w:rsidRPr="00220A56">
        <w:t xml:space="preserve">, shkelje për të cilën Gjykata e Lartë nuk është shprehur në vendimin e saj. Po kështu, </w:t>
      </w:r>
      <w:r w:rsidR="00614B8E" w:rsidRPr="00220A56">
        <w:t>gjyqtari fillestar</w:t>
      </w:r>
      <w:r w:rsidR="00EB3EE9" w:rsidRPr="00220A56">
        <w:t>,</w:t>
      </w:r>
      <w:r w:rsidR="00614B8E" w:rsidRPr="00220A56">
        <w:t xml:space="preserve"> relator i çështjes në Gjykatën Administrative të Apelit</w:t>
      </w:r>
      <w:r w:rsidR="00EB3EE9" w:rsidRPr="00220A56">
        <w:t>,</w:t>
      </w:r>
      <w:r w:rsidR="00614B8E" w:rsidRPr="00220A56">
        <w:t xml:space="preserve"> nuk i ka  kthyer përgjigje kërkesës së tij për kriteret </w:t>
      </w:r>
      <w:r w:rsidR="00EF1054" w:rsidRPr="00220A56">
        <w:t>që përcaktojnë radhën e shqyrtimit të çështjeve</w:t>
      </w:r>
      <w:r w:rsidR="00614B8E" w:rsidRPr="00220A56">
        <w:t xml:space="preserve">, ndërkohë që çështja </w:t>
      </w:r>
      <w:r w:rsidR="00EF1054" w:rsidRPr="00220A56">
        <w:t xml:space="preserve">e tij </w:t>
      </w:r>
      <w:r w:rsidR="00614B8E" w:rsidRPr="00220A56">
        <w:t xml:space="preserve">nuk është </w:t>
      </w:r>
      <w:r w:rsidR="007B78ED" w:rsidRPr="00220A56">
        <w:t xml:space="preserve">shqyrtuar </w:t>
      </w:r>
      <w:r w:rsidR="0031180A" w:rsidRPr="00220A56">
        <w:t xml:space="preserve">ende </w:t>
      </w:r>
      <w:r w:rsidR="00614B8E" w:rsidRPr="00220A56">
        <w:t xml:space="preserve">nga kjo gjykatë, </w:t>
      </w:r>
      <w:r w:rsidR="0031180A" w:rsidRPr="00220A56">
        <w:t>ndonëse janë tejkaluar afatet e parashikuara në</w:t>
      </w:r>
      <w:r w:rsidR="00291094" w:rsidRPr="00220A56">
        <w:t xml:space="preserve"> nenin 48, pika 2,</w:t>
      </w:r>
      <w:r w:rsidR="0031180A" w:rsidRPr="00220A56">
        <w:t xml:space="preserve"> të </w:t>
      </w:r>
      <w:r w:rsidR="007B78ED" w:rsidRPr="00220A56">
        <w:t>ligji</w:t>
      </w:r>
      <w:r w:rsidR="0031180A" w:rsidRPr="00220A56">
        <w:t>t</w:t>
      </w:r>
      <w:r w:rsidR="007B78ED" w:rsidRPr="00220A56">
        <w:t xml:space="preserve"> </w:t>
      </w:r>
      <w:r w:rsidR="00FC17C7" w:rsidRPr="00220A56">
        <w:t xml:space="preserve">nr. 49/2012 </w:t>
      </w:r>
      <w:r w:rsidR="0031180A" w:rsidRPr="00220A56">
        <w:t>dhe neni</w:t>
      </w:r>
      <w:r w:rsidR="00291094" w:rsidRPr="00220A56">
        <w:t>n</w:t>
      </w:r>
      <w:r w:rsidR="0031180A" w:rsidRPr="00220A56">
        <w:t xml:space="preserve"> 399/2, pika 1, shkronja “a”, </w:t>
      </w:r>
      <w:r w:rsidR="008244F5" w:rsidRPr="00220A56">
        <w:t>të</w:t>
      </w:r>
      <w:r w:rsidR="0031180A" w:rsidRPr="00220A56">
        <w:t xml:space="preserve"> </w:t>
      </w:r>
      <w:r w:rsidR="007B78ED" w:rsidRPr="00220A56">
        <w:t xml:space="preserve">Kodit të Procedurës Civile </w:t>
      </w:r>
      <w:r w:rsidR="007B78ED" w:rsidRPr="00220A56">
        <w:rPr>
          <w:i/>
        </w:rPr>
        <w:t>(KPC)</w:t>
      </w:r>
      <w:r w:rsidR="007B78ED" w:rsidRPr="00220A56">
        <w:t xml:space="preserve">. </w:t>
      </w:r>
      <w:r w:rsidR="00E20A3C" w:rsidRPr="00220A56">
        <w:t>N</w:t>
      </w:r>
      <w:r w:rsidR="007B78ED" w:rsidRPr="00220A56">
        <w:t xml:space="preserve">ga momenti i </w:t>
      </w:r>
      <w:r w:rsidR="00C82E35" w:rsidRPr="00220A56">
        <w:t>regjistrimit t</w:t>
      </w:r>
      <w:r w:rsidR="007B78ED" w:rsidRPr="00220A56">
        <w:t xml:space="preserve">ë ankimit në Gjykatën Administrative të Apelit </w:t>
      </w:r>
      <w:r w:rsidR="006800B8" w:rsidRPr="00220A56">
        <w:t>kanë kaluar afërsisht 5 vjet e 3 muaj pa një vendimmarrje nga kjo gjykatë</w:t>
      </w:r>
      <w:r w:rsidR="007B78ED" w:rsidRPr="00220A56">
        <w:t xml:space="preserve">. </w:t>
      </w:r>
      <w:r w:rsidR="00B737DC" w:rsidRPr="00220A56">
        <w:t>V</w:t>
      </w:r>
      <w:r w:rsidR="007B78ED" w:rsidRPr="00220A56">
        <w:t>endimi i Gjykatës së Lartë për kërkesën për konstatimin e shkeljes së afatit të arsyeshëm dhe përshpejtimin e procedurave është marrë 6 muaj pas depozitimit të kërkesës, në kundërshtim me nen</w:t>
      </w:r>
      <w:r w:rsidR="0031180A" w:rsidRPr="00220A56">
        <w:t>in</w:t>
      </w:r>
      <w:r w:rsidR="007B78ED" w:rsidRPr="00220A56">
        <w:t xml:space="preserve"> 399/</w:t>
      </w:r>
      <w:r w:rsidR="0031180A" w:rsidRPr="00220A56">
        <w:t>7, pika 2, të</w:t>
      </w:r>
      <w:r w:rsidR="007B78ED" w:rsidRPr="00220A56">
        <w:t xml:space="preserve"> KPC</w:t>
      </w:r>
      <w:r w:rsidR="0031180A" w:rsidRPr="00220A56">
        <w:t>-së që parashikon</w:t>
      </w:r>
      <w:r w:rsidR="007B78ED" w:rsidRPr="00220A56">
        <w:t xml:space="preserve"> afatin 45-ditor për shqyrtimin e saj. Vonesa e </w:t>
      </w:r>
      <w:r w:rsidR="00FD4749" w:rsidRPr="00220A56">
        <w:t>kësaj gjykate</w:t>
      </w:r>
      <w:r w:rsidR="007B78ED" w:rsidRPr="00220A56">
        <w:t xml:space="preserve"> në marrjen në shqyrtim të kërkesës, duke i kërkuar </w:t>
      </w:r>
      <w:proofErr w:type="spellStart"/>
      <w:r w:rsidR="007B78ED" w:rsidRPr="00220A56">
        <w:t>firmosjen</w:t>
      </w:r>
      <w:proofErr w:type="spellEnd"/>
      <w:r w:rsidR="007B78ED" w:rsidRPr="00220A56">
        <w:t xml:space="preserve"> e saj nga një avokat, si dhe paraqitjen e dokumenteve plotësuese, ka sjellë ndryshimin e rrethanave të çështjes. Gjyqtari relator në Gjykatën Administrative të Apelit është shkarkuar nga </w:t>
      </w:r>
      <w:r w:rsidR="0031180A" w:rsidRPr="00220A56">
        <w:t>KPK-ja</w:t>
      </w:r>
      <w:r w:rsidR="007B78ED" w:rsidRPr="00220A56">
        <w:t xml:space="preserve"> dhe për çështjen e tij është caktuar si </w:t>
      </w:r>
      <w:proofErr w:type="spellStart"/>
      <w:r w:rsidR="007B78ED" w:rsidRPr="00220A56">
        <w:t>relatore</w:t>
      </w:r>
      <w:proofErr w:type="spellEnd"/>
      <w:r w:rsidR="007B78ED" w:rsidRPr="00220A56">
        <w:t xml:space="preserve"> tjetër gjyqtare, e cila nuk ka pasur mundësi ta gjykojë atë brenda afatit ligjor. </w:t>
      </w:r>
      <w:r w:rsidR="00C84505" w:rsidRPr="00220A56">
        <w:t>R</w:t>
      </w:r>
      <w:r w:rsidR="007B78ED" w:rsidRPr="00220A56">
        <w:t xml:space="preserve">eferimi </w:t>
      </w:r>
      <w:r w:rsidR="00932EBE" w:rsidRPr="00220A56">
        <w:t>i</w:t>
      </w:r>
      <w:r w:rsidR="007B78ED" w:rsidRPr="00220A56">
        <w:t xml:space="preserve"> Gjykatës së Lartë në nenin 474 të KPC-së </w:t>
      </w:r>
      <w:r w:rsidR="00932EBE" w:rsidRPr="00220A56">
        <w:t xml:space="preserve">për paraqitjen e kërkesës </w:t>
      </w:r>
      <w:r w:rsidR="007B78ED" w:rsidRPr="00220A56">
        <w:t xml:space="preserve">është i gabuar, pasi kjo dispozitë ka të bëjë me paraqitjen e rekursit, ndërkohë që kërkesa drejtuar asaj gjykate </w:t>
      </w:r>
      <w:r w:rsidR="00932EBE" w:rsidRPr="00220A56">
        <w:t xml:space="preserve">për konstatimin e cenimit të afatit të arsyeshëm </w:t>
      </w:r>
      <w:r w:rsidR="007B78ED" w:rsidRPr="00220A56">
        <w:t>është bazuar në nenet 399/1 e vijues të KPC-së, që nuk parashikojnë një detyrim të tillë.</w:t>
      </w:r>
    </w:p>
    <w:p w:rsidR="00932EBE" w:rsidRPr="00220A56" w:rsidRDefault="003C7081" w:rsidP="00804AEB">
      <w:pPr>
        <w:pStyle w:val="ListParagraph"/>
        <w:ind w:left="1350" w:hanging="630"/>
        <w:jc w:val="both"/>
      </w:pPr>
      <w:r w:rsidRPr="00220A56">
        <w:t>10</w:t>
      </w:r>
      <w:r w:rsidR="00FC17C7" w:rsidRPr="00220A56">
        <w:t>.2.</w:t>
      </w:r>
      <w:r w:rsidR="00932EBE" w:rsidRPr="00220A56">
        <w:rPr>
          <w:i/>
        </w:rPr>
        <w:t xml:space="preserve"> </w:t>
      </w:r>
      <w:r w:rsidR="007B78ED" w:rsidRPr="00220A56">
        <w:t xml:space="preserve"> </w:t>
      </w:r>
      <w:r w:rsidR="007B78ED" w:rsidRPr="00220A56">
        <w:rPr>
          <w:i/>
        </w:rPr>
        <w:t>Standardit të arsyetimit të vendimit</w:t>
      </w:r>
      <w:r w:rsidR="007B78ED" w:rsidRPr="00220A56">
        <w:t xml:space="preserve">, pasi Kolegji Administrativ i Gjykatës së Lartë nuk është shprehur për pretendimet e </w:t>
      </w:r>
      <w:r w:rsidR="00954C42" w:rsidRPr="00220A56">
        <w:t>tij</w:t>
      </w:r>
      <w:r w:rsidR="007B78ED" w:rsidRPr="00220A56">
        <w:t xml:space="preserve"> në lidhje me vonesën në arsyetimin e vendimit të Gjykatës Administrative të Shkallës së Parë Vlorë</w:t>
      </w:r>
      <w:r w:rsidR="00FD4749" w:rsidRPr="00220A56">
        <w:t>,</w:t>
      </w:r>
      <w:r w:rsidR="007B78ED" w:rsidRPr="00220A56">
        <w:t xml:space="preserve"> si dhe për afatet e përcaktuara në ligjin nr. 49/2012 për gjykimin e çështjeve administrative. Arsyetimi i Gjykatës së Lartë</w:t>
      </w:r>
      <w:r w:rsidR="00EB3EE9" w:rsidRPr="00220A56">
        <w:t>,</w:t>
      </w:r>
      <w:r w:rsidR="007B78ED" w:rsidRPr="00220A56">
        <w:t xml:space="preserve"> se vonesat në gjykimin e çështjes fillojnë që nga momenti që ka filluar procesi gjyqësor në Gjykatën Administrative të Apelit</w:t>
      </w:r>
      <w:r w:rsidR="00EB3EE9" w:rsidRPr="00220A56">
        <w:t>,</w:t>
      </w:r>
      <w:r w:rsidR="007B78ED" w:rsidRPr="00220A56">
        <w:t xml:space="preserve"> bie ndesh me parashikimet e ligjit nr. 42/2012, që përcaktojnë afatin 30-ditor të gjykimit të çështjes nga Gjykata Administrative </w:t>
      </w:r>
      <w:r w:rsidR="00EB3EE9" w:rsidRPr="00220A56">
        <w:t>e</w:t>
      </w:r>
      <w:r w:rsidR="007B78ED" w:rsidRPr="00220A56">
        <w:t xml:space="preserve"> Apelit. Ky arsyetim vë në pikëpyetje sigurinë juridike, pasi çdo gjyqtar mund të mbajë me vite dosje pa i gjykuar, ndërkohë që palët nuk kanë asnjë mundësi ankimi për këto vonesa. Po kështu, Gjykata e Lartë nuk është shprehur për masat e marra për përshpejtimin e gjykimit të ankimeve</w:t>
      </w:r>
      <w:r w:rsidR="00FF585F" w:rsidRPr="00220A56">
        <w:t xml:space="preserve">, </w:t>
      </w:r>
      <w:r w:rsidR="009E73C1" w:rsidRPr="00220A56">
        <w:t>ndërsa</w:t>
      </w:r>
      <w:r w:rsidR="007B78ED" w:rsidRPr="00220A56">
        <w:t xml:space="preserve"> argumenti i gjyqtarit të Gjykatës Administrative të Apelit se çështjet gjykohen sipas radhës</w:t>
      </w:r>
      <w:r w:rsidR="0094234F" w:rsidRPr="00220A56">
        <w:t>,</w:t>
      </w:r>
      <w:r w:rsidR="007B78ED" w:rsidRPr="00220A56">
        <w:t xml:space="preserve"> nuk është i bazuar</w:t>
      </w:r>
      <w:r w:rsidR="000C2FD4" w:rsidRPr="00220A56">
        <w:t xml:space="preserve"> në një normë ligjore</w:t>
      </w:r>
      <w:r w:rsidR="007B78ED" w:rsidRPr="00220A56">
        <w:t>.</w:t>
      </w:r>
      <w:r w:rsidR="009F569E" w:rsidRPr="00220A56">
        <w:t xml:space="preserve"> Për më tepër, në arsyetimin e vendimit të saj, </w:t>
      </w:r>
      <w:r w:rsidR="00B15D41" w:rsidRPr="00220A56">
        <w:t>Gjykata e Lartë</w:t>
      </w:r>
      <w:r w:rsidR="009F569E" w:rsidRPr="00220A56">
        <w:t xml:space="preserve"> gabon rëndë duke u shprehur për themelin e çështjes </w:t>
      </w:r>
      <w:r w:rsidR="005A3FF1" w:rsidRPr="00220A56">
        <w:t>dh</w:t>
      </w:r>
      <w:r w:rsidR="009F569E" w:rsidRPr="00220A56">
        <w:t>e</w:t>
      </w:r>
      <w:r w:rsidR="005A3FF1" w:rsidRPr="00220A56">
        <w:t xml:space="preserve"> për</w:t>
      </w:r>
      <w:r w:rsidR="009F569E" w:rsidRPr="00220A56">
        <w:t xml:space="preserve"> vendimin e arsyetuar të Gjykatës Administrative të Shkallës së Parë Vlorë, pasi ky vendim nuk është përfundimtar</w:t>
      </w:r>
      <w:r w:rsidR="00F34482" w:rsidRPr="00220A56">
        <w:t>.</w:t>
      </w:r>
    </w:p>
    <w:p w:rsidR="007B78ED" w:rsidRPr="00220A56" w:rsidRDefault="003C7081" w:rsidP="00804AEB">
      <w:pPr>
        <w:pStyle w:val="ListParagraph"/>
        <w:tabs>
          <w:tab w:val="left" w:pos="1260"/>
        </w:tabs>
        <w:ind w:left="1350" w:hanging="630"/>
        <w:jc w:val="both"/>
      </w:pPr>
      <w:r w:rsidRPr="00220A56">
        <w:t>10</w:t>
      </w:r>
      <w:r w:rsidR="00FC17C7" w:rsidRPr="00220A56">
        <w:t>.</w:t>
      </w:r>
      <w:r w:rsidR="00932EBE" w:rsidRPr="00220A56">
        <w:t>3.</w:t>
      </w:r>
      <w:r w:rsidR="00932EBE" w:rsidRPr="00220A56">
        <w:rPr>
          <w:i/>
        </w:rPr>
        <w:t xml:space="preserve"> </w:t>
      </w:r>
      <w:r w:rsidR="00FC17C7" w:rsidRPr="00220A56">
        <w:rPr>
          <w:i/>
        </w:rPr>
        <w:tab/>
      </w:r>
      <w:r w:rsidR="00E957B5" w:rsidRPr="00220A56">
        <w:rPr>
          <w:i/>
        </w:rPr>
        <w:t>S</w:t>
      </w:r>
      <w:r w:rsidR="009F569E" w:rsidRPr="00220A56">
        <w:rPr>
          <w:i/>
        </w:rPr>
        <w:t>ë drejtë</w:t>
      </w:r>
      <w:r w:rsidR="00B547EE" w:rsidRPr="00220A56">
        <w:rPr>
          <w:i/>
        </w:rPr>
        <w:t>s</w:t>
      </w:r>
      <w:r w:rsidR="009F569E" w:rsidRPr="00220A56">
        <w:rPr>
          <w:i/>
        </w:rPr>
        <w:t xml:space="preserve"> </w:t>
      </w:r>
      <w:r w:rsidR="00DF1F32" w:rsidRPr="00220A56">
        <w:rPr>
          <w:i/>
        </w:rPr>
        <w:t>së mbrojtjes</w:t>
      </w:r>
      <w:r w:rsidR="00FD5C2C" w:rsidRPr="00220A56">
        <w:t>, pasi</w:t>
      </w:r>
      <w:r w:rsidR="00F34482" w:rsidRPr="00220A56">
        <w:t xml:space="preserve"> </w:t>
      </w:r>
      <w:proofErr w:type="spellStart"/>
      <w:r w:rsidR="00CA3F89" w:rsidRPr="00220A56">
        <w:rPr>
          <w:bCs/>
        </w:rPr>
        <w:t>relatorja</w:t>
      </w:r>
      <w:proofErr w:type="spellEnd"/>
      <w:r w:rsidR="00CA3F89" w:rsidRPr="00220A56">
        <w:rPr>
          <w:bCs/>
        </w:rPr>
        <w:t xml:space="preserve"> në Gjykatën Administrative të Apelit nuk e ka informuar për informacionin që i ka dërguar Gjykatës së Lartë për ecurinë e çështjes së tij të themelit dhe ky informacion nuk i është vënë në dispozicion as nga Gjykata e Lartë</w:t>
      </w:r>
      <w:r w:rsidR="007B78ED" w:rsidRPr="00220A56">
        <w:t>.</w:t>
      </w:r>
    </w:p>
    <w:p w:rsidR="00166034" w:rsidRPr="00220A56" w:rsidRDefault="007B78ED" w:rsidP="00026FB2">
      <w:pPr>
        <w:pStyle w:val="ListParagraph"/>
        <w:numPr>
          <w:ilvl w:val="0"/>
          <w:numId w:val="1"/>
        </w:numPr>
        <w:tabs>
          <w:tab w:val="left" w:pos="1260"/>
        </w:tabs>
        <w:ind w:left="0" w:firstLine="720"/>
        <w:jc w:val="both"/>
      </w:pPr>
      <w:r w:rsidRPr="00220A56">
        <w:t xml:space="preserve"> </w:t>
      </w:r>
      <w:r w:rsidR="00166034" w:rsidRPr="00220A56">
        <w:rPr>
          <w:b/>
          <w:i/>
        </w:rPr>
        <w:t>Subjekti i interesuar, Avokatura e Shtetit</w:t>
      </w:r>
      <w:r w:rsidR="0094234F" w:rsidRPr="00220A56">
        <w:rPr>
          <w:b/>
          <w:i/>
        </w:rPr>
        <w:t>,</w:t>
      </w:r>
      <w:r w:rsidR="00166034" w:rsidRPr="00220A56">
        <w:t xml:space="preserve"> </w:t>
      </w:r>
      <w:r w:rsidR="005763EB" w:rsidRPr="00220A56">
        <w:t>ka prapësuar me shkrim, duke kundërshtuar pretendimet e kërkues</w:t>
      </w:r>
      <w:r w:rsidR="002E5647" w:rsidRPr="00220A56">
        <w:t>it</w:t>
      </w:r>
      <w:r w:rsidR="005763EB" w:rsidRPr="00220A56">
        <w:t xml:space="preserve"> si vijon</w:t>
      </w:r>
      <w:r w:rsidR="00166034" w:rsidRPr="00220A56">
        <w:rPr>
          <w:bCs/>
        </w:rPr>
        <w:t>:</w:t>
      </w:r>
    </w:p>
    <w:p w:rsidR="00166034" w:rsidRPr="00220A56" w:rsidRDefault="00853446" w:rsidP="00FC17C7">
      <w:pPr>
        <w:pStyle w:val="ListParagraph"/>
        <w:tabs>
          <w:tab w:val="left" w:pos="1260"/>
        </w:tabs>
        <w:ind w:left="1260" w:hanging="540"/>
        <w:jc w:val="both"/>
      </w:pPr>
      <w:r w:rsidRPr="00220A56">
        <w:t>11</w:t>
      </w:r>
      <w:r w:rsidR="000E1952" w:rsidRPr="00220A56">
        <w:t>.1.</w:t>
      </w:r>
      <w:r w:rsidR="000E1952" w:rsidRPr="00220A56">
        <w:rPr>
          <w:i/>
        </w:rPr>
        <w:t xml:space="preserve"> </w:t>
      </w:r>
      <w:r w:rsidR="000E1952" w:rsidRPr="00220A56">
        <w:t xml:space="preserve">Kërkuesi ka gabuar në përcaktimin e </w:t>
      </w:r>
      <w:proofErr w:type="spellStart"/>
      <w:r w:rsidR="000E1952" w:rsidRPr="00220A56">
        <w:t>ndërgjyqësisë</w:t>
      </w:r>
      <w:proofErr w:type="spellEnd"/>
      <w:r w:rsidR="000E1952" w:rsidRPr="00220A56">
        <w:t xml:space="preserve"> në gjykimin kushtetues, duke thirrur si subjekte të interesuara në këtë gjykim Gjykatën e Lartë, Gjykatën Administrative të Apelit dhe Gjykatën Administrative të Shkallës së Parë Vlorë. Këto gjykata nuk mund të thirren për të dhënë shpjegime për vendimmarrjet e tyre, pasi kjo do të cenonte pavarësinë e tyre, duke vendosur një regjim hierarkik mes sistemit gjyqësor dhe atij kushtetues</w:t>
      </w:r>
      <w:r w:rsidR="00166034" w:rsidRPr="00220A56">
        <w:t>.</w:t>
      </w:r>
    </w:p>
    <w:p w:rsidR="000E1952" w:rsidRPr="00220A56" w:rsidRDefault="00853446" w:rsidP="00FC17C7">
      <w:pPr>
        <w:pStyle w:val="ListParagraph"/>
        <w:tabs>
          <w:tab w:val="left" w:pos="990"/>
        </w:tabs>
        <w:ind w:left="1260" w:hanging="540"/>
        <w:jc w:val="both"/>
      </w:pPr>
      <w:r w:rsidRPr="00220A56">
        <w:t>11</w:t>
      </w:r>
      <w:r w:rsidR="000E1952" w:rsidRPr="00220A56">
        <w:t xml:space="preserve">.2. Kërkuesi kundërshton një praktikë ende në shqyrtim në gjykatat e sistemit gjyqësor. </w:t>
      </w:r>
      <w:r w:rsidR="00413F04" w:rsidRPr="00220A56">
        <w:t>Në këtë kuptim, ai nuk legjitimohet t’i drejtohet Gjykatës</w:t>
      </w:r>
      <w:r w:rsidR="0094234F" w:rsidRPr="00220A56">
        <w:t>,</w:t>
      </w:r>
      <w:r w:rsidR="00413F04" w:rsidRPr="00220A56">
        <w:t xml:space="preserve"> pasi, në kushtet kur shqyrtimi i </w:t>
      </w:r>
      <w:r w:rsidR="00E313A1" w:rsidRPr="00220A56">
        <w:t>çështjes së themelit</w:t>
      </w:r>
      <w:r w:rsidR="00413F04" w:rsidRPr="00220A56">
        <w:t xml:space="preserve"> nuk ka përfunduar ende në Gjykatën e Lartë, ai nuk </w:t>
      </w:r>
      <w:r w:rsidR="0094234F" w:rsidRPr="00220A56">
        <w:t xml:space="preserve">i </w:t>
      </w:r>
      <w:r w:rsidR="00413F04" w:rsidRPr="00220A56">
        <w:t>ka shteruar mjetet në dispozicion</w:t>
      </w:r>
      <w:r w:rsidR="0094234F" w:rsidRPr="00220A56">
        <w:t>,</w:t>
      </w:r>
      <w:r w:rsidR="00413F04" w:rsidRPr="00220A56">
        <w:t xml:space="preserve"> në kuptim të nenit 71/a të ligjit nr. 8577/2000. Në mënyrë që kërkuesi të legjitimohet në këtë proces do të duhet të ketë më parë një vendim gjyqësor të formës së prerë dhe të mos ketë mjete të tjera në dispozicion të </w:t>
      </w:r>
      <w:r w:rsidR="00B00910" w:rsidRPr="00220A56">
        <w:t>tij</w:t>
      </w:r>
      <w:r w:rsidR="00413F04" w:rsidRPr="00220A56">
        <w:t>.</w:t>
      </w:r>
      <w:r w:rsidR="00103328" w:rsidRPr="00220A56">
        <w:t xml:space="preserve"> Konstatimi i </w:t>
      </w:r>
      <w:proofErr w:type="spellStart"/>
      <w:r w:rsidR="00103328" w:rsidRPr="00220A56">
        <w:t>tejzgjatjes</w:t>
      </w:r>
      <w:proofErr w:type="spellEnd"/>
      <w:r w:rsidR="00103328" w:rsidRPr="00220A56">
        <w:t xml:space="preserve"> së procedurave nuk përbën juridiksion kushtetues</w:t>
      </w:r>
      <w:r w:rsidR="0094234F" w:rsidRPr="00220A56">
        <w:t>,</w:t>
      </w:r>
      <w:r w:rsidR="00103328" w:rsidRPr="00220A56">
        <w:t xml:space="preserve"> për sa kohë që çështja </w:t>
      </w:r>
      <w:r w:rsidR="00E313A1" w:rsidRPr="00220A56">
        <w:t xml:space="preserve">e themelit </w:t>
      </w:r>
      <w:r w:rsidR="00103328" w:rsidRPr="00220A56">
        <w:t>është ende në shqyrtim.</w:t>
      </w:r>
    </w:p>
    <w:p w:rsidR="00B31174" w:rsidRPr="00220A56" w:rsidRDefault="00853446" w:rsidP="00FC17C7">
      <w:pPr>
        <w:pStyle w:val="ListParagraph"/>
        <w:tabs>
          <w:tab w:val="left" w:pos="990"/>
        </w:tabs>
        <w:ind w:left="1260" w:hanging="540"/>
        <w:jc w:val="both"/>
      </w:pPr>
      <w:r w:rsidRPr="00220A56">
        <w:t>11</w:t>
      </w:r>
      <w:r w:rsidR="00B31174" w:rsidRPr="00220A56">
        <w:t xml:space="preserve">.3. Për sa i përket pretendimit të kërkuesit për shkeljen e afatit të arsyeshëm të gjykimit, vendimmarrja e Gjykatës së Lartë është </w:t>
      </w:r>
      <w:proofErr w:type="spellStart"/>
      <w:r w:rsidR="00B31174" w:rsidRPr="00220A56">
        <w:t>ezauruese</w:t>
      </w:r>
      <w:proofErr w:type="spellEnd"/>
      <w:r w:rsidR="00B31174" w:rsidRPr="00220A56">
        <w:t xml:space="preserve"> dhe e mbështetur në nenet 399/5 e 399/6 të KPC-së, duke respektuar kufijtë e objektit të kërkesës dhe dispozitave që rregullojnë këtë kërkim. Gjykata e Lartë</w:t>
      </w:r>
      <w:r w:rsidR="00FC5F45" w:rsidRPr="00220A56">
        <w:t>, pasi</w:t>
      </w:r>
      <w:r w:rsidR="00B31174" w:rsidRPr="00220A56">
        <w:t xml:space="preserve"> ka konstatuar se çështja e</w:t>
      </w:r>
      <w:r w:rsidR="00285FD9" w:rsidRPr="00220A56">
        <w:t xml:space="preserve"> kërkuesit e ka kaluar afatin 1-</w:t>
      </w:r>
      <w:r w:rsidR="00B31174" w:rsidRPr="00220A56">
        <w:t>vjeçar</w:t>
      </w:r>
      <w:r w:rsidR="001D7747" w:rsidRPr="00220A56">
        <w:t xml:space="preserve"> </w:t>
      </w:r>
      <w:r w:rsidR="00285FD9" w:rsidRPr="00220A56">
        <w:t xml:space="preserve">të shqyrtimit </w:t>
      </w:r>
      <w:r w:rsidR="00EE1264" w:rsidRPr="00220A56">
        <w:t>në apel</w:t>
      </w:r>
      <w:r w:rsidR="00B31174" w:rsidRPr="00220A56">
        <w:t xml:space="preserve">, </w:t>
      </w:r>
      <w:r w:rsidR="00FC5F45" w:rsidRPr="00220A56">
        <w:t xml:space="preserve">ka </w:t>
      </w:r>
      <w:r w:rsidR="006E2BA2" w:rsidRPr="00220A56">
        <w:t xml:space="preserve">marrë në shqyrtim edhe shkaqet objektive që kanë ndikuar në kohëzgjatjen e këtij procesi. </w:t>
      </w:r>
      <w:r w:rsidR="00FC5F45" w:rsidRPr="00220A56">
        <w:t xml:space="preserve">Me të drejtë, ajo ka vlerësuar se vonesa në shqyrtimin e çështjes është </w:t>
      </w:r>
      <w:r w:rsidR="00425E3C" w:rsidRPr="00220A56">
        <w:t>pas</w:t>
      </w:r>
      <w:r w:rsidR="00FC5F45" w:rsidRPr="00220A56">
        <w:t xml:space="preserve">ojë e një problematike të përgjithshme, të shkaktuar si rrjedhojë e reformës në drejtësi, që tejkalon rastin konkret. Këto vështirësi janë proporcionale në raport me të mirën e përgjithshme që krijon procesi i reformës. </w:t>
      </w:r>
      <w:r w:rsidR="008074B3" w:rsidRPr="00220A56">
        <w:t>Në vlerësimin e</w:t>
      </w:r>
      <w:r w:rsidR="00F95F2E" w:rsidRPr="00220A56">
        <w:t xml:space="preserve"> sjelljes së autoriteteve</w:t>
      </w:r>
      <w:r w:rsidR="00E906B8" w:rsidRPr="00220A56">
        <w:t xml:space="preserve"> duhet mbajtur në konsideratë ngarkesa totale individuale e gjyqtarit relator, si dhe ngarkes</w:t>
      </w:r>
      <w:r w:rsidR="00E37E19" w:rsidRPr="00220A56">
        <w:t>a</w:t>
      </w:r>
      <w:r w:rsidR="00E906B8" w:rsidRPr="00220A56">
        <w:t xml:space="preserve"> e këtij të fundit në raport me gjyqtarët e tjerë.</w:t>
      </w:r>
      <w:r w:rsidR="00E37E19" w:rsidRPr="00220A56">
        <w:t xml:space="preserve"> Gjyqtari relator fillestar në Gjykatën Administrative të Apelit është ndryshuar, ndërkohë që gjyqtari tjetër relator</w:t>
      </w:r>
      <w:r w:rsidR="00FC1A9A" w:rsidRPr="00220A56">
        <w:t>,</w:t>
      </w:r>
      <w:r w:rsidR="00E37E19" w:rsidRPr="00220A56">
        <w:t xml:space="preserve"> të cilit i ka kaluar çështja, pas njohjes me kërkesën e kërkuesit për përshpejtimin e gjykimit, është shprehur se për çështjen e </w:t>
      </w:r>
      <w:r w:rsidR="009F1196" w:rsidRPr="00220A56">
        <w:t>tij</w:t>
      </w:r>
      <w:r w:rsidR="00E37E19" w:rsidRPr="00220A56">
        <w:t xml:space="preserve"> do të ndiqej radha si për të gjitha çështjet e tjera. Ky qëndrim është arsyetuar me faktin se si gjyqtari relator, ashtu edhe trupi gjyqësor kishin ngarkesë të madhe çështjesh</w:t>
      </w:r>
      <w:r w:rsidR="006D05BD" w:rsidRPr="00220A56">
        <w:t xml:space="preserve"> që</w:t>
      </w:r>
      <w:r w:rsidR="00E37E19" w:rsidRPr="00220A56">
        <w:t xml:space="preserve"> prisnin radhën e sh</w:t>
      </w:r>
      <w:r w:rsidR="006D05BD" w:rsidRPr="00220A56">
        <w:t xml:space="preserve">qyrtimit </w:t>
      </w:r>
      <w:r w:rsidR="00E37E19" w:rsidRPr="00220A56">
        <w:t xml:space="preserve">e </w:t>
      </w:r>
      <w:r w:rsidR="006D05BD" w:rsidRPr="00220A56">
        <w:t xml:space="preserve">të </w:t>
      </w:r>
      <w:r w:rsidR="00E37E19" w:rsidRPr="00220A56">
        <w:t xml:space="preserve">gjykimit të tyre. </w:t>
      </w:r>
      <w:r w:rsidR="00D94A53" w:rsidRPr="00220A56">
        <w:t>Mosveprimi i Gjykatës Administrative të Apelit nuk ka ndodhur për shkaqe subjektive që lidhen me vlerësime e qëndrime abuzive të gjyqtarit, i cili ka ma</w:t>
      </w:r>
      <w:r w:rsidR="009351C4" w:rsidRPr="00220A56">
        <w:t>rrë të gjitha masat e nevojshme,</w:t>
      </w:r>
      <w:r w:rsidR="00D94A53" w:rsidRPr="00220A56">
        <w:t xml:space="preserve"> duke përcaktuar kritere transparente për shqyrtimin e çështjeve sipas rendit kronologjik të paraqitjes së tyre. </w:t>
      </w:r>
    </w:p>
    <w:p w:rsidR="007E17A5" w:rsidRPr="00220A56" w:rsidRDefault="00853446" w:rsidP="00FC17C7">
      <w:pPr>
        <w:pStyle w:val="ListParagraph"/>
        <w:tabs>
          <w:tab w:val="left" w:pos="1170"/>
        </w:tabs>
        <w:ind w:left="1260" w:hanging="540"/>
        <w:jc w:val="both"/>
      </w:pPr>
      <w:r w:rsidRPr="00220A56">
        <w:t>11</w:t>
      </w:r>
      <w:r w:rsidR="007E17A5" w:rsidRPr="00220A56">
        <w:t xml:space="preserve">.4. </w:t>
      </w:r>
      <w:r w:rsidR="00F95F2E" w:rsidRPr="00220A56">
        <w:t xml:space="preserve">Pretendimi për cenimin e standardit të arsyetimit është i pabazuar, pasi </w:t>
      </w:r>
      <w:r w:rsidR="007E17A5" w:rsidRPr="00220A56">
        <w:t xml:space="preserve">vendimi i Gjykatës së Lartë është </w:t>
      </w:r>
      <w:proofErr w:type="spellStart"/>
      <w:r w:rsidR="007E17A5" w:rsidRPr="00220A56">
        <w:t>ezaurues</w:t>
      </w:r>
      <w:proofErr w:type="spellEnd"/>
      <w:r w:rsidR="007E17A5" w:rsidRPr="00220A56">
        <w:t xml:space="preserve"> dhe i plotë, si dhe u ka dhënë përgjigje të gjitha pretendimeve të kërkuesit. Ai është logjik, koherent, i strukturuar, përmbush kërkesat për një arsyetim të plotë ligjor dhe standardet e vendosura nga jurisprudenca kushtetuese</w:t>
      </w:r>
      <w:r w:rsidR="00180C6E" w:rsidRPr="00220A56">
        <w:t>,</w:t>
      </w:r>
      <w:r w:rsidR="00597AC8" w:rsidRPr="00220A56">
        <w:t xml:space="preserve"> për sa u përket element</w:t>
      </w:r>
      <w:r w:rsidR="00180C6E" w:rsidRPr="00220A56">
        <w:t>e</w:t>
      </w:r>
      <w:r w:rsidR="00597AC8" w:rsidRPr="00220A56">
        <w:t xml:space="preserve">ve që duhet të përmbajë </w:t>
      </w:r>
      <w:r w:rsidR="00D55D03" w:rsidRPr="00220A56">
        <w:t>një vendim gjyqësor i arsyetuar</w:t>
      </w:r>
      <w:r w:rsidR="007E17A5" w:rsidRPr="00220A56">
        <w:t>.</w:t>
      </w:r>
    </w:p>
    <w:p w:rsidR="00853446" w:rsidRPr="00220A56" w:rsidRDefault="00853446" w:rsidP="00026FB2">
      <w:pPr>
        <w:pStyle w:val="ListParagraph"/>
        <w:numPr>
          <w:ilvl w:val="0"/>
          <w:numId w:val="1"/>
        </w:numPr>
        <w:tabs>
          <w:tab w:val="left" w:pos="1080"/>
        </w:tabs>
        <w:ind w:left="0" w:firstLine="720"/>
        <w:jc w:val="both"/>
      </w:pPr>
      <w:r w:rsidRPr="00220A56">
        <w:rPr>
          <w:b/>
          <w:i/>
        </w:rPr>
        <w:t xml:space="preserve">Subjektet e interesuara, </w:t>
      </w:r>
      <w:r w:rsidRPr="00220A56">
        <w:rPr>
          <w:bCs/>
        </w:rPr>
        <w:t xml:space="preserve">bashkia Fier, </w:t>
      </w:r>
      <w:r w:rsidR="004526F1" w:rsidRPr="00220A56">
        <w:rPr>
          <w:color w:val="222222"/>
          <w:shd w:val="clear" w:color="auto" w:fill="FFFFFF"/>
        </w:rPr>
        <w:t>ASHK-ja dhe</w:t>
      </w:r>
      <w:r w:rsidRPr="00220A56">
        <w:rPr>
          <w:color w:val="222222"/>
          <w:shd w:val="clear" w:color="auto" w:fill="FFFFFF"/>
        </w:rPr>
        <w:t xml:space="preserve"> Drejtoria Vendore </w:t>
      </w:r>
      <w:r w:rsidR="004526F1" w:rsidRPr="00220A56">
        <w:rPr>
          <w:color w:val="222222"/>
          <w:shd w:val="clear" w:color="auto" w:fill="FFFFFF"/>
        </w:rPr>
        <w:t xml:space="preserve">e ASHK-së, </w:t>
      </w:r>
      <w:r w:rsidRPr="00220A56">
        <w:rPr>
          <w:color w:val="222222"/>
          <w:shd w:val="clear" w:color="auto" w:fill="FFFFFF"/>
        </w:rPr>
        <w:t>Fier nuk kanë</w:t>
      </w:r>
      <w:r w:rsidRPr="00220A56">
        <w:t xml:space="preserve"> paraqitur prapësime me shkrim, ed</w:t>
      </w:r>
      <w:r w:rsidRPr="00220A56">
        <w:rPr>
          <w:bCs/>
        </w:rPr>
        <w:t>he pse janë njoftuar rregullisht</w:t>
      </w:r>
      <w:r w:rsidRPr="00220A56">
        <w:t>.</w:t>
      </w:r>
    </w:p>
    <w:p w:rsidR="007B78ED" w:rsidRPr="00220A56" w:rsidRDefault="007B78ED" w:rsidP="00026FB2">
      <w:pPr>
        <w:tabs>
          <w:tab w:val="left" w:pos="1080"/>
        </w:tabs>
        <w:jc w:val="both"/>
      </w:pPr>
    </w:p>
    <w:p w:rsidR="007B78ED" w:rsidRPr="00220A56" w:rsidRDefault="007B78ED" w:rsidP="00026FB2">
      <w:pPr>
        <w:pStyle w:val="Heading1"/>
        <w:tabs>
          <w:tab w:val="left" w:pos="1080"/>
        </w:tabs>
      </w:pPr>
      <w:r w:rsidRPr="00220A56">
        <w:t>III</w:t>
      </w:r>
    </w:p>
    <w:p w:rsidR="007B78ED" w:rsidRPr="00220A56" w:rsidRDefault="007B78ED" w:rsidP="00026FB2">
      <w:pPr>
        <w:tabs>
          <w:tab w:val="left" w:pos="1080"/>
        </w:tabs>
        <w:jc w:val="center"/>
        <w:rPr>
          <w:b/>
        </w:rPr>
      </w:pPr>
      <w:r w:rsidRPr="00220A56">
        <w:rPr>
          <w:b/>
        </w:rPr>
        <w:t xml:space="preserve">Vlerësimi i </w:t>
      </w:r>
      <w:r w:rsidR="00103328" w:rsidRPr="00220A56">
        <w:rPr>
          <w:b/>
        </w:rPr>
        <w:t>Gjykatës</w:t>
      </w:r>
      <w:r w:rsidR="00180C6E" w:rsidRPr="00220A56">
        <w:rPr>
          <w:b/>
        </w:rPr>
        <w:t xml:space="preserve"> Kushtetuese</w:t>
      </w:r>
    </w:p>
    <w:p w:rsidR="007B78ED" w:rsidRPr="00220A56" w:rsidRDefault="007B78ED" w:rsidP="00026FB2">
      <w:pPr>
        <w:tabs>
          <w:tab w:val="left" w:pos="720"/>
        </w:tabs>
        <w:jc w:val="both"/>
        <w:rPr>
          <w:i/>
        </w:rPr>
      </w:pPr>
      <w:r w:rsidRPr="00220A56">
        <w:rPr>
          <w:b/>
        </w:rPr>
        <w:tab/>
      </w:r>
      <w:r w:rsidRPr="00220A56">
        <w:rPr>
          <w:i/>
        </w:rPr>
        <w:t>A. Për legj</w:t>
      </w:r>
      <w:r w:rsidR="00993D3C" w:rsidRPr="00220A56">
        <w:rPr>
          <w:i/>
        </w:rPr>
        <w:t>i</w:t>
      </w:r>
      <w:r w:rsidRPr="00220A56">
        <w:rPr>
          <w:i/>
        </w:rPr>
        <w:t>timimin e kërkuesit</w:t>
      </w:r>
    </w:p>
    <w:p w:rsidR="007B78ED" w:rsidRPr="00220A56" w:rsidRDefault="00853446" w:rsidP="00026FB2">
      <w:pPr>
        <w:pStyle w:val="ListParagraph"/>
        <w:numPr>
          <w:ilvl w:val="0"/>
          <w:numId w:val="1"/>
        </w:numPr>
        <w:tabs>
          <w:tab w:val="left" w:pos="1080"/>
        </w:tabs>
        <w:ind w:left="0" w:firstLine="720"/>
        <w:jc w:val="both"/>
      </w:pPr>
      <w:r w:rsidRPr="00220A56">
        <w:t>Çësh</w:t>
      </w:r>
      <w:r w:rsidRPr="00220A56">
        <w:rPr>
          <w:lang w:bidi="en-US"/>
        </w:rPr>
        <w:t>tja e legjitimimit (</w:t>
      </w:r>
      <w:proofErr w:type="spellStart"/>
      <w:r w:rsidRPr="00220A56">
        <w:rPr>
          <w:i/>
          <w:lang w:bidi="en-US"/>
        </w:rPr>
        <w:t>locus</w:t>
      </w:r>
      <w:proofErr w:type="spellEnd"/>
      <w:r w:rsidRPr="00220A56">
        <w:rPr>
          <w:i/>
          <w:lang w:bidi="en-US"/>
        </w:rPr>
        <w:t xml:space="preserve"> </w:t>
      </w:r>
      <w:proofErr w:type="spellStart"/>
      <w:r w:rsidRPr="00220A56">
        <w:rPr>
          <w:i/>
          <w:lang w:bidi="en-US"/>
        </w:rPr>
        <w:t>standi</w:t>
      </w:r>
      <w:proofErr w:type="spellEnd"/>
      <w:r w:rsidRPr="00220A56">
        <w:rPr>
          <w:lang w:bidi="en-US"/>
        </w:rPr>
        <w:t>) është një ndër aspektet kryesore që lidhet me inicimin e një procesi kushtetues. Sipas neneve 131, pika 1, shkronja “f”, 134 pika 1, shkronja “i” dhe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w:t>
      </w:r>
      <w:r w:rsidRPr="00220A56">
        <w:rPr>
          <w:rFonts w:eastAsia="Times New Roman"/>
        </w:rPr>
        <w:t xml:space="preserve"> Ankimi kushtetues individual, </w:t>
      </w:r>
      <w:r w:rsidR="0092339B" w:rsidRPr="00220A56">
        <w:rPr>
          <w:rFonts w:eastAsia="Times New Roman"/>
        </w:rPr>
        <w:t>në çdo rast, duhet të plotësojë</w:t>
      </w:r>
      <w:r w:rsidRPr="00220A56">
        <w:rPr>
          <w:rFonts w:eastAsia="Times New Roman"/>
        </w:rPr>
        <w:t xml:space="preserve"> edhe kriteret </w:t>
      </w:r>
      <w:proofErr w:type="spellStart"/>
      <w:r w:rsidRPr="00220A56">
        <w:rPr>
          <w:rFonts w:eastAsia="Times New Roman"/>
        </w:rPr>
        <w:t>kumulative</w:t>
      </w:r>
      <w:proofErr w:type="spellEnd"/>
      <w:r w:rsidRPr="00220A56">
        <w:rPr>
          <w:rFonts w:eastAsia="Times New Roman"/>
        </w:rPr>
        <w:t xml:space="preserve"> të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r w:rsidR="007B78ED" w:rsidRPr="00220A56">
        <w:t>.</w:t>
      </w:r>
    </w:p>
    <w:p w:rsidR="00853446" w:rsidRPr="00220A56" w:rsidRDefault="00853446" w:rsidP="00026FB2">
      <w:pPr>
        <w:pStyle w:val="ListParagraph"/>
        <w:numPr>
          <w:ilvl w:val="0"/>
          <w:numId w:val="1"/>
        </w:numPr>
        <w:tabs>
          <w:tab w:val="left" w:pos="1080"/>
        </w:tabs>
        <w:ind w:left="0" w:firstLine="720"/>
        <w:jc w:val="both"/>
      </w:pPr>
      <w:r w:rsidRPr="00220A56">
        <w:t xml:space="preserve">Duke iu kthyer çështjes konkrete, Gjykata vëren se kërkuesi, në thelb, ankohet për gjykimin përtej afatit të arsyeshëm të çështjes së </w:t>
      </w:r>
      <w:r w:rsidR="00FC5F45" w:rsidRPr="00220A56">
        <w:t>tij</w:t>
      </w:r>
      <w:r w:rsidR="0092339B" w:rsidRPr="00220A56">
        <w:t xml:space="preserve"> në Gjykatën</w:t>
      </w:r>
      <w:r w:rsidRPr="00220A56">
        <w:t xml:space="preserve"> Administrative të Apelit, i cili ende nuk ka përfunduar, duke kërkuar edhe shfuqizimin e vendimit të Kolegjit Administrativ të Gjykatës së Lartë, që ka rrëzuar kërkesën e tij për përshpejtimin e procedurave.</w:t>
      </w:r>
    </w:p>
    <w:p w:rsidR="007B78ED" w:rsidRPr="00220A56" w:rsidRDefault="00853446" w:rsidP="00026FB2">
      <w:pPr>
        <w:pStyle w:val="ListParagraph"/>
        <w:numPr>
          <w:ilvl w:val="0"/>
          <w:numId w:val="1"/>
        </w:numPr>
        <w:tabs>
          <w:tab w:val="left" w:pos="1080"/>
        </w:tabs>
        <w:ind w:left="0" w:firstLine="720"/>
        <w:jc w:val="both"/>
      </w:pPr>
      <w:r w:rsidRPr="00220A56">
        <w:t>Për rrjedhojë</w:t>
      </w:r>
      <w:r w:rsidR="007B78ED" w:rsidRPr="00220A56">
        <w:t xml:space="preserve">, kërkuesi, si individ, legjitimohet </w:t>
      </w:r>
      <w:proofErr w:type="spellStart"/>
      <w:r w:rsidR="007B78ED" w:rsidRPr="00220A56">
        <w:rPr>
          <w:i/>
        </w:rPr>
        <w:t>ratione</w:t>
      </w:r>
      <w:proofErr w:type="spellEnd"/>
      <w:r w:rsidR="007B78ED" w:rsidRPr="00220A56">
        <w:rPr>
          <w:i/>
        </w:rPr>
        <w:t xml:space="preserve"> </w:t>
      </w:r>
      <w:proofErr w:type="spellStart"/>
      <w:r w:rsidR="007B78ED" w:rsidRPr="00220A56">
        <w:rPr>
          <w:i/>
        </w:rPr>
        <w:t>personae</w:t>
      </w:r>
      <w:proofErr w:type="spellEnd"/>
      <w:r w:rsidR="007B78ED" w:rsidRPr="00220A56">
        <w:t xml:space="preserve">, në kuptim të neneve 131, pika 1, shkronja “f”, 134, pika 1, shkronja “i” dhe 134, pika 2, të Kushtetutës, pasi </w:t>
      </w:r>
      <w:r w:rsidRPr="00220A56">
        <w:t xml:space="preserve">është </w:t>
      </w:r>
      <w:r w:rsidR="007B78ED" w:rsidRPr="00220A56">
        <w:t xml:space="preserve">palë në procesin gjyqësor </w:t>
      </w:r>
      <w:r w:rsidR="004526F1" w:rsidRPr="00220A56">
        <w:t>që ai kundërshton</w:t>
      </w:r>
      <w:r w:rsidRPr="00220A56">
        <w:t xml:space="preserve"> dhe ka interes të drejtpërdrejtë në çështjen e parashtruar</w:t>
      </w:r>
      <w:r w:rsidR="007B78ED" w:rsidRPr="00220A56">
        <w:t>.</w:t>
      </w:r>
    </w:p>
    <w:p w:rsidR="007B78ED" w:rsidRPr="00220A56" w:rsidRDefault="007B78ED" w:rsidP="00026FB2">
      <w:pPr>
        <w:pStyle w:val="ListParagraph"/>
        <w:numPr>
          <w:ilvl w:val="0"/>
          <w:numId w:val="1"/>
        </w:numPr>
        <w:tabs>
          <w:tab w:val="left" w:pos="1080"/>
        </w:tabs>
        <w:ind w:left="0" w:firstLine="720"/>
        <w:jc w:val="both"/>
      </w:pPr>
      <w:r w:rsidRPr="00220A56">
        <w:t xml:space="preserve">Një tjetër kriter paraprak, që duhet të përmbushet nga individi përpara se t’i drejtohet kësaj Gjykate, lidhet me </w:t>
      </w:r>
      <w:r w:rsidRPr="00220A56">
        <w:rPr>
          <w:bCs/>
          <w:i/>
        </w:rPr>
        <w:t>shterimin e mjeteve juridike</w:t>
      </w:r>
      <w:r w:rsidR="00457EAD" w:rsidRPr="00220A56">
        <w:rPr>
          <w:bCs/>
          <w:i/>
        </w:rPr>
        <w:t xml:space="preserve"> efektive</w:t>
      </w:r>
      <w:r w:rsidRPr="00220A56">
        <w:rPr>
          <w:bCs/>
        </w:rPr>
        <w:t xml:space="preserve">. </w:t>
      </w:r>
      <w:r w:rsidRPr="00220A56">
        <w:t>Sipas nenit 131, pika 1, shkronja “f”, të Kushtetutës, Gjykata Kushtetuese vendos për gjykimin përfundimtar të ankesave të individëve, pasi të jenë shteruar të gjitha mjetet juridike efektive për mbrojtjen e të drejtave kushtetuese, që individi pretendon se i janë cenuar nga akti i pushtetit publik. Shterimi i mjeteve përbën parakusht që duhet përmbushur nga kërkuesi, i cili</w:t>
      </w:r>
      <w:r w:rsidR="0092339B" w:rsidRPr="00220A56">
        <w:t>,</w:t>
      </w:r>
      <w:r w:rsidRPr="00220A56">
        <w:t xml:space="preserve"> para se t’i drejtohet Gjykatës</w:t>
      </w:r>
      <w:r w:rsidR="0092339B" w:rsidRPr="00220A56">
        <w:t>,</w:t>
      </w:r>
      <w:r w:rsidRPr="00220A56">
        <w:t xml:space="preserve"> duhet të vërtetojë se </w:t>
      </w:r>
      <w:r w:rsidR="0092339B" w:rsidRPr="00220A56">
        <w:t xml:space="preserve">i </w:t>
      </w:r>
      <w:r w:rsidRPr="00220A56">
        <w:t>ka përdorur të gjitha mjetet ligjore të njohura nga ligji dhe të mjaftueshme për të rivendosur të drejtat e shkelur</w:t>
      </w:r>
      <w:r w:rsidR="0092339B" w:rsidRPr="00220A56">
        <w:t>a. Mjetet juridik</w:t>
      </w:r>
      <w:r w:rsidRPr="00220A56">
        <w:t xml:space="preserve">e shterojnë kur në varësi të rrethanave të çështjes rregullat procedurale nuk parashikojnë mjete të tjera ankimi </w:t>
      </w:r>
      <w:r w:rsidRPr="00220A56">
        <w:rPr>
          <w:i/>
        </w:rPr>
        <w:t xml:space="preserve">(shih </w:t>
      </w:r>
      <w:r w:rsidRPr="00220A56">
        <w:rPr>
          <w:i/>
          <w:iCs/>
        </w:rPr>
        <w:t xml:space="preserve">vendimin </w:t>
      </w:r>
      <w:r w:rsidRPr="00220A56">
        <w:rPr>
          <w:i/>
        </w:rPr>
        <w:t xml:space="preserve">nr. 10, datë 04.03.2021 </w:t>
      </w:r>
      <w:r w:rsidRPr="00220A56">
        <w:rPr>
          <w:i/>
          <w:iCs/>
        </w:rPr>
        <w:t>të Gjykatës Kushtetuese)</w:t>
      </w:r>
      <w:r w:rsidRPr="00220A56">
        <w:rPr>
          <w:iCs/>
        </w:rPr>
        <w:t xml:space="preserve">. </w:t>
      </w:r>
      <w:r w:rsidR="00853446" w:rsidRPr="00220A56">
        <w:rPr>
          <w:iCs/>
        </w:rPr>
        <w:t xml:space="preserve">Nga ana tjetër, duhet theksuar se bëhet fjalë për shterimin e mjeteve juridike </w:t>
      </w:r>
      <w:r w:rsidR="00853446" w:rsidRPr="00220A56">
        <w:rPr>
          <w:i/>
          <w:iCs/>
        </w:rPr>
        <w:t>efektive</w:t>
      </w:r>
      <w:r w:rsidR="00853446" w:rsidRPr="00220A56">
        <w:rPr>
          <w:iCs/>
        </w:rPr>
        <w:t xml:space="preserve">, </w:t>
      </w:r>
      <w:r w:rsidR="00853446" w:rsidRPr="00220A56">
        <w:t>në kuptimin</w:t>
      </w:r>
      <w:r w:rsidR="00853446" w:rsidRPr="00220A56">
        <w:rPr>
          <w:iCs/>
        </w:rPr>
        <w:t xml:space="preserve"> e shterimit të atyre mjeteve, që janë të afta për të rivendosur të drejtën</w:t>
      </w:r>
      <w:r w:rsidR="00853446" w:rsidRPr="00220A56">
        <w:t xml:space="preserve"> që pretendohet se është shkelur </w:t>
      </w:r>
      <w:r w:rsidR="00853446" w:rsidRPr="00220A56">
        <w:rPr>
          <w:i/>
        </w:rPr>
        <w:t>(shih vendimet nr. 38, datë 02.12.2021; nr. 35, datë 01.11.2021; nr. 31, datë 04.10.2021 të Gjykatës Kushtetuese)</w:t>
      </w:r>
      <w:r w:rsidR="00853446" w:rsidRPr="00220A56">
        <w:t>.</w:t>
      </w:r>
    </w:p>
    <w:p w:rsidR="0074090F" w:rsidRPr="00220A56" w:rsidRDefault="00C44BC1" w:rsidP="00026FB2">
      <w:pPr>
        <w:pStyle w:val="ListParagraph"/>
        <w:numPr>
          <w:ilvl w:val="0"/>
          <w:numId w:val="1"/>
        </w:numPr>
        <w:tabs>
          <w:tab w:val="left" w:pos="1080"/>
        </w:tabs>
        <w:ind w:left="0" w:firstLine="720"/>
        <w:jc w:val="both"/>
      </w:pPr>
      <w:r w:rsidRPr="00220A56">
        <w:t>P</w:t>
      </w:r>
      <w:r w:rsidR="0074090F" w:rsidRPr="00220A56">
        <w:t xml:space="preserve">ërpara analizës së kriterit të shterimit të mjeteve ligjore efektive </w:t>
      </w:r>
      <w:r w:rsidR="002B5B8F" w:rsidRPr="00220A56">
        <w:t>në çështjen konkrete</w:t>
      </w:r>
      <w:r w:rsidR="0074090F" w:rsidRPr="00220A56">
        <w:t>, Gjykata, fillimisht, vlerëson të vërë në dukje jurisprudencën e saj në lidhje me shqyrtimin e kërkesave për gjykimin brenda një afati të arsyeshëm.</w:t>
      </w:r>
    </w:p>
    <w:p w:rsidR="0074090F" w:rsidRPr="00220A56" w:rsidRDefault="0074090F" w:rsidP="00026FB2">
      <w:pPr>
        <w:pStyle w:val="ListParagraph"/>
        <w:numPr>
          <w:ilvl w:val="0"/>
          <w:numId w:val="1"/>
        </w:numPr>
        <w:tabs>
          <w:tab w:val="left" w:pos="1080"/>
        </w:tabs>
        <w:ind w:left="0" w:firstLine="720"/>
        <w:jc w:val="both"/>
      </w:pPr>
      <w:r w:rsidRPr="00220A56">
        <w:t>Fill</w:t>
      </w:r>
      <w:r w:rsidR="00FB1966" w:rsidRPr="00220A56">
        <w:t xml:space="preserve">imisht, kërkesat për gjykimin </w:t>
      </w:r>
      <w:r w:rsidRPr="00220A56">
        <w:t>o</w:t>
      </w:r>
      <w:r w:rsidR="00FB1966" w:rsidRPr="00220A56">
        <w:t>se</w:t>
      </w:r>
      <w:r w:rsidRPr="00220A56">
        <w:t xml:space="preserve"> për ekzekutimin e vendimit gjyqësor brenda një afati të arsyeshëm</w:t>
      </w:r>
      <w:r w:rsidRPr="00220A56" w:rsidDel="007F0879">
        <w:t xml:space="preserve"> </w:t>
      </w:r>
      <w:r w:rsidRPr="00220A56">
        <w:t xml:space="preserve">nuk janë pranuar për shqyrtim nga Gjykata, me arsyetimin se nuk hynin në juridiksionin kushtetues. Gjykata e ndryshoi jurisprudencën e saj në vitin 2006, pas vendimit të </w:t>
      </w:r>
      <w:r w:rsidRPr="00220A56">
        <w:rPr>
          <w:rFonts w:eastAsia="Batang"/>
          <w:bCs/>
        </w:rPr>
        <w:t xml:space="preserve">Gjykatës Evropiane për të Drejtat e Njeriut </w:t>
      </w:r>
      <w:r w:rsidRPr="00220A56">
        <w:rPr>
          <w:rFonts w:eastAsia="Batang"/>
          <w:bCs/>
          <w:i/>
        </w:rPr>
        <w:t>(GJEDNJ)</w:t>
      </w:r>
      <w:r w:rsidRPr="00220A56">
        <w:rPr>
          <w:rFonts w:eastAsia="Batang"/>
          <w:bCs/>
        </w:rPr>
        <w:t xml:space="preserve"> </w:t>
      </w:r>
      <w:r w:rsidRPr="00220A56">
        <w:t xml:space="preserve">në çështjen </w:t>
      </w:r>
      <w:proofErr w:type="spellStart"/>
      <w:r w:rsidRPr="00220A56">
        <w:t>Qufaj</w:t>
      </w:r>
      <w:proofErr w:type="spellEnd"/>
      <w:r w:rsidRPr="00220A56">
        <w:t xml:space="preserve"> kundër Shqipërisë, datë 18.09.2004, duke e konsideruar ekzekutimin e vendimeve brenda afatit të arsyeshëm si pjesë të së drejtës për proces të rregullt ligjor</w:t>
      </w:r>
      <w:r w:rsidR="003543CC" w:rsidRPr="00220A56">
        <w:t>,</w:t>
      </w:r>
      <w:r w:rsidRPr="00220A56">
        <w:t xml:space="preserve"> të garantuar nga neni 42 i Kushtetutës dhe neni 6 i KEDNJ-së. Në vijim, Gjykata, në bazë të neneve 42 dhe 131, pika 1, shkronja “f”</w:t>
      </w:r>
      <w:r w:rsidR="003543CC" w:rsidRPr="00220A56">
        <w:t>,</w:t>
      </w:r>
      <w:r w:rsidRPr="00220A56">
        <w:t xml:space="preserve"> të Kushtetutës</w:t>
      </w:r>
      <w:r w:rsidR="006D45A5" w:rsidRPr="00220A56">
        <w:t>,</w:t>
      </w:r>
      <w:r w:rsidRPr="00220A56">
        <w:t xml:space="preserve"> ka vlerësuar, gjithashtu, se mund të merren në shqyrtim prej saj edhe kërkesat e individëve për cenimin e së drejtës për një gjykim brenda një afati të arsyeshëm, pavarësisht se gjykimi për mbrojtjen e të drejtave, lirive dhe interesave kushtetuese dhe ligjore të tyre ende nuk ka përfunduar në të gjitha shkallët e gjykimit në gjykatat e juridiksionit të zakonshëm </w:t>
      </w:r>
      <w:r w:rsidR="000A3202" w:rsidRPr="00220A56">
        <w:rPr>
          <w:i/>
        </w:rPr>
        <w:t>(shih vendimin nr. 2, datë 17</w:t>
      </w:r>
      <w:r w:rsidRPr="00220A56">
        <w:rPr>
          <w:i/>
        </w:rPr>
        <w:t>.0</w:t>
      </w:r>
      <w:r w:rsidR="000A3202" w:rsidRPr="00220A56">
        <w:rPr>
          <w:i/>
        </w:rPr>
        <w:t>2</w:t>
      </w:r>
      <w:r w:rsidRPr="00220A56">
        <w:rPr>
          <w:i/>
        </w:rPr>
        <w:t>.20</w:t>
      </w:r>
      <w:r w:rsidR="000A3202" w:rsidRPr="00220A56">
        <w:rPr>
          <w:i/>
        </w:rPr>
        <w:t>2</w:t>
      </w:r>
      <w:r w:rsidRPr="00220A56">
        <w:rPr>
          <w:i/>
        </w:rPr>
        <w:t>2 të Gjykatës Kushtetuese)</w:t>
      </w:r>
      <w:r w:rsidRPr="00220A56">
        <w:t>.</w:t>
      </w:r>
    </w:p>
    <w:p w:rsidR="000D5269" w:rsidRPr="00220A56" w:rsidRDefault="000D5269" w:rsidP="00026FB2">
      <w:pPr>
        <w:pStyle w:val="ListParagraph"/>
        <w:numPr>
          <w:ilvl w:val="0"/>
          <w:numId w:val="1"/>
        </w:numPr>
        <w:tabs>
          <w:tab w:val="left" w:pos="1080"/>
        </w:tabs>
        <w:ind w:left="0" w:firstLine="720"/>
        <w:jc w:val="both"/>
      </w:pPr>
      <w:r w:rsidRPr="00220A56">
        <w:t>Me ndryshimet që iu bënë KPC-së me ligjin nr. 38/2017 “Për disa shtesa dhe ndryshime në ligjin nr. 8116, datë 29.0</w:t>
      </w:r>
      <w:r w:rsidR="006D45A5" w:rsidRPr="00220A56">
        <w:t>3.1996</w:t>
      </w:r>
      <w:r w:rsidRPr="00220A56">
        <w:t xml:space="preserve"> “Kodi i Procedurës Civile i Republikës së Shqipërisë”, të ndryshuar” (</w:t>
      </w:r>
      <w:r w:rsidRPr="00220A56">
        <w:rPr>
          <w:i/>
        </w:rPr>
        <w:t>ligji nr. 38/2017</w:t>
      </w:r>
      <w:r w:rsidRPr="00220A56">
        <w:t xml:space="preserve">), të cilat hynë në fuqi më 05.11.2017, ligji procedural </w:t>
      </w:r>
      <w:r w:rsidR="008E5C9E" w:rsidRPr="00220A56">
        <w:t>parashikon</w:t>
      </w:r>
      <w:r w:rsidR="00ED01DB" w:rsidRPr="00220A56">
        <w:t xml:space="preserve"> </w:t>
      </w:r>
      <w:r w:rsidRPr="00220A56">
        <w:t>mjete ligjore nëpërmjet të cilave, individit i garantohet mbrojtja në rastet e cenim</w:t>
      </w:r>
      <w:r w:rsidR="006D45A5" w:rsidRPr="00220A56">
        <w:t xml:space="preserve">it të së drejtës për gjykimin </w:t>
      </w:r>
      <w:r w:rsidRPr="00220A56">
        <w:t>o</w:t>
      </w:r>
      <w:r w:rsidR="006D45A5" w:rsidRPr="00220A56">
        <w:t>se</w:t>
      </w:r>
      <w:r w:rsidRPr="00220A56">
        <w:t xml:space="preserve"> për ekzekutimin e vendimit gjyqësor, brenda afatit të arsyeshëm</w:t>
      </w:r>
      <w:r w:rsidR="00ED01DB" w:rsidRPr="00220A56">
        <w:t xml:space="preserve">. </w:t>
      </w:r>
      <w:r w:rsidRPr="00220A56">
        <w:t xml:space="preserve">Duke iu referuar këtyre ndryshimeve ligjore, Gjykata </w:t>
      </w:r>
      <w:r w:rsidR="006D45A5" w:rsidRPr="00220A56">
        <w:t>ka vlerësuar</w:t>
      </w:r>
      <w:r w:rsidRPr="00220A56">
        <w:t xml:space="preserve"> se nuk mund të investohej për shqyrtimin e kërkesave për konstatimin e cenimit të së drejtës për gjykim brenda afatit të arsyeshëm, duke arsyetuar se legjislacioni i brendshëm parashikon mjete juridike që i ofrojnë individit rezultate konkrete për rivendosjen e kësaj të drejte kushtetuese. </w:t>
      </w:r>
      <w:r w:rsidRPr="00220A56">
        <w:rPr>
          <w:bCs/>
        </w:rPr>
        <w:t>Në këtë kuptim, individi duhet t’u drejtohet gjykatave të zakonshme, në përputhje me parashikimet e KPC-së, dhe vetëm pasi të ketë shteruar garancitë e mbrojtjes që i ofrohen nga juridiksioni i zakonshëm gjyqësor, ai mund të vërë në lëvizje gjykimin kushtetues</w:t>
      </w:r>
      <w:r w:rsidR="00ED01DB" w:rsidRPr="00220A56">
        <w:rPr>
          <w:bCs/>
        </w:rPr>
        <w:t xml:space="preserve"> </w:t>
      </w:r>
      <w:r w:rsidR="00ED01DB" w:rsidRPr="00220A56">
        <w:rPr>
          <w:i/>
        </w:rPr>
        <w:t>(shih vendimin nr. 2, datë 17.02.2022</w:t>
      </w:r>
      <w:r w:rsidR="00ED01DB" w:rsidRPr="00220A56">
        <w:rPr>
          <w:i/>
          <w:iCs/>
        </w:rPr>
        <w:t xml:space="preserve"> </w:t>
      </w:r>
      <w:r w:rsidR="00ED01DB" w:rsidRPr="00220A56">
        <w:rPr>
          <w:i/>
        </w:rPr>
        <w:t>të Gjykatës Kushtetuese</w:t>
      </w:r>
      <w:r w:rsidR="00ED01DB" w:rsidRPr="00220A56">
        <w:t>)</w:t>
      </w:r>
      <w:r w:rsidRPr="00220A56">
        <w:t>.</w:t>
      </w:r>
    </w:p>
    <w:p w:rsidR="00B1466A" w:rsidRPr="00220A56" w:rsidRDefault="000D5269" w:rsidP="00026FB2">
      <w:pPr>
        <w:pStyle w:val="ListParagraph"/>
        <w:numPr>
          <w:ilvl w:val="0"/>
          <w:numId w:val="1"/>
        </w:numPr>
        <w:tabs>
          <w:tab w:val="left" w:pos="1080"/>
        </w:tabs>
        <w:ind w:left="0" w:firstLine="720"/>
        <w:jc w:val="both"/>
      </w:pPr>
      <w:r w:rsidRPr="00220A56">
        <w:t>Pavarësisht kësaj qasjeje, individët kanë paraqitur sërish, drejtpërdrejt në Gjykatë, kërkesa të kësaj natyre, me pretendimin se mjeti ligjor që duhet të shterojnë</w:t>
      </w:r>
      <w:r w:rsidR="006D45A5" w:rsidRPr="00220A56">
        <w:t>,</w:t>
      </w:r>
      <w:r w:rsidRPr="00220A56">
        <w:t xml:space="preserve"> sipas dispozitave të reja të KPC-së</w:t>
      </w:r>
      <w:r w:rsidR="006D45A5" w:rsidRPr="00220A56">
        <w:t>,</w:t>
      </w:r>
      <w:r w:rsidRPr="00220A56">
        <w:t xml:space="preserve"> nuk është efektiv, si dhe duke parashtruar se edhe pse </w:t>
      </w:r>
      <w:r w:rsidR="006D45A5" w:rsidRPr="00220A56">
        <w:t xml:space="preserve">e </w:t>
      </w:r>
      <w:r w:rsidRPr="00220A56">
        <w:t>kanë shteruar formalisht këtë mjet</w:t>
      </w:r>
      <w:r w:rsidR="006D45A5" w:rsidRPr="00220A56">
        <w:t>,</w:t>
      </w:r>
      <w:r w:rsidRPr="00220A56">
        <w:t xml:space="preserve"> duke kërkuar konstatimin e shkeljes dhe përshpejtimin e procedurave, nuk kanë marrë përgjigje nga ana e gjykatave të zakonshme. Nga shqyrtimi i këtyre rasteve, Gjykata, në analizë të kriterit të shterimit të mjeteve juridike, ka pranuar </w:t>
      </w:r>
      <w:r w:rsidRPr="00220A56">
        <w:rPr>
          <w:rStyle w:val="s68f5eaef"/>
          <w:color w:val="000000"/>
          <w:shd w:val="clear" w:color="auto" w:fill="FFFFFF"/>
        </w:rPr>
        <w:t>se, në parim, mjetet e parashikuara nga nenet 399/1 e vijues të KPC-së ja</w:t>
      </w:r>
      <w:r w:rsidR="005D41E1" w:rsidRPr="00220A56">
        <w:rPr>
          <w:rStyle w:val="s68f5eaef"/>
          <w:color w:val="000000"/>
          <w:shd w:val="clear" w:color="auto" w:fill="FFFFFF"/>
        </w:rPr>
        <w:t>në efektive, ndërsa në praktikë</w:t>
      </w:r>
      <w:r w:rsidRPr="00220A56">
        <w:rPr>
          <w:rStyle w:val="s68f5eaef"/>
          <w:color w:val="000000"/>
          <w:shd w:val="clear" w:color="auto" w:fill="FFFFFF"/>
        </w:rPr>
        <w:t xml:space="preserve"> efektiviteti i tyre duhet </w:t>
      </w:r>
      <w:r w:rsidRPr="00220A56">
        <w:rPr>
          <w:rStyle w:val="s68f5eaef"/>
          <w:shd w:val="clear" w:color="auto" w:fill="FFFFFF"/>
        </w:rPr>
        <w:t xml:space="preserve">shqyrtuar nën dritën e </w:t>
      </w:r>
      <w:r w:rsidR="00ED01DB" w:rsidRPr="00220A56">
        <w:rPr>
          <w:rStyle w:val="s68f5eaef"/>
          <w:shd w:val="clear" w:color="auto" w:fill="FFFFFF"/>
        </w:rPr>
        <w:t xml:space="preserve">rrethanave të çdo rasti konkret, duke </w:t>
      </w:r>
      <w:r w:rsidR="00B1466A" w:rsidRPr="00220A56">
        <w:rPr>
          <w:bCs/>
        </w:rPr>
        <w:t xml:space="preserve"> </w:t>
      </w:r>
      <w:r w:rsidR="00ED01DB" w:rsidRPr="00220A56">
        <w:rPr>
          <w:bCs/>
        </w:rPr>
        <w:t>analizuar</w:t>
      </w:r>
      <w:r w:rsidR="00B1466A" w:rsidRPr="00220A56">
        <w:rPr>
          <w:bCs/>
        </w:rPr>
        <w:t xml:space="preserve"> nëse </w:t>
      </w:r>
      <w:r w:rsidR="00ED01DB" w:rsidRPr="00220A56">
        <w:rPr>
          <w:bCs/>
        </w:rPr>
        <w:t>mjeti juridik përshpejtues</w:t>
      </w:r>
      <w:r w:rsidR="00B1466A" w:rsidRPr="00220A56">
        <w:rPr>
          <w:bCs/>
        </w:rPr>
        <w:t xml:space="preserve"> është real, i drejtpërdrejtë, konkret dhe i shpejtë në kohë, pra që ai nuk është një mundësi e tërthortë për kërkuesin. Në këtë kuptim, kur kërkesa për përshpejtimin e procedurave </w:t>
      </w:r>
      <w:r w:rsidR="00B1466A" w:rsidRPr="00220A56">
        <w:rPr>
          <w:color w:val="000000"/>
          <w:shd w:val="clear" w:color="auto" w:fill="FFFFFF"/>
        </w:rPr>
        <w:t xml:space="preserve">nuk i ka shërbyer qëllimit të saj - përshpejtimit të procedurave ose parandalimit të </w:t>
      </w:r>
      <w:proofErr w:type="spellStart"/>
      <w:r w:rsidR="00B1466A" w:rsidRPr="00220A56">
        <w:rPr>
          <w:bCs/>
        </w:rPr>
        <w:t>tejzgjatjes</w:t>
      </w:r>
      <w:proofErr w:type="spellEnd"/>
      <w:r w:rsidR="00B1466A" w:rsidRPr="00220A56">
        <w:rPr>
          <w:bCs/>
        </w:rPr>
        <w:t xml:space="preserve"> së paarsyeshme të shqyrtimit të çështjes, atëherë ky</w:t>
      </w:r>
      <w:r w:rsidR="00B1466A" w:rsidRPr="00220A56">
        <w:rPr>
          <w:color w:val="000000"/>
          <w:shd w:val="clear" w:color="auto" w:fill="FFFFFF"/>
        </w:rPr>
        <w:t xml:space="preserve"> </w:t>
      </w:r>
      <w:r w:rsidR="00B1466A" w:rsidRPr="00220A56">
        <w:rPr>
          <w:bCs/>
        </w:rPr>
        <w:t>mjet juri</w:t>
      </w:r>
      <w:r w:rsidR="007424A6" w:rsidRPr="00220A56">
        <w:rPr>
          <w:bCs/>
        </w:rPr>
        <w:t>dik</w:t>
      </w:r>
      <w:r w:rsidR="00B1466A" w:rsidRPr="00220A56">
        <w:rPr>
          <w:bCs/>
        </w:rPr>
        <w:t xml:space="preserve"> nuk ka qenë </w:t>
      </w:r>
      <w:r w:rsidR="00B1466A" w:rsidRPr="00220A56">
        <w:rPr>
          <w:bCs/>
          <w:i/>
        </w:rPr>
        <w:t>efektiv</w:t>
      </w:r>
      <w:r w:rsidR="007424A6" w:rsidRPr="00220A56">
        <w:rPr>
          <w:bCs/>
        </w:rPr>
        <w:t xml:space="preserve"> në praktikë.</w:t>
      </w:r>
      <w:r w:rsidR="00B1466A" w:rsidRPr="00220A56">
        <w:rPr>
          <w:bCs/>
        </w:rPr>
        <w:t xml:space="preserve"> </w:t>
      </w:r>
      <w:r w:rsidR="007424A6" w:rsidRPr="00220A56">
        <w:rPr>
          <w:bCs/>
        </w:rPr>
        <w:t>P</w:t>
      </w:r>
      <w:r w:rsidR="00B1466A" w:rsidRPr="00220A56">
        <w:rPr>
          <w:bCs/>
        </w:rPr>
        <w:t>ër rrjedhojë</w:t>
      </w:r>
      <w:r w:rsidR="007424A6" w:rsidRPr="00220A56">
        <w:rPr>
          <w:bCs/>
        </w:rPr>
        <w:t>,</w:t>
      </w:r>
      <w:r w:rsidR="00B1466A" w:rsidRPr="00220A56">
        <w:rPr>
          <w:bCs/>
        </w:rPr>
        <w:t xml:space="preserve"> në këto raste Gjykata ka vlerësuar se kriteri i shterimit të mjetit juridik është përmbushur </w:t>
      </w:r>
      <w:r w:rsidR="00B1466A" w:rsidRPr="00220A56">
        <w:rPr>
          <w:rStyle w:val="s68f5eaef"/>
          <w:i/>
          <w:color w:val="000000"/>
          <w:shd w:val="clear" w:color="auto" w:fill="FFFFFF"/>
        </w:rPr>
        <w:t>(</w:t>
      </w:r>
      <w:r w:rsidR="00B1466A" w:rsidRPr="00220A56">
        <w:rPr>
          <w:i/>
          <w:iCs/>
        </w:rPr>
        <w:t>shih vendim</w:t>
      </w:r>
      <w:r w:rsidR="00B75D74" w:rsidRPr="00220A56">
        <w:rPr>
          <w:i/>
          <w:iCs/>
        </w:rPr>
        <w:t>in</w:t>
      </w:r>
      <w:r w:rsidR="00B1466A" w:rsidRPr="00220A56">
        <w:rPr>
          <w:i/>
          <w:iCs/>
        </w:rPr>
        <w:t xml:space="preserve"> nr. </w:t>
      </w:r>
      <w:r w:rsidR="00B75D74" w:rsidRPr="00220A56">
        <w:rPr>
          <w:i/>
          <w:iCs/>
        </w:rPr>
        <w:t>2</w:t>
      </w:r>
      <w:r w:rsidR="00B1466A" w:rsidRPr="00220A56">
        <w:rPr>
          <w:i/>
          <w:iCs/>
        </w:rPr>
        <w:t xml:space="preserve">, datë </w:t>
      </w:r>
      <w:r w:rsidR="00B75D74" w:rsidRPr="00220A56">
        <w:rPr>
          <w:i/>
          <w:iCs/>
        </w:rPr>
        <w:t>17</w:t>
      </w:r>
      <w:r w:rsidR="00B1466A" w:rsidRPr="00220A56">
        <w:rPr>
          <w:i/>
          <w:iCs/>
        </w:rPr>
        <w:t>.</w:t>
      </w:r>
      <w:r w:rsidR="00B75D74" w:rsidRPr="00220A56">
        <w:rPr>
          <w:i/>
          <w:iCs/>
        </w:rPr>
        <w:t>02.2022 t</w:t>
      </w:r>
      <w:r w:rsidR="00B1466A" w:rsidRPr="00220A56">
        <w:rPr>
          <w:i/>
          <w:iCs/>
        </w:rPr>
        <w:t>ë Gjykatës Kushtetuese</w:t>
      </w:r>
      <w:r w:rsidR="00B1466A" w:rsidRPr="00220A56">
        <w:rPr>
          <w:i/>
        </w:rPr>
        <w:t>)</w:t>
      </w:r>
      <w:r w:rsidR="00B1466A" w:rsidRPr="00220A56">
        <w:t>.</w:t>
      </w:r>
    </w:p>
    <w:p w:rsidR="00A77C78" w:rsidRPr="00220A56" w:rsidRDefault="00A77C78" w:rsidP="00026FB2">
      <w:pPr>
        <w:pStyle w:val="ListParagraph"/>
        <w:numPr>
          <w:ilvl w:val="0"/>
          <w:numId w:val="1"/>
        </w:numPr>
        <w:tabs>
          <w:tab w:val="left" w:pos="1080"/>
        </w:tabs>
        <w:ind w:left="0" w:firstLine="720"/>
        <w:jc w:val="both"/>
      </w:pPr>
      <w:r w:rsidRPr="00220A56">
        <w:rPr>
          <w:rStyle w:val="s68f5eaef"/>
          <w:bCs/>
        </w:rPr>
        <w:t>Në zhvillimin e kësaj jurisprudence, Gjykata</w:t>
      </w:r>
      <w:r w:rsidRPr="00220A56">
        <w:t xml:space="preserve"> ka mbajtur </w:t>
      </w:r>
      <w:r w:rsidRPr="00220A56">
        <w:rPr>
          <w:rStyle w:val="s68f5eaef"/>
          <w:color w:val="000000"/>
          <w:shd w:val="clear" w:color="auto" w:fill="FFFFFF"/>
        </w:rPr>
        <w:t>në konsideratë dy faktorë të rëndësis</w:t>
      </w:r>
      <w:r w:rsidR="00ED5CAD" w:rsidRPr="00220A56">
        <w:rPr>
          <w:rStyle w:val="s68f5eaef"/>
          <w:color w:val="000000"/>
          <w:shd w:val="clear" w:color="auto" w:fill="FFFFFF"/>
        </w:rPr>
        <w:t>hëm. I pari lidhet me faktin se</w:t>
      </w:r>
      <w:r w:rsidRPr="00220A56">
        <w:rPr>
          <w:rStyle w:val="s68f5eaef"/>
          <w:color w:val="000000"/>
          <w:shd w:val="clear" w:color="auto" w:fill="FFFFFF"/>
        </w:rPr>
        <w:t xml:space="preserve"> gjykatat e juridiksionit të zakonshëm nuk kanë ende një qëndrim të konsoliduar për mjetet juridike të parashikuara nga KPC-ja, duke qenë se rregullat ligjore </w:t>
      </w:r>
      <w:proofErr w:type="spellStart"/>
      <w:r w:rsidRPr="00220A56">
        <w:rPr>
          <w:rStyle w:val="s68f5eaef"/>
          <w:color w:val="000000"/>
          <w:shd w:val="clear" w:color="auto" w:fill="FFFFFF"/>
        </w:rPr>
        <w:t>respektive</w:t>
      </w:r>
      <w:proofErr w:type="spellEnd"/>
      <w:r w:rsidRPr="00220A56">
        <w:rPr>
          <w:rStyle w:val="s68f5eaef"/>
          <w:color w:val="000000"/>
          <w:shd w:val="clear" w:color="auto" w:fill="FFFFFF"/>
        </w:rPr>
        <w:t xml:space="preserve"> janë relativisht të reja.</w:t>
      </w:r>
      <w:r w:rsidRPr="00220A56">
        <w:rPr>
          <w:bCs/>
        </w:rPr>
        <w:t xml:space="preserve"> Ndërsa</w:t>
      </w:r>
      <w:r w:rsidR="00ED5CAD" w:rsidRPr="00220A56">
        <w:rPr>
          <w:bCs/>
        </w:rPr>
        <w:t>,</w:t>
      </w:r>
      <w:r w:rsidRPr="00220A56">
        <w:rPr>
          <w:bCs/>
        </w:rPr>
        <w:t xml:space="preserve"> faktori i dytë ka të bëjë me </w:t>
      </w:r>
      <w:r w:rsidRPr="00220A56">
        <w:t xml:space="preserve">qëndrimin e GJEDNJ-së, </w:t>
      </w:r>
      <w:r w:rsidRPr="00220A56">
        <w:rPr>
          <w:rFonts w:eastAsia="Batang"/>
          <w:bCs/>
        </w:rPr>
        <w:t xml:space="preserve">e cila </w:t>
      </w:r>
      <w:r w:rsidRPr="00220A56">
        <w:rPr>
          <w:bCs/>
        </w:rPr>
        <w:t xml:space="preserve">është shprehur se </w:t>
      </w:r>
      <w:r w:rsidRPr="00220A56">
        <w:t xml:space="preserve">në vlerësimin e efektivitetit të mjetit juridik që lidhet me vonesat procedurale është vendimtare të përcaktohet nëse ka mundësi që kërkuesit t’i sigurohet dëmshpërblim i drejtpërdrejtë dhe i shpejtë, në vend të mbrojtjes së tërthortë të </w:t>
      </w:r>
      <w:proofErr w:type="spellStart"/>
      <w:r w:rsidRPr="00220A56">
        <w:t>të</w:t>
      </w:r>
      <w:proofErr w:type="spellEnd"/>
      <w:r w:rsidRPr="00220A56">
        <w:t xml:space="preserve"> drejtave të procesit të rregullt ligjor </w:t>
      </w:r>
      <w:r w:rsidR="00E122E8" w:rsidRPr="00220A56">
        <w:rPr>
          <w:rStyle w:val="s68f5eaef"/>
          <w:i/>
          <w:color w:val="000000"/>
          <w:shd w:val="clear" w:color="auto" w:fill="FFFFFF"/>
        </w:rPr>
        <w:t>(</w:t>
      </w:r>
      <w:r w:rsidR="00E122E8" w:rsidRPr="00220A56">
        <w:rPr>
          <w:i/>
          <w:iCs/>
        </w:rPr>
        <w:t>shih vendimin nr. 2, datë 17.02.2022 të Gjykatës Kushtetuese</w:t>
      </w:r>
      <w:r w:rsidR="00E122E8" w:rsidRPr="00220A56">
        <w:rPr>
          <w:i/>
        </w:rPr>
        <w:t>)</w:t>
      </w:r>
      <w:r w:rsidRPr="00220A56">
        <w:t>.</w:t>
      </w:r>
    </w:p>
    <w:p w:rsidR="00F402AD" w:rsidRPr="00220A56" w:rsidRDefault="00784564" w:rsidP="00CA3F89">
      <w:pPr>
        <w:pStyle w:val="ListParagraph"/>
        <w:numPr>
          <w:ilvl w:val="0"/>
          <w:numId w:val="1"/>
        </w:numPr>
        <w:tabs>
          <w:tab w:val="left" w:pos="1080"/>
        </w:tabs>
        <w:ind w:left="0" w:firstLine="720"/>
        <w:jc w:val="both"/>
      </w:pPr>
      <w:r w:rsidRPr="00220A56">
        <w:rPr>
          <w:iCs/>
        </w:rPr>
        <w:t>Duke iu rikthyer çështjes konkrete, Gjykata vëren se</w:t>
      </w:r>
      <w:r w:rsidR="00F402AD" w:rsidRPr="00220A56">
        <w:rPr>
          <w:iCs/>
        </w:rPr>
        <w:t xml:space="preserve"> </w:t>
      </w:r>
      <w:r w:rsidR="00F402AD" w:rsidRPr="00220A56">
        <w:t xml:space="preserve">kërkuesi ka pretenduar se </w:t>
      </w:r>
      <w:r w:rsidR="00E313A1" w:rsidRPr="00220A56">
        <w:t>mjeti juridik</w:t>
      </w:r>
      <w:r w:rsidR="004D7818">
        <w:t xml:space="preserve">, </w:t>
      </w:r>
      <w:r w:rsidR="00E313A1" w:rsidRPr="00220A56">
        <w:t>kërkesa për përshpejtim</w:t>
      </w:r>
      <w:r w:rsidR="004D7818">
        <w:t>,</w:t>
      </w:r>
      <w:r w:rsidR="00E313A1" w:rsidRPr="00220A56">
        <w:t xml:space="preserve"> </w:t>
      </w:r>
      <w:r w:rsidRPr="00220A56">
        <w:t>nuk ka qenë efektiv në rastin e tij</w:t>
      </w:r>
      <w:r w:rsidR="006357D8" w:rsidRPr="00220A56">
        <w:t>,</w:t>
      </w:r>
      <w:r w:rsidRPr="00220A56">
        <w:t xml:space="preserve"> pasi</w:t>
      </w:r>
      <w:r w:rsidR="007F41C4" w:rsidRPr="00220A56">
        <w:t>,</w:t>
      </w:r>
      <w:r w:rsidRPr="00220A56">
        <w:t xml:space="preserve"> në shqyrtimin e kësaj kërkese</w:t>
      </w:r>
      <w:r w:rsidR="007F41C4" w:rsidRPr="00220A56">
        <w:t>,</w:t>
      </w:r>
      <w:r w:rsidRPr="00220A56">
        <w:t xml:space="preserve"> Gjykata e Lartë ka mbajtur qasje formaliste. </w:t>
      </w:r>
      <w:r w:rsidR="00322551" w:rsidRPr="00220A56">
        <w:t>Sipas tij, v</w:t>
      </w:r>
      <w:r w:rsidR="00F402AD" w:rsidRPr="00220A56">
        <w:t xml:space="preserve">onesa e </w:t>
      </w:r>
      <w:r w:rsidRPr="00220A56">
        <w:t xml:space="preserve">kësaj gjykate </w:t>
      </w:r>
      <w:r w:rsidR="00F402AD" w:rsidRPr="00220A56">
        <w:t xml:space="preserve">në marrjen në shqyrtim të kërkesës, duke i kërkuar </w:t>
      </w:r>
      <w:proofErr w:type="spellStart"/>
      <w:r w:rsidR="00F402AD" w:rsidRPr="00220A56">
        <w:t>firmosjen</w:t>
      </w:r>
      <w:proofErr w:type="spellEnd"/>
      <w:r w:rsidR="00F402AD" w:rsidRPr="00220A56">
        <w:t xml:space="preserve"> e saj nga një avokat, si dhe paraqitjen e dokumenteve plotësuese, ka sjellë ndryshimin e rrethanave të çështjes</w:t>
      </w:r>
      <w:r w:rsidR="00FB1F42" w:rsidRPr="00220A56">
        <w:t xml:space="preserve"> së themelit</w:t>
      </w:r>
      <w:r w:rsidR="00557C6C" w:rsidRPr="00220A56">
        <w:t>, pasi</w:t>
      </w:r>
      <w:r w:rsidR="00F402AD" w:rsidRPr="00220A56">
        <w:t xml:space="preserve"> </w:t>
      </w:r>
      <w:r w:rsidR="00557C6C" w:rsidRPr="00220A56">
        <w:t>g</w:t>
      </w:r>
      <w:r w:rsidR="00F402AD" w:rsidRPr="00220A56">
        <w:t xml:space="preserve">jyqtari relator në Gjykatën Administrative të Apelit është shkarkuar nga KPK-ja dhe për çështjen e tij është caktuar si </w:t>
      </w:r>
      <w:proofErr w:type="spellStart"/>
      <w:r w:rsidR="00F402AD" w:rsidRPr="00220A56">
        <w:t>relatore</w:t>
      </w:r>
      <w:proofErr w:type="spellEnd"/>
      <w:r w:rsidR="00F402AD" w:rsidRPr="00220A56">
        <w:t xml:space="preserve"> tjetër gjyqtare, e cila nuk ka pasur mundësi ta gjykojë atë brenda afatit ligjor. </w:t>
      </w:r>
      <w:r w:rsidR="00F15BCF" w:rsidRPr="00220A56">
        <w:t xml:space="preserve">Po </w:t>
      </w:r>
      <w:r w:rsidR="00322551" w:rsidRPr="00220A56">
        <w:t>sipas kërkuesit</w:t>
      </w:r>
      <w:r w:rsidR="00F15BCF" w:rsidRPr="00220A56">
        <w:t>, v</w:t>
      </w:r>
      <w:r w:rsidRPr="00220A56">
        <w:t xml:space="preserve">endimi për këtë kërkesë është marrë </w:t>
      </w:r>
      <w:r w:rsidR="00FB1F42" w:rsidRPr="00220A56">
        <w:t xml:space="preserve">nga Gjykata e Lartë </w:t>
      </w:r>
      <w:r w:rsidR="007F41C4" w:rsidRPr="00220A56">
        <w:t>pas 6 muajve</w:t>
      </w:r>
      <w:r w:rsidRPr="00220A56">
        <w:t>, në kundërshtim me nenin 399/7, pika 2, të KPC-së që parashikon afatin 45-ditor për shqyrtimin e saj</w:t>
      </w:r>
      <w:r w:rsidR="00FB1F42" w:rsidRPr="00220A56">
        <w:t>.</w:t>
      </w:r>
      <w:r w:rsidR="00F15BCF" w:rsidRPr="00220A56">
        <w:t xml:space="preserve"> </w:t>
      </w:r>
      <w:r w:rsidR="00FB1F42" w:rsidRPr="00220A56">
        <w:t xml:space="preserve">Në përfundim, </w:t>
      </w:r>
      <w:r w:rsidR="004D7818">
        <w:t>a</w:t>
      </w:r>
      <w:r w:rsidR="00FB1F42" w:rsidRPr="00220A56">
        <w:t xml:space="preserve">jo gjykatë </w:t>
      </w:r>
      <w:r w:rsidR="00D72107" w:rsidRPr="00220A56">
        <w:t xml:space="preserve">ka vendosur rrëzimin e </w:t>
      </w:r>
      <w:r w:rsidR="00322551" w:rsidRPr="00220A56">
        <w:t>kërkesës</w:t>
      </w:r>
      <w:r w:rsidR="00641D66" w:rsidRPr="00220A56">
        <w:t>,</w:t>
      </w:r>
      <w:r w:rsidR="00D72107" w:rsidRPr="00220A56">
        <w:t xml:space="preserve"> </w:t>
      </w:r>
      <w:r w:rsidR="00641D66" w:rsidRPr="00220A56">
        <w:t xml:space="preserve">duke arsyetuar </w:t>
      </w:r>
      <w:r w:rsidR="00D72107" w:rsidRPr="00220A56">
        <w:t xml:space="preserve">se vonesat në shqyrtimin e çështjes </w:t>
      </w:r>
      <w:r w:rsidR="007A6633" w:rsidRPr="00220A56">
        <w:t xml:space="preserve">së themelit </w:t>
      </w:r>
      <w:r w:rsidR="00D72107" w:rsidRPr="00220A56">
        <w:t>nuk kanë ardhur si pasojë e qëndrimeve subjektive të</w:t>
      </w:r>
      <w:r w:rsidR="007A6633" w:rsidRPr="00220A56">
        <w:t xml:space="preserve"> gjyqtarit</w:t>
      </w:r>
      <w:r w:rsidR="00D72107" w:rsidRPr="00220A56">
        <w:t xml:space="preserve"> </w:t>
      </w:r>
      <w:r w:rsidR="007A6633" w:rsidRPr="00220A56">
        <w:t>relator</w:t>
      </w:r>
      <w:r w:rsidR="00D72107" w:rsidRPr="00220A56">
        <w:t>, por për shkak të problematikës së përgjithshme të krijuar si rrjedhojë e reformës në drejtësi.</w:t>
      </w:r>
    </w:p>
    <w:p w:rsidR="006357D8" w:rsidRPr="00220A56" w:rsidRDefault="00D72107" w:rsidP="00CA3F89">
      <w:pPr>
        <w:pStyle w:val="ListParagraph"/>
        <w:numPr>
          <w:ilvl w:val="0"/>
          <w:numId w:val="1"/>
        </w:numPr>
        <w:tabs>
          <w:tab w:val="left" w:pos="1080"/>
        </w:tabs>
        <w:ind w:left="0" w:firstLine="720"/>
        <w:jc w:val="both"/>
      </w:pPr>
      <w:r w:rsidRPr="00220A56">
        <w:t xml:space="preserve">Në jurisprudencën e saj Gjykata ka theksuar se </w:t>
      </w:r>
      <w:r w:rsidR="006357D8" w:rsidRPr="00220A56">
        <w:t>kërkesa për konstatimin e kohëzgjatjes së paarsyeshme të procesit dhe përshpejtimin e procedurave ndryshon nga rekursi</w:t>
      </w:r>
      <w:r w:rsidR="007A6633" w:rsidRPr="00220A56">
        <w:t xml:space="preserve">, </w:t>
      </w:r>
      <w:r w:rsidR="007A6633" w:rsidRPr="00220A56">
        <w:rPr>
          <w:rFonts w:eastAsia="Times New Roman"/>
          <w:bCs/>
        </w:rPr>
        <w:t xml:space="preserve">në pikëpamje të përmbajtjes, të </w:t>
      </w:r>
      <w:proofErr w:type="spellStart"/>
      <w:r w:rsidR="007A6633" w:rsidRPr="00220A56">
        <w:rPr>
          <w:rFonts w:eastAsia="Times New Roman"/>
          <w:bCs/>
        </w:rPr>
        <w:t>aksesit</w:t>
      </w:r>
      <w:proofErr w:type="spellEnd"/>
      <w:r w:rsidR="007A6633" w:rsidRPr="00220A56">
        <w:rPr>
          <w:rFonts w:eastAsia="Times New Roman"/>
          <w:bCs/>
        </w:rPr>
        <w:t xml:space="preserve"> dhe sidomos të shpejtësisë që duhet të karakterizojë marrjen në shqyrtim të saj</w:t>
      </w:r>
      <w:r w:rsidR="006357D8" w:rsidRPr="00220A56">
        <w:t xml:space="preserve">. Si i tillë, ky mjet juridik nuk duhet të trajtohet me formalizëm të tepruar nga punonjësit e administratës </w:t>
      </w:r>
      <w:r w:rsidR="004D7818">
        <w:t>gjyq</w:t>
      </w:r>
      <w:r w:rsidR="004D7818" w:rsidRPr="002209BD">
        <w:t>ë</w:t>
      </w:r>
      <w:r w:rsidR="004D7818">
        <w:t>sore</w:t>
      </w:r>
      <w:r w:rsidR="006357D8" w:rsidRPr="00220A56">
        <w:t xml:space="preserve">, </w:t>
      </w:r>
      <w:r w:rsidR="00641D66" w:rsidRPr="00220A56">
        <w:t>v</w:t>
      </w:r>
      <w:r w:rsidRPr="00220A56">
        <w:t xml:space="preserve">eprimet ose mosveprimet e parregullta të </w:t>
      </w:r>
      <w:r w:rsidR="00641D66" w:rsidRPr="00220A56">
        <w:t>së cilës</w:t>
      </w:r>
      <w:r w:rsidRPr="00220A56">
        <w:t xml:space="preserve"> nuk duhet t’i ngarkohen individit, i cili nuk mund të jetë përgjegjës për mbarëvajtjen e punës së saj (administratës). </w:t>
      </w:r>
      <w:r w:rsidRPr="00220A56">
        <w:rPr>
          <w:rFonts w:eastAsia="MS Mincho"/>
        </w:rPr>
        <w:t xml:space="preserve">Gjykata ka theksuar se </w:t>
      </w:r>
      <w:r w:rsidRPr="00220A56">
        <w:rPr>
          <w:rFonts w:eastAsia="Times New Roman"/>
          <w:bCs/>
        </w:rPr>
        <w:t xml:space="preserve">Gjykata e Lartë ka detyrimin të sillet në atë mënyrë që kërkesa për përshpejtim të mos humbasë qëllimin e vet dhe individit të mos i cenohet në thelb e drejta për mjet juridik efektiv </w:t>
      </w:r>
      <w:r w:rsidRPr="00220A56">
        <w:rPr>
          <w:rStyle w:val="s68f5eaef"/>
          <w:color w:val="000000"/>
          <w:shd w:val="clear" w:color="auto" w:fill="FFFFFF"/>
        </w:rPr>
        <w:t>(</w:t>
      </w:r>
      <w:r w:rsidRPr="00220A56">
        <w:rPr>
          <w:i/>
        </w:rPr>
        <w:t>shih vendimet nr. 33, datë 01.11.2021; nr. 37, datë 05.11.2021 të Gjykatës Kushtetuese</w:t>
      </w:r>
      <w:r w:rsidRPr="00220A56">
        <w:t>)</w:t>
      </w:r>
      <w:r w:rsidR="006357D8" w:rsidRPr="00220A56">
        <w:t>.</w:t>
      </w:r>
    </w:p>
    <w:p w:rsidR="00F402AD" w:rsidRPr="00220A56" w:rsidRDefault="00D72107" w:rsidP="00CA3F89">
      <w:pPr>
        <w:pStyle w:val="ListParagraph"/>
        <w:numPr>
          <w:ilvl w:val="0"/>
          <w:numId w:val="1"/>
        </w:numPr>
        <w:tabs>
          <w:tab w:val="left" w:pos="1080"/>
        </w:tabs>
        <w:ind w:left="0" w:firstLine="720"/>
        <w:jc w:val="both"/>
      </w:pPr>
      <w:r w:rsidRPr="00220A56">
        <w:t xml:space="preserve"> </w:t>
      </w:r>
      <w:r w:rsidR="00322551" w:rsidRPr="00220A56">
        <w:t>Në rastin konkret, për sa u përket pretendimeve</w:t>
      </w:r>
      <w:r w:rsidR="007A6633" w:rsidRPr="00220A56">
        <w:t xml:space="preserve"> të kërkuesit </w:t>
      </w:r>
      <w:r w:rsidR="00322551" w:rsidRPr="00220A56">
        <w:t>për</w:t>
      </w:r>
      <w:r w:rsidR="007A6633" w:rsidRPr="00220A56">
        <w:t xml:space="preserve"> formalizmat e Gjykatës së Lartë në marrjen në shqyrtim të kërkesës</w:t>
      </w:r>
      <w:r w:rsidR="00F15BCF" w:rsidRPr="00220A56">
        <w:t xml:space="preserve"> </w:t>
      </w:r>
      <w:r w:rsidR="00322551" w:rsidRPr="00220A56">
        <w:t xml:space="preserve">së tij </w:t>
      </w:r>
      <w:r w:rsidR="00F15BCF" w:rsidRPr="00220A56">
        <w:t>për përshpejtim</w:t>
      </w:r>
      <w:r w:rsidR="00F402AD" w:rsidRPr="00220A56">
        <w:t>, Gjykata evidenton</w:t>
      </w:r>
      <w:r w:rsidR="00896A98" w:rsidRPr="00220A56">
        <w:t xml:space="preserve"> se me shkresat nr. 25 </w:t>
      </w:r>
      <w:proofErr w:type="spellStart"/>
      <w:r w:rsidR="00896A98" w:rsidRPr="00220A56">
        <w:t>prot</w:t>
      </w:r>
      <w:proofErr w:type="spellEnd"/>
      <w:r w:rsidR="00896A98" w:rsidRPr="00220A56">
        <w:t xml:space="preserve">., datë 29.12.2020 dhe nr. 14/1 </w:t>
      </w:r>
      <w:proofErr w:type="spellStart"/>
      <w:r w:rsidR="00896A98" w:rsidRPr="00220A56">
        <w:t>prot</w:t>
      </w:r>
      <w:proofErr w:type="spellEnd"/>
      <w:r w:rsidR="00896A98" w:rsidRPr="00220A56">
        <w:t xml:space="preserve">., datë 13.01.2021 të kancelarit të Gjykatës së Lartë, kërkuesit i është kërkuar, ndër të tjera, </w:t>
      </w:r>
      <w:r w:rsidR="006712B3" w:rsidRPr="00220A56">
        <w:t>që për efekt të identifikimit të saktë të çështjes gjyqësore, bazuar në ne</w:t>
      </w:r>
      <w:r w:rsidR="0052675C" w:rsidRPr="00220A56">
        <w:t>nin 399/5, pika 1, shkronja “a” dhe pika 2,</w:t>
      </w:r>
      <w:r w:rsidR="006712B3" w:rsidRPr="00220A56">
        <w:t xml:space="preserve"> kjo kërkesë të plotësohej me dokumentet e nevojshme me qëllim të përcaktimit të objektit të mosmarrëveshjes. </w:t>
      </w:r>
      <w:r w:rsidR="00322551" w:rsidRPr="00220A56">
        <w:t>Po kështu</w:t>
      </w:r>
      <w:r w:rsidR="006712B3" w:rsidRPr="00220A56">
        <w:t>,</w:t>
      </w:r>
      <w:r w:rsidR="00F402AD" w:rsidRPr="00220A56">
        <w:t xml:space="preserve"> </w:t>
      </w:r>
      <w:r w:rsidR="006712B3" w:rsidRPr="00220A56">
        <w:t xml:space="preserve">Gjykata </w:t>
      </w:r>
      <w:r w:rsidR="00322551" w:rsidRPr="00220A56">
        <w:t>konstaton</w:t>
      </w:r>
      <w:r w:rsidR="006712B3" w:rsidRPr="00220A56">
        <w:t xml:space="preserve"> se kërkes</w:t>
      </w:r>
      <w:r w:rsidR="00FB1F42" w:rsidRPr="00220A56">
        <w:t>a për përshpejtim</w:t>
      </w:r>
      <w:r w:rsidR="006712B3" w:rsidRPr="00220A56">
        <w:t xml:space="preserve"> </w:t>
      </w:r>
      <w:r w:rsidR="00F402AD" w:rsidRPr="00220A56">
        <w:t xml:space="preserve">është regjistruar në Gjykatën e Lartë që në momentin e paraqitjes së saj në datën 14.12.2020 </w:t>
      </w:r>
      <w:r w:rsidR="00F402AD" w:rsidRPr="00220A56">
        <w:rPr>
          <w:i/>
        </w:rPr>
        <w:t>(shih paragrafin 9 të vendimit të Gjykatës së Lartë)</w:t>
      </w:r>
      <w:r w:rsidR="0026385E" w:rsidRPr="00220A56">
        <w:t xml:space="preserve"> dhe</w:t>
      </w:r>
      <w:r w:rsidR="00F402AD" w:rsidRPr="00220A56">
        <w:t xml:space="preserve"> procedura e kërkimit të dokumentacionit plotësues </w:t>
      </w:r>
      <w:r w:rsidR="006712B3" w:rsidRPr="00220A56">
        <w:t xml:space="preserve">nuk rezulton që </w:t>
      </w:r>
      <w:r w:rsidR="00F402AD" w:rsidRPr="00220A56">
        <w:t xml:space="preserve">të jetë kryer në kundërshtim me legjislacionin procedural në fuqi, konkretisht me dispozitat e nenit 399/5 të KPC-së, që parashikojnë dokumentet plotësuese që duhet të përmbajë një kërkesë </w:t>
      </w:r>
      <w:r w:rsidR="00FB1F42" w:rsidRPr="00220A56">
        <w:t>e tillë</w:t>
      </w:r>
      <w:r w:rsidR="00F402AD" w:rsidRPr="00220A56">
        <w:t>.</w:t>
      </w:r>
    </w:p>
    <w:p w:rsidR="00A77C78" w:rsidRPr="00220A56" w:rsidRDefault="00322551" w:rsidP="00026FB2">
      <w:pPr>
        <w:pStyle w:val="ListParagraph"/>
        <w:numPr>
          <w:ilvl w:val="0"/>
          <w:numId w:val="1"/>
        </w:numPr>
        <w:tabs>
          <w:tab w:val="left" w:pos="1080"/>
        </w:tabs>
        <w:ind w:left="0" w:firstLine="720"/>
        <w:jc w:val="both"/>
      </w:pPr>
      <w:r w:rsidRPr="00220A56">
        <w:rPr>
          <w:iCs/>
        </w:rPr>
        <w:t xml:space="preserve">Më tej, </w:t>
      </w:r>
      <w:r w:rsidR="00A77C78" w:rsidRPr="00220A56">
        <w:rPr>
          <w:iCs/>
        </w:rPr>
        <w:t xml:space="preserve">Gjykata </w:t>
      </w:r>
      <w:r w:rsidR="002B5B8F" w:rsidRPr="00220A56">
        <w:rPr>
          <w:iCs/>
        </w:rPr>
        <w:t>vëren se</w:t>
      </w:r>
      <w:r w:rsidR="00A77C78" w:rsidRPr="00220A56">
        <w:rPr>
          <w:iCs/>
        </w:rPr>
        <w:t xml:space="preserve"> </w:t>
      </w:r>
      <w:r w:rsidR="00F402AD" w:rsidRPr="00220A56">
        <w:rPr>
          <w:iCs/>
        </w:rPr>
        <w:t xml:space="preserve">në përfundim të shqyrtimit të kërkesës së kërkuesit për konstatimin e cenimit të afatit të arsyeshëm dhe përshpejtimin e procedurave, </w:t>
      </w:r>
      <w:r w:rsidR="00A77C78" w:rsidRPr="00220A56">
        <w:rPr>
          <w:iCs/>
        </w:rPr>
        <w:t xml:space="preserve">Kolegji Administrativ i Gjykatës së Lartë ka vendosur rrëzimin e </w:t>
      </w:r>
      <w:r w:rsidR="00F402AD" w:rsidRPr="00220A56">
        <w:rPr>
          <w:iCs/>
        </w:rPr>
        <w:t>saj</w:t>
      </w:r>
      <w:r w:rsidR="00A77C78" w:rsidRPr="00220A56">
        <w:rPr>
          <w:iCs/>
        </w:rPr>
        <w:t xml:space="preserve">, edhe pse ka konstatuar se </w:t>
      </w:r>
      <w:r w:rsidR="00426FE2" w:rsidRPr="00220A56">
        <w:rPr>
          <w:iCs/>
        </w:rPr>
        <w:t>k</w:t>
      </w:r>
      <w:r w:rsidR="00A77C78" w:rsidRPr="00220A56">
        <w:rPr>
          <w:iCs/>
        </w:rPr>
        <w:t>ishte kaluar afati i shqyrtimit të çështjes në Gjykatën Administrative të Apelit (</w:t>
      </w:r>
      <w:r w:rsidR="00A77C78" w:rsidRPr="00220A56">
        <w:rPr>
          <w:i/>
          <w:iCs/>
        </w:rPr>
        <w:t>shih paragrafin 20 të vendimit të Gjykatës së Lartë</w:t>
      </w:r>
      <w:r w:rsidR="00A77C78" w:rsidRPr="00220A56">
        <w:rPr>
          <w:iCs/>
        </w:rPr>
        <w:t>). Në thelb, Gjykata e Lartë ka vlerësuar se mosveprimi i gjykatës së shkallës së dytë nuk ka ndodhur për shkaqe subjektive dhe se nuk ka zvarritje të qëllimshme nga gjyqtari relator, por</w:t>
      </w:r>
      <w:r w:rsidR="00426FE2" w:rsidRPr="00220A56">
        <w:rPr>
          <w:iCs/>
        </w:rPr>
        <w:t>,</w:t>
      </w:r>
      <w:r w:rsidR="00A77C78" w:rsidRPr="00220A56">
        <w:rPr>
          <w:iCs/>
        </w:rPr>
        <w:t xml:space="preserve"> në kuptim të nenit 399/2, pika 2, të KPC-së, gjykata e shkallës së dytë është në pamundësi objektive për të gjykuar çështjen brenda një afati të arsyeshëm, për shkak të ngarkesës, akumulimit të çështjeve dhe shkurtimit të numrit të gjyqtarëve në sistem, pasoja këto të reformës në drejtësi </w:t>
      </w:r>
      <w:r w:rsidR="00A77C78" w:rsidRPr="00220A56">
        <w:rPr>
          <w:i/>
          <w:iCs/>
        </w:rPr>
        <w:t>(shih paragrafët 20 - 28 të vendimit të Gjykatës së Lartë)</w:t>
      </w:r>
      <w:r w:rsidR="00A77C78" w:rsidRPr="00220A56">
        <w:t>.</w:t>
      </w:r>
    </w:p>
    <w:p w:rsidR="003F3F0C" w:rsidRPr="00220A56" w:rsidRDefault="003F3F0C" w:rsidP="00026FB2">
      <w:pPr>
        <w:pStyle w:val="ListParagraph"/>
        <w:numPr>
          <w:ilvl w:val="0"/>
          <w:numId w:val="1"/>
        </w:numPr>
        <w:tabs>
          <w:tab w:val="left" w:pos="1080"/>
        </w:tabs>
        <w:ind w:left="0" w:firstLine="720"/>
        <w:jc w:val="both"/>
      </w:pPr>
      <w:r w:rsidRPr="00220A56">
        <w:rPr>
          <w:iCs/>
        </w:rPr>
        <w:t xml:space="preserve">Lidhur me argumentin e përdorur nga Gjykata e Lartë si shkak objektiv që shkarkon gjykatat e zakonshme nga përgjegjësia për tejkalimin e afatit të arsyeshëm për shqyrtimin e çështjeve, </w:t>
      </w:r>
      <w:r w:rsidRPr="00220A56">
        <w:rPr>
          <w:bCs/>
        </w:rPr>
        <w:t>Gjykata është shprehur se, ndonëse interpretimi rast pas rasti i ligjit – konkretisht nenit 399/2 të KPC-së, i takon vetë Gjykatës së Lartë, qasja për të mos llogaritur efektet e reformës së drejtësisë në kohëzgjatjen e përgjithshme të procedurave, nuk përputhet me standardin e “afatit të arsyeshëm” të procesit të rregullt ligjor (</w:t>
      </w:r>
      <w:r w:rsidRPr="00220A56">
        <w:rPr>
          <w:i/>
          <w:iCs/>
        </w:rPr>
        <w:t xml:space="preserve">shih vendimet nr. 37, datë 05.11.2021; </w:t>
      </w:r>
      <w:r w:rsidRPr="00220A56">
        <w:rPr>
          <w:bCs/>
          <w:i/>
        </w:rPr>
        <w:t>nr. 35 dat</w:t>
      </w:r>
      <w:r w:rsidRPr="00220A56">
        <w:rPr>
          <w:rFonts w:eastAsia="Times New Roman"/>
          <w:i/>
        </w:rPr>
        <w:t xml:space="preserve">ë </w:t>
      </w:r>
      <w:r w:rsidRPr="00220A56">
        <w:rPr>
          <w:bCs/>
          <w:i/>
        </w:rPr>
        <w:t>01.11.2021; n</w:t>
      </w:r>
      <w:r w:rsidRPr="00220A56">
        <w:rPr>
          <w:i/>
          <w:iCs/>
        </w:rPr>
        <w:t>r. 33, datë 01.11.2021 të Gjykatës Kushtetuese</w:t>
      </w:r>
      <w:r w:rsidRPr="00220A56">
        <w:t>)</w:t>
      </w:r>
      <w:r w:rsidRPr="00220A56">
        <w:rPr>
          <w:rStyle w:val="s68f5eaef"/>
          <w:color w:val="000000"/>
          <w:shd w:val="clear" w:color="auto" w:fill="FFFFFF"/>
        </w:rPr>
        <w:t xml:space="preserve">. </w:t>
      </w:r>
      <w:r w:rsidRPr="00220A56">
        <w:rPr>
          <w:bCs/>
        </w:rPr>
        <w:t>Në këto kushte, Gjykata çmon se kërkesa për përshpejtimin e procedurave në rastin e kërkuesit e ka humbur qëllimin e saj</w:t>
      </w:r>
      <w:r w:rsidRPr="00220A56">
        <w:rPr>
          <w:color w:val="000000"/>
          <w:shd w:val="clear" w:color="auto" w:fill="FFFFFF"/>
        </w:rPr>
        <w:t xml:space="preserve"> - përshpejtimin e procedurave ose parandalimin e </w:t>
      </w:r>
      <w:proofErr w:type="spellStart"/>
      <w:r w:rsidRPr="00220A56">
        <w:rPr>
          <w:bCs/>
        </w:rPr>
        <w:t>tejzgjatjes</w:t>
      </w:r>
      <w:proofErr w:type="spellEnd"/>
      <w:r w:rsidRPr="00220A56">
        <w:rPr>
          <w:bCs/>
        </w:rPr>
        <w:t xml:space="preserve"> së paarsyeshme të shqyrtimit të ankimit të tij nga Gjykata Administrative e Apelit</w:t>
      </w:r>
      <w:r w:rsidRPr="00220A56">
        <w:rPr>
          <w:color w:val="000000"/>
          <w:shd w:val="clear" w:color="auto" w:fill="FFFFFF"/>
        </w:rPr>
        <w:t xml:space="preserve">. Pra, </w:t>
      </w:r>
      <w:r w:rsidRPr="00220A56">
        <w:rPr>
          <w:bCs/>
        </w:rPr>
        <w:t>mjeti juridik “kërkesa për përshpejtimin e procedurave”, që kërkuesi ka pasur në dispozicion</w:t>
      </w:r>
      <w:r w:rsidR="005A07BC" w:rsidRPr="00220A56">
        <w:rPr>
          <w:bCs/>
        </w:rPr>
        <w:t>,</w:t>
      </w:r>
      <w:r w:rsidRPr="00220A56">
        <w:rPr>
          <w:bCs/>
        </w:rPr>
        <w:t xml:space="preserve"> sipas nenit 399/6 të KPC-së</w:t>
      </w:r>
      <w:r w:rsidR="006F63E3" w:rsidRPr="00220A56">
        <w:rPr>
          <w:bCs/>
        </w:rPr>
        <w:t>,</w:t>
      </w:r>
      <w:r w:rsidRPr="00220A56">
        <w:rPr>
          <w:bCs/>
        </w:rPr>
        <w:t xml:space="preserve"> në rastin e tij nuk ka qenë </w:t>
      </w:r>
      <w:r w:rsidRPr="00220A56">
        <w:rPr>
          <w:bCs/>
          <w:i/>
        </w:rPr>
        <w:t>efektiv</w:t>
      </w:r>
      <w:r w:rsidRPr="00220A56">
        <w:rPr>
          <w:bCs/>
        </w:rPr>
        <w:t>, në kuptimin që nuk ka qenë real, i drejtpërdrejtë, konkret dhe i shpejtë në kohë</w:t>
      </w:r>
      <w:r w:rsidRPr="00220A56">
        <w:t>.</w:t>
      </w:r>
    </w:p>
    <w:p w:rsidR="00007587" w:rsidRPr="00220A56" w:rsidRDefault="00007587" w:rsidP="00026FB2">
      <w:pPr>
        <w:pStyle w:val="ListParagraph"/>
        <w:numPr>
          <w:ilvl w:val="0"/>
          <w:numId w:val="1"/>
        </w:numPr>
        <w:tabs>
          <w:tab w:val="left" w:pos="1080"/>
        </w:tabs>
        <w:ind w:left="0" w:firstLine="720"/>
        <w:jc w:val="both"/>
      </w:pPr>
      <w:r w:rsidRPr="00220A56">
        <w:rPr>
          <w:iCs/>
        </w:rPr>
        <w:t>Për sa më lart, ndonëse formalisht kërkuesi i ka shteruar të gjitha mjetet juridike që parashikon ligji, Gjykata vlerëson se nga mënyra se si është trajtuar ky mjet nga Gjykata e Lartë, ai mbetet sërish një mjet ankimi joefektiv. Në këtë kuptim, i vetmi mjet në dispozicion të kërkuesit për rivendosjen e së drejtës së cenuar është ankimi kushtetues individual,</w:t>
      </w:r>
      <w:r w:rsidRPr="00220A56">
        <w:rPr>
          <w:bCs/>
        </w:rPr>
        <w:t xml:space="preserve"> për rrjedhojë në çështjen konkrete përmbushet kriteri i shterimit të mjeteve juridike</w:t>
      </w:r>
      <w:r w:rsidRPr="00220A56">
        <w:t>.</w:t>
      </w:r>
    </w:p>
    <w:p w:rsidR="00007587" w:rsidRPr="00220A56" w:rsidRDefault="00007587" w:rsidP="00026FB2">
      <w:pPr>
        <w:pStyle w:val="ListParagraph"/>
        <w:numPr>
          <w:ilvl w:val="0"/>
          <w:numId w:val="1"/>
        </w:numPr>
        <w:tabs>
          <w:tab w:val="left" w:pos="1080"/>
        </w:tabs>
        <w:ind w:left="0" w:firstLine="720"/>
        <w:jc w:val="both"/>
      </w:pPr>
      <w:r w:rsidRPr="00220A56">
        <w:rPr>
          <w:rFonts w:eastAsia="Times New Roman"/>
        </w:rPr>
        <w:t xml:space="preserve">Gjykata evidenton, gjithashtu, se në rastin konkret është vënë në dyshim mundësia që kërkesa për përshpejtimin e procedurave ka për t’iu përgjigjur në shkallën e duhur nevojës për të garantuar të drejtën e individit për gjykim brenda afatit të arsyeshëm në raport me mundësitë reale të sistemit gjyqësor, për shkak të volumit të lartë të çështjeve, si dhe burimeve njerëzore dhe infrastrukturore të tij në tërësi. Për pasojë, është e rëndësishme të theksohet se çështja konkrete, për shkak të veçantisë së rrethanave të saj, bën pjesë në situatat </w:t>
      </w:r>
      <w:proofErr w:type="spellStart"/>
      <w:r w:rsidRPr="00220A56">
        <w:rPr>
          <w:rFonts w:eastAsia="Times New Roman"/>
        </w:rPr>
        <w:t>përjashtimore</w:t>
      </w:r>
      <w:proofErr w:type="spellEnd"/>
      <w:r w:rsidRPr="00220A56">
        <w:rPr>
          <w:rFonts w:eastAsia="Times New Roman"/>
        </w:rPr>
        <w:t>, pasi</w:t>
      </w:r>
      <w:r w:rsidR="00294E0E" w:rsidRPr="00220A56">
        <w:rPr>
          <w:rFonts w:eastAsia="Times New Roman"/>
        </w:rPr>
        <w:t>,</w:t>
      </w:r>
      <w:r w:rsidRPr="00220A56">
        <w:rPr>
          <w:rFonts w:eastAsia="Times New Roman"/>
        </w:rPr>
        <w:t xml:space="preserve"> si rregull, shqyrtimi i këtyre lloj çështjesh dhe vlerësimi përfundimtar në lidhje me kohëzgjatjen e arsyeshme të gjykimit</w:t>
      </w:r>
      <w:r w:rsidR="006F63E3" w:rsidRPr="00220A56">
        <w:rPr>
          <w:rFonts w:eastAsia="Times New Roman"/>
        </w:rPr>
        <w:t>,</w:t>
      </w:r>
      <w:r w:rsidRPr="00220A56">
        <w:rPr>
          <w:rFonts w:eastAsia="Times New Roman"/>
        </w:rPr>
        <w:t xml:space="preserve"> duhet të bëhet nga gjykatat e zakonshme, sipas kompetencës që parashikon KPC-ja, në përputhje me parimin e </w:t>
      </w:r>
      <w:proofErr w:type="spellStart"/>
      <w:r w:rsidRPr="00220A56">
        <w:rPr>
          <w:rFonts w:eastAsia="Times New Roman"/>
        </w:rPr>
        <w:t>subsidiaritetit</w:t>
      </w:r>
      <w:proofErr w:type="spellEnd"/>
      <w:r w:rsidRPr="00220A56">
        <w:t>.</w:t>
      </w:r>
      <w:r w:rsidR="00890E0E" w:rsidRPr="00220A56">
        <w:t xml:space="preserve"> </w:t>
      </w:r>
    </w:p>
    <w:p w:rsidR="00007587" w:rsidRPr="00220A56" w:rsidRDefault="00007587" w:rsidP="00026FB2">
      <w:pPr>
        <w:pStyle w:val="ListParagraph"/>
        <w:numPr>
          <w:ilvl w:val="0"/>
          <w:numId w:val="1"/>
        </w:numPr>
        <w:tabs>
          <w:tab w:val="left" w:pos="1080"/>
        </w:tabs>
        <w:ind w:left="0" w:firstLine="720"/>
        <w:jc w:val="both"/>
      </w:pPr>
      <w:r w:rsidRPr="00220A56">
        <w:rPr>
          <w:rFonts w:eastAsia="Batang"/>
        </w:rPr>
        <w:t xml:space="preserve">Në vijim, Gjykata vlerëson se kërkuesi legjitimohet edhe </w:t>
      </w:r>
      <w:proofErr w:type="spellStart"/>
      <w:r w:rsidRPr="00220A56">
        <w:rPr>
          <w:rFonts w:eastAsia="Batang"/>
          <w:i/>
        </w:rPr>
        <w:t>ratione</w:t>
      </w:r>
      <w:proofErr w:type="spellEnd"/>
      <w:r w:rsidRPr="00220A56">
        <w:rPr>
          <w:rFonts w:eastAsia="Batang"/>
          <w:i/>
        </w:rPr>
        <w:t xml:space="preserve"> </w:t>
      </w:r>
      <w:proofErr w:type="spellStart"/>
      <w:r w:rsidRPr="00220A56">
        <w:rPr>
          <w:rFonts w:eastAsia="Batang"/>
          <w:i/>
        </w:rPr>
        <w:t>temporis</w:t>
      </w:r>
      <w:proofErr w:type="spellEnd"/>
      <w:r w:rsidRPr="00220A56">
        <w:rPr>
          <w:rFonts w:eastAsia="Batang"/>
        </w:rPr>
        <w:t xml:space="preserve">, pasi </w:t>
      </w:r>
      <w:r w:rsidRPr="00220A56">
        <w:rPr>
          <w:rFonts w:eastAsia="Times New Roman"/>
        </w:rPr>
        <w:t>v</w:t>
      </w:r>
      <w:r w:rsidRPr="00220A56">
        <w:rPr>
          <w:lang w:eastAsia="sq-AL"/>
        </w:rPr>
        <w:t>endimi i kundërshtuar i Gjykatës së Lartë mban datën 17.06.2021 dhe ankimi kushtetues individual është paraqitur në Gjykatë në datën 12.10.2021, pra brenda afatit 4-mujor</w:t>
      </w:r>
      <w:r w:rsidR="00977793" w:rsidRPr="00220A56">
        <w:rPr>
          <w:lang w:eastAsia="sq-AL"/>
        </w:rPr>
        <w:t>,</w:t>
      </w:r>
      <w:r w:rsidRPr="00220A56">
        <w:rPr>
          <w:lang w:eastAsia="sq-AL"/>
        </w:rPr>
        <w:t xml:space="preserve"> të parashikuar nga </w:t>
      </w:r>
      <w:r w:rsidRPr="00220A56">
        <w:rPr>
          <w:rFonts w:eastAsia="Times New Roman"/>
        </w:rPr>
        <w:t>neni 71/a, pika 1, shkronja “b”, i ligjit nr. 8577/2000</w:t>
      </w:r>
      <w:r w:rsidRPr="00220A56">
        <w:t>.</w:t>
      </w:r>
    </w:p>
    <w:p w:rsidR="00007587" w:rsidRPr="00220A56" w:rsidRDefault="00D9627A" w:rsidP="00026FB2">
      <w:pPr>
        <w:pStyle w:val="ListParagraph"/>
        <w:numPr>
          <w:ilvl w:val="0"/>
          <w:numId w:val="1"/>
        </w:numPr>
        <w:tabs>
          <w:tab w:val="left" w:pos="1080"/>
        </w:tabs>
        <w:ind w:left="0" w:firstLine="720"/>
        <w:jc w:val="both"/>
      </w:pPr>
      <w:r w:rsidRPr="00220A56">
        <w:t>Për</w:t>
      </w:r>
      <w:r w:rsidR="006F63E3" w:rsidRPr="00220A56">
        <w:t xml:space="preserve"> </w:t>
      </w:r>
      <w:r w:rsidRPr="00220A56">
        <w:t xml:space="preserve">sa i takon legjitimimit </w:t>
      </w:r>
      <w:proofErr w:type="spellStart"/>
      <w:r w:rsidRPr="00220A56">
        <w:rPr>
          <w:i/>
        </w:rPr>
        <w:t>ratione</w:t>
      </w:r>
      <w:proofErr w:type="spellEnd"/>
      <w:r w:rsidRPr="00220A56">
        <w:rPr>
          <w:i/>
        </w:rPr>
        <w:t xml:space="preserve"> </w:t>
      </w:r>
      <w:proofErr w:type="spellStart"/>
      <w:r w:rsidRPr="00220A56">
        <w:rPr>
          <w:i/>
        </w:rPr>
        <w:t>materiae</w:t>
      </w:r>
      <w:proofErr w:type="spellEnd"/>
      <w:r w:rsidRPr="00220A56">
        <w:t xml:space="preserve">, Gjykata çmon të evidentojë fillimisht </w:t>
      </w:r>
      <w:r w:rsidRPr="00220A56">
        <w:rPr>
          <w:iCs/>
        </w:rPr>
        <w:t xml:space="preserve">se kërkuesi, në </w:t>
      </w:r>
      <w:r w:rsidR="00B7159F" w:rsidRPr="00220A56">
        <w:rPr>
          <w:iCs/>
        </w:rPr>
        <w:t>ankimin e tij</w:t>
      </w:r>
      <w:r w:rsidRPr="00220A56">
        <w:rPr>
          <w:iCs/>
        </w:rPr>
        <w:t xml:space="preserve"> kushtetues, krahas pretendimit për shqyrtimin e vonuar të çështjes së tij nga Gjykata Administrative e Apelit, </w:t>
      </w:r>
      <w:r w:rsidRPr="00220A56">
        <w:t xml:space="preserve">ka </w:t>
      </w:r>
      <w:r w:rsidRPr="00220A56">
        <w:rPr>
          <w:iCs/>
        </w:rPr>
        <w:t>kundërshtuar edhe vendimin e Gjykatës së Lartë për rrëzimin e kërkesës për përshpejtim, duke pretenduar, në thelb, se i ka cenuar atij të drejtën kushtetuese për proces të rregullt ligjor në aspektin e standardit të arsyetimit të vendimit gjyqësor. Gjykata ka arsyetuar më lart se mënyra se si ka vepruar Gjykata e Lartë e ka bërë këtë lloj mjet ankimi</w:t>
      </w:r>
      <w:r w:rsidR="002E5647" w:rsidRPr="00220A56">
        <w:rPr>
          <w:iCs/>
        </w:rPr>
        <w:t xml:space="preserve"> joefektiv në rastin e kërkuesit</w:t>
      </w:r>
      <w:r w:rsidRPr="00220A56">
        <w:rPr>
          <w:iCs/>
        </w:rPr>
        <w:t xml:space="preserve"> </w:t>
      </w:r>
      <w:r w:rsidRPr="00220A56">
        <w:rPr>
          <w:i/>
          <w:iCs/>
        </w:rPr>
        <w:t>(shih paragrafët 2</w:t>
      </w:r>
      <w:r w:rsidR="0052675C" w:rsidRPr="00220A56">
        <w:rPr>
          <w:i/>
          <w:iCs/>
        </w:rPr>
        <w:t>6</w:t>
      </w:r>
      <w:r w:rsidRPr="00220A56">
        <w:rPr>
          <w:i/>
          <w:iCs/>
        </w:rPr>
        <w:t>-2</w:t>
      </w:r>
      <w:r w:rsidR="0052675C" w:rsidRPr="00220A56">
        <w:rPr>
          <w:i/>
          <w:iCs/>
        </w:rPr>
        <w:t>7</w:t>
      </w:r>
      <w:r w:rsidRPr="00220A56">
        <w:rPr>
          <w:i/>
          <w:iCs/>
        </w:rPr>
        <w:t xml:space="preserve"> të këtij vendimi)</w:t>
      </w:r>
      <w:r w:rsidRPr="00220A56">
        <w:rPr>
          <w:iCs/>
        </w:rPr>
        <w:t>. Për rrjedhojë, ajo nuk do të analizo</w:t>
      </w:r>
      <w:r w:rsidR="006F63E3" w:rsidRPr="00220A56">
        <w:rPr>
          <w:iCs/>
        </w:rPr>
        <w:t>jë veçmas këtë kërkim, por do ta</w:t>
      </w:r>
      <w:r w:rsidRPr="00220A56">
        <w:rPr>
          <w:iCs/>
        </w:rPr>
        <w:t xml:space="preserve"> konsiderojë atë në funksion të pretendimit thelbësor të kërkuesit për cenimin e së drejtës për gjykimin e çështjes nga Gjykata Administrative e Apelit brenda afatit të arsyeshëm. </w:t>
      </w:r>
      <w:r w:rsidR="00C2457E" w:rsidRPr="00220A56">
        <w:rPr>
          <w:iCs/>
        </w:rPr>
        <w:t>Në vijim, Gjykata çmon se është i pabazuar prapësimi i su</w:t>
      </w:r>
      <w:r w:rsidR="009968D7" w:rsidRPr="00220A56">
        <w:rPr>
          <w:iCs/>
        </w:rPr>
        <w:t>bjektit të interesuar, Avokaturës</w:t>
      </w:r>
      <w:r w:rsidR="00C2457E" w:rsidRPr="00220A56">
        <w:rPr>
          <w:iCs/>
        </w:rPr>
        <w:t xml:space="preserve"> </w:t>
      </w:r>
      <w:r w:rsidR="009968D7" w:rsidRPr="00220A56">
        <w:rPr>
          <w:iCs/>
        </w:rPr>
        <w:t>së</w:t>
      </w:r>
      <w:r w:rsidR="00C2457E" w:rsidRPr="00220A56">
        <w:rPr>
          <w:iCs/>
        </w:rPr>
        <w:t xml:space="preserve"> Shtetit, se “kërkesa nuk përbën materie kushtetuese në kushtet kur çështja e kërkuesit është ende në shqyrtim”, pasi objekt i ankimit kushtetues individual është ecuria e gjykimit që lidhet me kërkimin</w:t>
      </w:r>
      <w:r w:rsidR="00460BF3" w:rsidRPr="00220A56">
        <w:rPr>
          <w:iCs/>
        </w:rPr>
        <w:t xml:space="preserve"> e tij</w:t>
      </w:r>
      <w:r w:rsidR="00C2457E" w:rsidRPr="00220A56">
        <w:rPr>
          <w:iCs/>
        </w:rPr>
        <w:t xml:space="preserve"> </w:t>
      </w:r>
      <w:r w:rsidR="00460BF3" w:rsidRPr="00220A56">
        <w:rPr>
          <w:iCs/>
        </w:rPr>
        <w:t xml:space="preserve">për pavlefshmërinë absolute të aktit të regjistrimit të pasurisë sipas </w:t>
      </w:r>
      <w:r w:rsidR="00BE749D" w:rsidRPr="00220A56">
        <w:t>Vendimit të Këshillit të Ministrave nr. 509, datë 06.07.2011 “Për miratimin e listës përfundimtare të pronave të paluajtshme publike, shtetërore, që transferohen në pronësi ose në përdorim të Komunës Qendër Fier të Qarkut Fier”</w:t>
      </w:r>
      <w:r w:rsidR="00460BF3" w:rsidRPr="00220A56">
        <w:rPr>
          <w:iCs/>
        </w:rPr>
        <w:t xml:space="preserve"> dhe regjistrimin e pronës së tij sipas vendimit nr. 132/1996 të KKKP-së,</w:t>
      </w:r>
      <w:r w:rsidR="00C2457E" w:rsidRPr="00220A56">
        <w:t xml:space="preserve"> </w:t>
      </w:r>
      <w:r w:rsidR="00C2457E" w:rsidRPr="00220A56">
        <w:rPr>
          <w:iCs/>
        </w:rPr>
        <w:t xml:space="preserve">gjykim i cili është duke u zhvilluar në Gjykatën Administrative të Apelit. </w:t>
      </w:r>
      <w:r w:rsidRPr="00220A56">
        <w:rPr>
          <w:iCs/>
        </w:rPr>
        <w:t>Si përfundim, G</w:t>
      </w:r>
      <w:r w:rsidR="009968D7" w:rsidRPr="00220A56">
        <w:t>jykata</w:t>
      </w:r>
      <w:r w:rsidRPr="00220A56">
        <w:t xml:space="preserve"> </w:t>
      </w:r>
      <w:r w:rsidRPr="00220A56">
        <w:rPr>
          <w:iCs/>
        </w:rPr>
        <w:t>vlerëson se</w:t>
      </w:r>
      <w:r w:rsidR="009968D7" w:rsidRPr="00220A56">
        <w:rPr>
          <w:iCs/>
        </w:rPr>
        <w:t>,</w:t>
      </w:r>
      <w:r w:rsidRPr="00220A56">
        <w:rPr>
          <w:iCs/>
        </w:rPr>
        <w:t xml:space="preserve"> </w:t>
      </w:r>
      <w:r w:rsidRPr="00220A56">
        <w:t>në vështrim të neneve 42 dhe 131, pika 1, shkronja “f”</w:t>
      </w:r>
      <w:r w:rsidR="008147D3" w:rsidRPr="00220A56">
        <w:t>,</w:t>
      </w:r>
      <w:r w:rsidRPr="00220A56">
        <w:t xml:space="preserve"> të Kushtetutës, pretendimi për kohëzgjatjen e paarsyeshme të procesit të themelit</w:t>
      </w:r>
      <w:r w:rsidRPr="00220A56">
        <w:rPr>
          <w:iCs/>
        </w:rPr>
        <w:t xml:space="preserve"> përfshihet në juridiksionin kushtetues, prandaj në vijim do të analizojë </w:t>
      </w:r>
      <w:proofErr w:type="spellStart"/>
      <w:r w:rsidRPr="00220A56">
        <w:rPr>
          <w:iCs/>
        </w:rPr>
        <w:t>bazueshmërinë</w:t>
      </w:r>
      <w:proofErr w:type="spellEnd"/>
      <w:r w:rsidRPr="00220A56">
        <w:rPr>
          <w:iCs/>
        </w:rPr>
        <w:t xml:space="preserve"> e tij në themel</w:t>
      </w:r>
      <w:r w:rsidR="00007587" w:rsidRPr="00220A56">
        <w:t>.</w:t>
      </w:r>
    </w:p>
    <w:p w:rsidR="00220A56" w:rsidRPr="00220A56" w:rsidRDefault="00220A56" w:rsidP="00026FB2">
      <w:pPr>
        <w:pStyle w:val="ListParagraph"/>
        <w:tabs>
          <w:tab w:val="left" w:pos="1080"/>
        </w:tabs>
        <w:jc w:val="both"/>
        <w:rPr>
          <w:bCs/>
        </w:rPr>
      </w:pPr>
    </w:p>
    <w:p w:rsidR="007B78ED" w:rsidRPr="00220A56" w:rsidRDefault="007B78ED" w:rsidP="00026FB2">
      <w:pPr>
        <w:pStyle w:val="ListParagraph"/>
        <w:tabs>
          <w:tab w:val="left" w:pos="1080"/>
        </w:tabs>
        <w:jc w:val="both"/>
        <w:rPr>
          <w:i/>
        </w:rPr>
      </w:pPr>
      <w:r w:rsidRPr="00220A56">
        <w:rPr>
          <w:i/>
        </w:rPr>
        <w:t>B. Për themelin e pretendimeve</w:t>
      </w:r>
    </w:p>
    <w:p w:rsidR="007B78ED" w:rsidRPr="00220A56" w:rsidRDefault="007B78ED" w:rsidP="00026FB2">
      <w:pPr>
        <w:pStyle w:val="ListParagraph"/>
        <w:tabs>
          <w:tab w:val="left" w:pos="1080"/>
        </w:tabs>
        <w:ind w:left="0" w:firstLine="720"/>
        <w:jc w:val="both"/>
        <w:rPr>
          <w:i/>
        </w:rPr>
      </w:pPr>
      <w:r w:rsidRPr="00220A56">
        <w:rPr>
          <w:i/>
        </w:rPr>
        <w:t xml:space="preserve">B.1. </w:t>
      </w:r>
      <w:r w:rsidR="00FA6834" w:rsidRPr="00220A56">
        <w:rPr>
          <w:i/>
        </w:rPr>
        <w:t>Për shqyrtimin e çështjes brenda një afati të arsyeshëm</w:t>
      </w:r>
    </w:p>
    <w:p w:rsidR="00A235D8" w:rsidRPr="00220A56" w:rsidRDefault="006E66AC" w:rsidP="00026FB2">
      <w:pPr>
        <w:pStyle w:val="ListParagraph"/>
        <w:numPr>
          <w:ilvl w:val="0"/>
          <w:numId w:val="1"/>
        </w:numPr>
        <w:tabs>
          <w:tab w:val="left" w:pos="1080"/>
        </w:tabs>
        <w:ind w:left="0" w:firstLine="720"/>
        <w:jc w:val="both"/>
      </w:pPr>
      <w:r w:rsidRPr="00220A56">
        <w:t>K</w:t>
      </w:r>
      <w:r w:rsidR="00FB36F3" w:rsidRPr="00220A56">
        <w:t xml:space="preserve">ërkuesi ka pretenduar </w:t>
      </w:r>
      <w:r w:rsidRPr="00220A56">
        <w:t>se i është cenuar e drejta e gjykimit brenda një afati të arsyeshëm</w:t>
      </w:r>
      <w:r w:rsidR="00F03419" w:rsidRPr="00220A56">
        <w:t xml:space="preserve">, </w:t>
      </w:r>
      <w:r w:rsidRPr="00220A56">
        <w:t>e garantuar në nenin 42 të Kush</w:t>
      </w:r>
      <w:r w:rsidR="00FA6834" w:rsidRPr="00220A56">
        <w:t>tetutës dhe nenin 6 të KEDNJ-së</w:t>
      </w:r>
      <w:r w:rsidR="00A235D8" w:rsidRPr="00220A56">
        <w:t>, pasi arsyetimi i vendimit të Gjykatës Administrative të Shkallës së Parë Vlorë është bërë tej afatit 7-ditor</w:t>
      </w:r>
      <w:r w:rsidR="009968D7" w:rsidRPr="00220A56">
        <w:t>,</w:t>
      </w:r>
      <w:r w:rsidR="00A235D8" w:rsidRPr="00220A56">
        <w:t xml:space="preserve"> të parashikuar në nenin 42, pika 3, të ligjit nr. 49/2012</w:t>
      </w:r>
      <w:r w:rsidR="006D0AC7" w:rsidRPr="00220A56">
        <w:t>, çka ka çuar në vonesa në shqyrtimin e çështjes së tij në apel</w:t>
      </w:r>
      <w:r w:rsidR="00A235D8" w:rsidRPr="00220A56">
        <w:t>. Gjykata Administrative e Apelit</w:t>
      </w:r>
      <w:r w:rsidR="006D0AC7" w:rsidRPr="00220A56">
        <w:t xml:space="preserve"> nuk e ka shqyrtuar ende çështjen e tij</w:t>
      </w:r>
      <w:r w:rsidR="00A235D8" w:rsidRPr="00220A56">
        <w:t>, ndonëse nga momenti i regjistrimit të ankimit e deri në paraqitjen e kërkesës në Gjykatën Kushtetuese kanë kaluar afërsisht 5 vjet e 3 muaj.</w:t>
      </w:r>
    </w:p>
    <w:p w:rsidR="00A235D8" w:rsidRPr="00220A56" w:rsidRDefault="00FB36F3" w:rsidP="00A235D8">
      <w:pPr>
        <w:pStyle w:val="ListParagraph"/>
        <w:numPr>
          <w:ilvl w:val="0"/>
          <w:numId w:val="1"/>
        </w:numPr>
        <w:tabs>
          <w:tab w:val="left" w:pos="1080"/>
        </w:tabs>
        <w:ind w:left="0" w:firstLine="720"/>
        <w:jc w:val="both"/>
      </w:pPr>
      <w:r w:rsidRPr="00220A56">
        <w:t xml:space="preserve"> </w:t>
      </w:r>
      <w:r w:rsidR="00A235D8" w:rsidRPr="00220A56">
        <w:t>Subjekti i interesuar, Avokatura e Shtetit, ka prapësuar se kërkimi për konstatimin e shkeljes së afatit të arsyeshëm të gjykimit të çështjes duhet të rrëzohet, pasi vonesa ka ardhur si rezultat i faktorëve objektivë.</w:t>
      </w:r>
    </w:p>
    <w:p w:rsidR="00A235D8" w:rsidRPr="00220A56" w:rsidRDefault="00A235D8" w:rsidP="00A235D8">
      <w:pPr>
        <w:pStyle w:val="ListParagraph"/>
        <w:numPr>
          <w:ilvl w:val="0"/>
          <w:numId w:val="1"/>
        </w:numPr>
        <w:tabs>
          <w:tab w:val="left" w:pos="1080"/>
        </w:tabs>
        <w:ind w:left="0" w:firstLine="720"/>
        <w:jc w:val="both"/>
      </w:pPr>
      <w:r w:rsidRPr="00220A56">
        <w:t>Neni 42 i Kushtetutës parashikon se kushdo, për mbrojtjen e të drejtave, lirive dhe interesave të tij kushtetues dhe ligjorë ose në rastin e akuzave të ngritura kundër tij, ka të drejtën e një gjykimi të drejtë dhe publik brenda një afati të arsyeshëm nga një gjykatë e pavarur dhe e paanshme e caktuar me ligj.</w:t>
      </w:r>
    </w:p>
    <w:p w:rsidR="00A235D8" w:rsidRPr="00220A56" w:rsidRDefault="00A235D8" w:rsidP="00A235D8">
      <w:pPr>
        <w:numPr>
          <w:ilvl w:val="0"/>
          <w:numId w:val="1"/>
        </w:numPr>
        <w:tabs>
          <w:tab w:val="left" w:pos="1080"/>
        </w:tabs>
        <w:ind w:left="0" w:firstLine="720"/>
        <w:jc w:val="both"/>
      </w:pPr>
      <w:r w:rsidRPr="00220A56">
        <w:t>Sipas jurisprudencës së Gjykatës, e drejta për një proces të rregullt ligjor, pjesë e të cilit është edhe gjykimi brenda një afati të arsyeshëm, luan një rol qendror në sistemin e mbrojtjes së të drejtave të njeriut. Nga ana tjetër, Gjykata ka vlerësuar se kohëzgjatja e gjykimit normalisht llogaritet nga momenti i fillimit të procesit gjyqësor, deri në</w:t>
      </w:r>
      <w:r w:rsidR="009968D7" w:rsidRPr="00220A56">
        <w:t xml:space="preserve"> momentin kur jepet vendimi. Te</w:t>
      </w:r>
      <w:r w:rsidRPr="00220A56">
        <w:t xml:space="preserve"> kohëzgjatja e përgjithshme e gjykimit nuk përjashtohen vonesat e shkaktuara nga zbatimi i reformës në drejtësi</w:t>
      </w:r>
      <w:r w:rsidR="009968D7" w:rsidRPr="00220A56">
        <w:t>,</w:t>
      </w:r>
      <w:r w:rsidRPr="00220A56">
        <w:t xml:space="preserve"> sepse b</w:t>
      </w:r>
      <w:r w:rsidRPr="00220A56">
        <w:rPr>
          <w:bCs/>
        </w:rPr>
        <w:t>arra e këtyre vone</w:t>
      </w:r>
      <w:r w:rsidR="009968D7" w:rsidRPr="00220A56">
        <w:rPr>
          <w:bCs/>
        </w:rPr>
        <w:t>save nuk duhet të zhvendoset te</w:t>
      </w:r>
      <w:r w:rsidRPr="00220A56">
        <w:rPr>
          <w:bCs/>
        </w:rPr>
        <w:t xml:space="preserve"> palët </w:t>
      </w:r>
      <w:proofErr w:type="spellStart"/>
      <w:r w:rsidRPr="00220A56">
        <w:rPr>
          <w:bCs/>
        </w:rPr>
        <w:t>ndërgjyqëse</w:t>
      </w:r>
      <w:proofErr w:type="spellEnd"/>
      <w:r w:rsidRPr="00220A56">
        <w:rPr>
          <w:bCs/>
        </w:rPr>
        <w:t xml:space="preserve"> </w:t>
      </w:r>
      <w:r w:rsidRPr="00220A56">
        <w:rPr>
          <w:bCs/>
          <w:i/>
        </w:rPr>
        <w:t>(shih vendimet nr. 33, datë 01.11.2021; nr. 2, datë 17.02.2022 të Gjykatës Kushtetuese)</w:t>
      </w:r>
      <w:r w:rsidRPr="00220A56">
        <w:t>.</w:t>
      </w:r>
    </w:p>
    <w:p w:rsidR="00A235D8" w:rsidRPr="00220A56" w:rsidRDefault="0052675C" w:rsidP="00026FB2">
      <w:pPr>
        <w:numPr>
          <w:ilvl w:val="0"/>
          <w:numId w:val="1"/>
        </w:numPr>
        <w:tabs>
          <w:tab w:val="left" w:pos="1080"/>
        </w:tabs>
        <w:ind w:left="0" w:firstLine="720"/>
        <w:jc w:val="both"/>
      </w:pPr>
      <w:r w:rsidRPr="00220A56">
        <w:t>Në rastin konkret</w:t>
      </w:r>
      <w:r w:rsidR="00FA6834" w:rsidRPr="00220A56">
        <w:t xml:space="preserve">, </w:t>
      </w:r>
      <w:r w:rsidR="00A235D8" w:rsidRPr="00220A56">
        <w:t>Gjykata vëren se pretendimi i kërkuesit për vonesën në arsyetimin e vendimit të Gjykatës Administrative të Shkallës së Parë Vlorë tej afatit 7-ditor</w:t>
      </w:r>
      <w:r w:rsidR="009968D7" w:rsidRPr="00220A56">
        <w:t>,</w:t>
      </w:r>
      <w:r w:rsidR="00A235D8" w:rsidRPr="00220A56">
        <w:t xml:space="preserve"> të parashikuar në nenin 42, pika 3, të ligjit nr. 49/2012</w:t>
      </w:r>
      <w:r w:rsidR="009968D7" w:rsidRPr="00220A56">
        <w:t>,</w:t>
      </w:r>
      <w:r w:rsidR="00A235D8" w:rsidRPr="00220A56">
        <w:t xml:space="preserve"> nuk është ngritur në nivel kushtetues, pasi kërkuesi nuk arriti të provonte këtë pretendim para Gjykatës.</w:t>
      </w:r>
    </w:p>
    <w:p w:rsidR="00FA6834" w:rsidRPr="00220A56" w:rsidRDefault="00A235D8" w:rsidP="00026FB2">
      <w:pPr>
        <w:numPr>
          <w:ilvl w:val="0"/>
          <w:numId w:val="1"/>
        </w:numPr>
        <w:tabs>
          <w:tab w:val="left" w:pos="1080"/>
        </w:tabs>
        <w:ind w:left="0" w:firstLine="720"/>
        <w:jc w:val="both"/>
      </w:pPr>
      <w:r w:rsidRPr="00220A56">
        <w:t xml:space="preserve">Gjykata konstaton se </w:t>
      </w:r>
      <w:r w:rsidR="00FA6834" w:rsidRPr="00220A56">
        <w:t xml:space="preserve">thelbi i mosmarrëveshjes që po gjykohet nga Gjykata Administrative e Apelit lidhet me mbrojtjen e </w:t>
      </w:r>
      <w:r w:rsidR="009968D7" w:rsidRPr="00220A56">
        <w:t>s</w:t>
      </w:r>
      <w:r w:rsidR="00FA6834" w:rsidRPr="00220A56">
        <w:t xml:space="preserve">ë drejtës kushtetuese të pronës, prandaj ai gjykim përfshihet në fushën e zbatimit të nenit 42 të Kushtetutës. Ankimi i kërkuesit, që ka vënë në lëvizje gjykimin në shkallë të dytë, është regjistruar në Gjykatën Administrative të Apelit në datën 09.09.2016 dhe ndonëse kanë kaluar </w:t>
      </w:r>
      <w:r w:rsidR="00F11FE8" w:rsidRPr="00220A56">
        <w:t>rreth</w:t>
      </w:r>
      <w:r w:rsidR="00FA6834" w:rsidRPr="00220A56">
        <w:t xml:space="preserve"> </w:t>
      </w:r>
      <w:r w:rsidR="00F11FE8" w:rsidRPr="00220A56">
        <w:t>5</w:t>
      </w:r>
      <w:r w:rsidR="009968D7" w:rsidRPr="00220A56">
        <w:t xml:space="preserve"> vjet</w:t>
      </w:r>
      <w:r w:rsidR="00FA6834" w:rsidRPr="00220A56">
        <w:t xml:space="preserve"> e </w:t>
      </w:r>
      <w:r w:rsidR="00F11FE8" w:rsidRPr="00220A56">
        <w:t>6</w:t>
      </w:r>
      <w:r w:rsidR="00FA6834" w:rsidRPr="00220A56">
        <w:t xml:space="preserve"> muaj, kërkuesi ende nuk ka një vendimmarrje për çështjen e tij.</w:t>
      </w:r>
    </w:p>
    <w:p w:rsidR="00FA6834" w:rsidRPr="00220A56" w:rsidRDefault="00FA6834" w:rsidP="00026FB2">
      <w:pPr>
        <w:numPr>
          <w:ilvl w:val="0"/>
          <w:numId w:val="1"/>
        </w:numPr>
        <w:tabs>
          <w:tab w:val="left" w:pos="1080"/>
        </w:tabs>
        <w:ind w:left="0" w:firstLine="720"/>
        <w:jc w:val="both"/>
      </w:pPr>
      <w:r w:rsidRPr="00220A56">
        <w:t>Lidhur me afatet e gjykimit të mosmarrëveshjeve administrative, Gjykata sjell në vëmendje se neni 48 i ligjit nr. 49/2012 parashikon se gjykata e apelit e shqyrton ankimin brenda 30 ditëve nga data e ardhjes së tij nga gjykata ku është paraqitur. Ndërsa KPC-ja, me ndryshimet e vitit 2017, në grupin e rregullave mbi mjetet e ankimit për konstatimin e shkeljeve të gjykimit brenda afatit të ar</w:t>
      </w:r>
      <w:r w:rsidR="009968D7" w:rsidRPr="00220A56">
        <w:t>syeshëm, ka përcaktuar afatin 1-</w:t>
      </w:r>
      <w:r w:rsidRPr="00220A56">
        <w:t>vjeçar për përfundimin e gjykimit administrativ në shkallë të dytë (neni 399/2, pika 1, shkronja “a”), që zgjatet edhe me 6 muaj të tjerë në rastin kur çështjet gjyqësore janë ende në proces gjykimi në kohën e hyrjes në fuqi të këtyre ndryshimeve (neni 109 i ligjit nr. 38/2017).</w:t>
      </w:r>
    </w:p>
    <w:p w:rsidR="00FA6834" w:rsidRPr="00220A56" w:rsidRDefault="007D181D" w:rsidP="00026FB2">
      <w:pPr>
        <w:numPr>
          <w:ilvl w:val="0"/>
          <w:numId w:val="1"/>
        </w:numPr>
        <w:tabs>
          <w:tab w:val="left" w:pos="1080"/>
        </w:tabs>
        <w:ind w:left="0" w:firstLine="720"/>
        <w:jc w:val="both"/>
      </w:pPr>
      <w:r w:rsidRPr="00220A56">
        <w:rPr>
          <w:color w:val="232323"/>
          <w:shd w:val="clear" w:color="auto" w:fill="FFFFFF"/>
        </w:rPr>
        <w:t xml:space="preserve">Duke konsideruar afatet ligjore në raport me kohëzgjatjen e çështjes së kërkuesit, çështje e cila ka qenë në proces në kohën e hyrjes në fuqi të ndryshimeve të KPC-së, Gjykata vlerëson se </w:t>
      </w:r>
      <w:r w:rsidRPr="00220A56">
        <w:rPr>
          <w:i/>
          <w:color w:val="232323"/>
          <w:shd w:val="clear" w:color="auto" w:fill="FFFFFF"/>
        </w:rPr>
        <w:t xml:space="preserve">prima </w:t>
      </w:r>
      <w:proofErr w:type="spellStart"/>
      <w:r w:rsidRPr="00220A56">
        <w:rPr>
          <w:i/>
          <w:color w:val="232323"/>
          <w:shd w:val="clear" w:color="auto" w:fill="FFFFFF"/>
        </w:rPr>
        <w:t>facie</w:t>
      </w:r>
      <w:proofErr w:type="spellEnd"/>
      <w:r w:rsidRPr="00220A56">
        <w:rPr>
          <w:i/>
          <w:color w:val="232323"/>
          <w:shd w:val="clear" w:color="auto" w:fill="FFFFFF"/>
        </w:rPr>
        <w:t xml:space="preserve"> </w:t>
      </w:r>
      <w:r w:rsidRPr="00220A56">
        <w:t xml:space="preserve">gjykimi i çështjes konkrete në Gjykatën Administrative të Apelit është </w:t>
      </w:r>
      <w:proofErr w:type="spellStart"/>
      <w:r w:rsidRPr="00220A56">
        <w:t>tejzgjatur</w:t>
      </w:r>
      <w:proofErr w:type="spellEnd"/>
      <w:r w:rsidRPr="00220A56">
        <w:t xml:space="preserve">, fakt që pranohet edhe nga palët në proces. Konkretisht, kërkuesi pretendon se </w:t>
      </w:r>
      <w:r w:rsidR="009968D7" w:rsidRPr="00220A56">
        <w:t xml:space="preserve">në </w:t>
      </w:r>
      <w:r w:rsidRPr="00220A56">
        <w:t>gjykimi</w:t>
      </w:r>
      <w:r w:rsidR="002E2D0B" w:rsidRPr="00220A56">
        <w:t>n e çështjes së tij</w:t>
      </w:r>
      <w:r w:rsidRPr="00220A56">
        <w:t xml:space="preserve"> nuk </w:t>
      </w:r>
      <w:r w:rsidR="002E2D0B" w:rsidRPr="00220A56">
        <w:t>janë</w:t>
      </w:r>
      <w:r w:rsidRPr="00220A56">
        <w:t xml:space="preserve"> respektuar afatet ligjore, duke u zgjatur në mënyrë të paarsyeshme. Ndërsa subjekti i interesuar, Avokatura e Shtetit</w:t>
      </w:r>
      <w:r w:rsidR="00A910CE" w:rsidRPr="00220A56">
        <w:t>,</w:t>
      </w:r>
      <w:r w:rsidRPr="00220A56">
        <w:t xml:space="preserve"> është shprehur se ndonëse ka </w:t>
      </w:r>
      <w:proofErr w:type="spellStart"/>
      <w:r w:rsidRPr="00220A56">
        <w:t>tejzgjatje</w:t>
      </w:r>
      <w:proofErr w:type="spellEnd"/>
      <w:r w:rsidRPr="00220A56">
        <w:t xml:space="preserve"> të gjykimit, Gjykata e Lartë i ka dhënë përgjigje pretendimit të kërkuesit, duke arsyetuar se vonesa </w:t>
      </w:r>
      <w:r w:rsidRPr="00220A56">
        <w:rPr>
          <w:bCs/>
        </w:rPr>
        <w:t xml:space="preserve">është rrjedhojë e efekteve të reformës në drejtësi, që përbën një </w:t>
      </w:r>
      <w:r w:rsidRPr="00220A56">
        <w:t xml:space="preserve">problematikë që tejkalon rastin konkret. </w:t>
      </w:r>
      <w:r w:rsidRPr="00220A56">
        <w:rPr>
          <w:color w:val="232323"/>
          <w:shd w:val="clear" w:color="auto" w:fill="FFFFFF"/>
        </w:rPr>
        <w:t>Në këtë situatë, për të vlerësuar nëse kohëzgjatja e gjykimit nga Gjykata Administrative e Apelit është e paarsyeshme, pra nëse kërkuesit i është cenuar e drejta kushtetuese e procesit të rregullt në këtë aspekt, Gjykata do të analizojë rrethanat e veçanta të çështjes konkrete dhe kriteret e vendosura nga jurisprudenca kushtetuese që lidhen me</w:t>
      </w:r>
      <w:r w:rsidRPr="00220A56">
        <w:t>: (i) sjelljen e k</w:t>
      </w:r>
      <w:r w:rsidRPr="00220A56">
        <w:rPr>
          <w:spacing w:val="3"/>
        </w:rPr>
        <w:t>ë</w:t>
      </w:r>
      <w:r w:rsidRPr="00220A56">
        <w:t>rkuesit; (</w:t>
      </w:r>
      <w:proofErr w:type="spellStart"/>
      <w:r w:rsidRPr="00220A56">
        <w:t>ii</w:t>
      </w:r>
      <w:proofErr w:type="spellEnd"/>
      <w:r w:rsidRPr="00220A56">
        <w:t xml:space="preserve">) </w:t>
      </w:r>
      <w:proofErr w:type="spellStart"/>
      <w:r w:rsidRPr="00220A56">
        <w:t>kompleksitetin</w:t>
      </w:r>
      <w:proofErr w:type="spellEnd"/>
      <w:r w:rsidRPr="00220A56">
        <w:t xml:space="preserve"> e çështjes; </w:t>
      </w:r>
      <w:r w:rsidR="00A910CE" w:rsidRPr="00220A56">
        <w:t>(</w:t>
      </w:r>
      <w:proofErr w:type="spellStart"/>
      <w:r w:rsidR="00A910CE" w:rsidRPr="00220A56">
        <w:t>iii</w:t>
      </w:r>
      <w:proofErr w:type="spellEnd"/>
      <w:r w:rsidR="00A910CE" w:rsidRPr="00220A56">
        <w:t xml:space="preserve">) </w:t>
      </w:r>
      <w:r w:rsidRPr="00220A56">
        <w:t xml:space="preserve">si dhe sjelljen e autoriteteve </w:t>
      </w:r>
      <w:r w:rsidRPr="00220A56">
        <w:rPr>
          <w:i/>
        </w:rPr>
        <w:t>(shih vendimet nr. 33, datë 01.11.2021; nr. 16, datë 16.03.2021; nr. 76, datë 04.12.2017 të Gjykatës Kushtetuese)</w:t>
      </w:r>
      <w:r w:rsidR="00FA6834" w:rsidRPr="00220A56">
        <w:t>.</w:t>
      </w:r>
    </w:p>
    <w:p w:rsidR="00966EE5" w:rsidRPr="00220A56" w:rsidRDefault="00966EE5" w:rsidP="00026FB2">
      <w:pPr>
        <w:pStyle w:val="ListParagraph"/>
        <w:tabs>
          <w:tab w:val="left" w:pos="1170"/>
        </w:tabs>
        <w:jc w:val="both"/>
      </w:pPr>
    </w:p>
    <w:p w:rsidR="00966EE5" w:rsidRPr="00220A56" w:rsidRDefault="00966EE5" w:rsidP="00026FB2">
      <w:pPr>
        <w:pStyle w:val="ListParagraph"/>
        <w:tabs>
          <w:tab w:val="left" w:pos="1170"/>
        </w:tabs>
        <w:jc w:val="both"/>
      </w:pPr>
      <w:r w:rsidRPr="00220A56">
        <w:rPr>
          <w:rFonts w:eastAsia="MS Mincho"/>
          <w:i/>
        </w:rPr>
        <w:t>i. Sjellja</w:t>
      </w:r>
      <w:r w:rsidR="00020161" w:rsidRPr="00220A56">
        <w:rPr>
          <w:rFonts w:eastAsia="MS Mincho"/>
          <w:i/>
        </w:rPr>
        <w:t xml:space="preserve"> e </w:t>
      </w:r>
      <w:r w:rsidRPr="00220A56">
        <w:rPr>
          <w:i/>
        </w:rPr>
        <w:t>kërkuesi</w:t>
      </w:r>
      <w:r w:rsidR="00020161" w:rsidRPr="00220A56">
        <w:rPr>
          <w:i/>
        </w:rPr>
        <w:t>t</w:t>
      </w:r>
      <w:r w:rsidRPr="00220A56">
        <w:rPr>
          <w:i/>
        </w:rPr>
        <w:t xml:space="preserve"> </w:t>
      </w:r>
    </w:p>
    <w:p w:rsidR="00966EE5" w:rsidRPr="00220A56" w:rsidRDefault="00966EE5" w:rsidP="00026FB2">
      <w:pPr>
        <w:pStyle w:val="ListParagraph"/>
        <w:numPr>
          <w:ilvl w:val="0"/>
          <w:numId w:val="1"/>
        </w:numPr>
        <w:tabs>
          <w:tab w:val="left" w:pos="1170"/>
        </w:tabs>
        <w:ind w:left="0" w:firstLine="720"/>
        <w:jc w:val="both"/>
      </w:pPr>
      <w:r w:rsidRPr="00220A56">
        <w:rPr>
          <w:rFonts w:eastAsia="MS Mincho"/>
        </w:rPr>
        <w:t>Gjykata në jurisprudencën e saj është shprehur se vlerësimi i sjelljes së kërkuesit është një element përcaktues i kohëzgjatjes së arsyeshme të procedimeve</w:t>
      </w:r>
      <w:r w:rsidRPr="00220A56">
        <w:t xml:space="preserve">, duke u analizuar rrethanat nëse </w:t>
      </w:r>
      <w:r w:rsidR="00AD66A8" w:rsidRPr="00220A56">
        <w:t>a</w:t>
      </w:r>
      <w:r w:rsidRPr="00220A56">
        <w:t xml:space="preserve">i ka vepruar në përputhje me të drejtat procedurale, duke shfaqur ose jo interes të vazhdueshëm për gjykimin e çështjes brenda një afati sa më të përshtatshëm për të, dhe nëse  është bërë shkak ose ka shkaktuar vonesa në këtë drejtim </w:t>
      </w:r>
      <w:r w:rsidRPr="00220A56">
        <w:rPr>
          <w:i/>
        </w:rPr>
        <w:t xml:space="preserve">(shih </w:t>
      </w:r>
      <w:r w:rsidR="00804F49" w:rsidRPr="00220A56">
        <w:rPr>
          <w:i/>
        </w:rPr>
        <w:t xml:space="preserve">vendimet nr. 37, datë 05.11.2021; </w:t>
      </w:r>
      <w:r w:rsidR="00804F49" w:rsidRPr="00220A56">
        <w:rPr>
          <w:bCs/>
          <w:i/>
        </w:rPr>
        <w:t>nr. 35, datë 01.11.2021; nr. 34, datë 01.11.2021</w:t>
      </w:r>
      <w:r w:rsidRPr="00220A56">
        <w:rPr>
          <w:i/>
        </w:rPr>
        <w:t xml:space="preserve"> të Gjykatës Kushtetuese)</w:t>
      </w:r>
      <w:r w:rsidRPr="00220A56">
        <w:t>.</w:t>
      </w:r>
    </w:p>
    <w:p w:rsidR="007D181D" w:rsidRPr="00220A56" w:rsidRDefault="00192FA1" w:rsidP="00026FB2">
      <w:pPr>
        <w:pStyle w:val="ListParagraph"/>
        <w:numPr>
          <w:ilvl w:val="0"/>
          <w:numId w:val="1"/>
        </w:numPr>
        <w:tabs>
          <w:tab w:val="left" w:pos="1170"/>
        </w:tabs>
        <w:ind w:left="0" w:firstLine="720"/>
        <w:jc w:val="both"/>
      </w:pPr>
      <w:r w:rsidRPr="00220A56">
        <w:t xml:space="preserve">Duke iu kthyer rastit në shqyrtim, Gjykata </w:t>
      </w:r>
      <w:r w:rsidR="00CC383C" w:rsidRPr="00220A56">
        <w:t xml:space="preserve">konstaton </w:t>
      </w:r>
      <w:r w:rsidR="00966EE5" w:rsidRPr="00220A56">
        <w:rPr>
          <w:rStyle w:val="s68f5eaef"/>
          <w:color w:val="000000"/>
          <w:shd w:val="clear" w:color="auto" w:fill="FFFFFF"/>
        </w:rPr>
        <w:t xml:space="preserve">se kërkuesi ka vepruar në përputhje me të drejtat e tij procedurale </w:t>
      </w:r>
      <w:r w:rsidR="00B26544" w:rsidRPr="00220A56">
        <w:rPr>
          <w:rStyle w:val="s68f5eaef"/>
          <w:color w:val="000000"/>
          <w:shd w:val="clear" w:color="auto" w:fill="FFFFFF"/>
        </w:rPr>
        <w:t>dhe</w:t>
      </w:r>
      <w:r w:rsidRPr="00220A56">
        <w:rPr>
          <w:iCs/>
        </w:rPr>
        <w:t xml:space="preserve"> nuk rezulton të jetë bërë shkak ose të ketë shkaktuar vonesa </w:t>
      </w:r>
      <w:r w:rsidR="00681C76" w:rsidRPr="00220A56">
        <w:t>për gjykimin e çështjes</w:t>
      </w:r>
      <w:r w:rsidR="00C5475F" w:rsidRPr="00220A56">
        <w:t xml:space="preserve">, duke iu drejtuar edhe gjyqtarit relator në Gjykatën Administrative të Apelit me </w:t>
      </w:r>
      <w:r w:rsidR="00B27B19" w:rsidRPr="00220A56">
        <w:t xml:space="preserve">kërkesë për </w:t>
      </w:r>
      <w:r w:rsidR="00C5475F" w:rsidRPr="00220A56">
        <w:t>informacion për kriteret dhe procedurat e gjykimit të çështjeve</w:t>
      </w:r>
      <w:r w:rsidRPr="00220A56">
        <w:t xml:space="preserve">. </w:t>
      </w:r>
      <w:r w:rsidR="007D181D" w:rsidRPr="00220A56">
        <w:t>Po kështu, në datën 14.12.2020, kërkuesi i është drejtuar Gjykatës së Lartë me kërkesë për konstatimin e shkeljes së afatit të arsyeshëm dhe përshpejtimin e procedurave.</w:t>
      </w:r>
    </w:p>
    <w:p w:rsidR="00966EE5" w:rsidRPr="00220A56" w:rsidRDefault="00966EE5" w:rsidP="00026FB2">
      <w:pPr>
        <w:pStyle w:val="ListParagraph"/>
        <w:numPr>
          <w:ilvl w:val="0"/>
          <w:numId w:val="1"/>
        </w:numPr>
        <w:tabs>
          <w:tab w:val="left" w:pos="1170"/>
        </w:tabs>
        <w:ind w:left="0" w:firstLine="720"/>
        <w:jc w:val="both"/>
      </w:pPr>
      <w:r w:rsidRPr="00220A56">
        <w:t xml:space="preserve">Në përfundim, </w:t>
      </w:r>
      <w:r w:rsidR="00C4764A" w:rsidRPr="00220A56">
        <w:t xml:space="preserve">Gjykata çmon </w:t>
      </w:r>
      <w:r w:rsidRPr="00220A56">
        <w:t xml:space="preserve">se në rastin konkret, </w:t>
      </w:r>
      <w:r w:rsidR="00225F0A" w:rsidRPr="00220A56">
        <w:t xml:space="preserve">sjellja e </w:t>
      </w:r>
      <w:r w:rsidR="006874F5" w:rsidRPr="00220A56">
        <w:t>kërkuesi</w:t>
      </w:r>
      <w:r w:rsidR="00225F0A" w:rsidRPr="00220A56">
        <w:t>t</w:t>
      </w:r>
      <w:r w:rsidR="006874F5" w:rsidRPr="00220A56">
        <w:t xml:space="preserve"> nuk është bërë shkak për vonesat në shqyrtimin e çështjes së tij</w:t>
      </w:r>
      <w:r w:rsidRPr="00220A56">
        <w:t>.</w:t>
      </w:r>
    </w:p>
    <w:p w:rsidR="00966EE5" w:rsidRPr="00220A56" w:rsidRDefault="00966EE5" w:rsidP="00026FB2">
      <w:pPr>
        <w:pStyle w:val="ListParagraph"/>
        <w:tabs>
          <w:tab w:val="left" w:pos="1170"/>
        </w:tabs>
        <w:jc w:val="both"/>
      </w:pPr>
    </w:p>
    <w:p w:rsidR="00966EE5" w:rsidRPr="00220A56" w:rsidRDefault="00966EE5" w:rsidP="00026FB2">
      <w:pPr>
        <w:tabs>
          <w:tab w:val="left" w:pos="1080"/>
        </w:tabs>
        <w:ind w:firstLine="720"/>
        <w:rPr>
          <w:rFonts w:eastAsia="MS Mincho"/>
          <w:i/>
        </w:rPr>
      </w:pPr>
      <w:proofErr w:type="spellStart"/>
      <w:r w:rsidRPr="00220A56">
        <w:rPr>
          <w:rFonts w:eastAsia="MS Mincho"/>
          <w:i/>
        </w:rPr>
        <w:t>ii</w:t>
      </w:r>
      <w:proofErr w:type="spellEnd"/>
      <w:r w:rsidRPr="00220A56">
        <w:rPr>
          <w:rFonts w:eastAsia="MS Mincho"/>
          <w:i/>
        </w:rPr>
        <w:t xml:space="preserve">. </w:t>
      </w:r>
      <w:proofErr w:type="spellStart"/>
      <w:r w:rsidRPr="00220A56">
        <w:rPr>
          <w:rFonts w:eastAsia="MS Mincho"/>
          <w:i/>
        </w:rPr>
        <w:t>Kompleksiteti</w:t>
      </w:r>
      <w:proofErr w:type="spellEnd"/>
      <w:r w:rsidRPr="00220A56">
        <w:rPr>
          <w:rFonts w:eastAsia="MS Mincho"/>
          <w:i/>
        </w:rPr>
        <w:t xml:space="preserve"> i çështjes</w:t>
      </w:r>
    </w:p>
    <w:p w:rsidR="00966EE5" w:rsidRPr="00220A56" w:rsidRDefault="00225F0A" w:rsidP="00026FB2">
      <w:pPr>
        <w:pStyle w:val="ListParagraph"/>
        <w:numPr>
          <w:ilvl w:val="0"/>
          <w:numId w:val="1"/>
        </w:numPr>
        <w:tabs>
          <w:tab w:val="left" w:pos="1080"/>
        </w:tabs>
        <w:ind w:left="0" w:firstLine="720"/>
        <w:jc w:val="both"/>
      </w:pPr>
      <w:r w:rsidRPr="00220A56">
        <w:t xml:space="preserve">Gjykata ka theksuar se në vlerësimin e </w:t>
      </w:r>
      <w:proofErr w:type="spellStart"/>
      <w:r w:rsidRPr="00220A56">
        <w:t>kompleksitetit</w:t>
      </w:r>
      <w:proofErr w:type="spellEnd"/>
      <w:r w:rsidRPr="00220A56">
        <w:t xml:space="preserve"> të çështjes marrin rëndësi të gjitha aspektet e saj, përfshirë objekti, faktet e kundërshtuara, volumi dhe natyra e provave, lloji dhe ndërthurja e ligjeve të zbatueshme, si dhe numri i palëve pjesëmarrëse në proces. Kohëzgjatja e konsiderueshme e gjykimit mund të justifikohet nga </w:t>
      </w:r>
      <w:proofErr w:type="spellStart"/>
      <w:r w:rsidRPr="00220A56">
        <w:t>kompleksiteti</w:t>
      </w:r>
      <w:proofErr w:type="spellEnd"/>
      <w:r w:rsidRPr="00220A56">
        <w:t xml:space="preserve"> i çështjes</w:t>
      </w:r>
      <w:r w:rsidR="00C45280" w:rsidRPr="00220A56">
        <w:t>,</w:t>
      </w:r>
      <w:r w:rsidRPr="00220A56">
        <w:t xml:space="preserve"> sepse balancohet nga parimi i administrimit të përshtatshëm të drejtësisë </w:t>
      </w:r>
      <w:r w:rsidRPr="00220A56">
        <w:rPr>
          <w:i/>
        </w:rPr>
        <w:t>(</w:t>
      </w:r>
      <w:r w:rsidRPr="00220A56">
        <w:rPr>
          <w:i/>
          <w:iCs/>
        </w:rPr>
        <w:t>shih vendimet nr. 35, datë 01.11.2021; nr. 33, datë 01.11.2021; nr. 16, datë 16.03.2021 të Gjykatës Kushtetuese</w:t>
      </w:r>
      <w:r w:rsidR="000B4AB6" w:rsidRPr="00220A56">
        <w:rPr>
          <w:i/>
        </w:rPr>
        <w:t>)</w:t>
      </w:r>
      <w:r w:rsidR="00966EE5" w:rsidRPr="00220A56">
        <w:rPr>
          <w:iCs/>
        </w:rPr>
        <w:t>.</w:t>
      </w:r>
    </w:p>
    <w:p w:rsidR="000407C2" w:rsidRPr="00220A56" w:rsidRDefault="00966EE5" w:rsidP="00026FB2">
      <w:pPr>
        <w:pStyle w:val="ListParagraph"/>
        <w:numPr>
          <w:ilvl w:val="0"/>
          <w:numId w:val="1"/>
        </w:numPr>
        <w:tabs>
          <w:tab w:val="left" w:pos="1080"/>
        </w:tabs>
        <w:ind w:left="0" w:firstLine="720"/>
        <w:jc w:val="both"/>
      </w:pPr>
      <w:r w:rsidRPr="00220A56">
        <w:t xml:space="preserve">Në rastin konkret, </w:t>
      </w:r>
      <w:r w:rsidR="000407C2" w:rsidRPr="00220A56">
        <w:t xml:space="preserve">Gjykata vëren se sipas informacionit të paraqitur për çështjen nga Gjykata Administrative e Apelit, ankimi i kërkuesit është regjistruar në këtë gjykatë në datën 09.09.2016 dhe fillimisht është caktuar si relator i çështjes gjyqtari </w:t>
      </w:r>
      <w:proofErr w:type="spellStart"/>
      <w:r w:rsidR="000407C2" w:rsidRPr="00220A56">
        <w:t>B.Sh</w:t>
      </w:r>
      <w:proofErr w:type="spellEnd"/>
      <w:r w:rsidR="000407C2" w:rsidRPr="00220A56">
        <w:t>.</w:t>
      </w:r>
      <w:r w:rsidR="00CA3F89" w:rsidRPr="00220A56">
        <w:t xml:space="preserve">, i cili është shkarkuar nga detyra në datën 25.03.2021 me vendim të KPK-së. Pas procedurës së </w:t>
      </w:r>
      <w:proofErr w:type="spellStart"/>
      <w:r w:rsidR="00CA3F89" w:rsidRPr="00220A56">
        <w:t>rishortimit</w:t>
      </w:r>
      <w:proofErr w:type="spellEnd"/>
      <w:r w:rsidR="00CA3F89" w:rsidRPr="00220A56">
        <w:t xml:space="preserve">, si </w:t>
      </w:r>
      <w:proofErr w:type="spellStart"/>
      <w:r w:rsidR="00CA3F89" w:rsidRPr="00220A56">
        <w:t>relatore</w:t>
      </w:r>
      <w:proofErr w:type="spellEnd"/>
      <w:r w:rsidR="00CA3F89" w:rsidRPr="00220A56">
        <w:t xml:space="preserve"> e çështjes është caktuar gjyqtarja A.G., e cila është shkarkuar nga detyra në datën 23.11.2021</w:t>
      </w:r>
      <w:r w:rsidR="0052675C" w:rsidRPr="00220A56">
        <w:t>,</w:t>
      </w:r>
      <w:r w:rsidR="00CA3F89" w:rsidRPr="00220A56">
        <w:t xml:space="preserve"> me vendim të KPA-së. Më pas, çështja i ka kaluar gjyqtares B.H. dhe deri në </w:t>
      </w:r>
      <w:r w:rsidR="0052675C" w:rsidRPr="00220A56">
        <w:t>datën 28.12.2021 nga</w:t>
      </w:r>
      <w:r w:rsidR="00CA3F89" w:rsidRPr="00220A56">
        <w:t xml:space="preserve"> Gjykata Administrative e Apelit nuk rezulton të </w:t>
      </w:r>
      <w:r w:rsidR="0052675C" w:rsidRPr="00220A56">
        <w:t>j</w:t>
      </w:r>
      <w:r w:rsidR="00CA3F89" w:rsidRPr="00220A56">
        <w:t>e</w:t>
      </w:r>
      <w:r w:rsidR="0052675C" w:rsidRPr="00220A56">
        <w:t>n</w:t>
      </w:r>
      <w:r w:rsidR="00CA3F89" w:rsidRPr="00220A56">
        <w:t xml:space="preserve">ë kryer veprime të tjera për çështjen </w:t>
      </w:r>
      <w:r w:rsidR="00CA3F89" w:rsidRPr="00220A56">
        <w:rPr>
          <w:i/>
        </w:rPr>
        <w:t>(shih paragrafin 8 të këtij vendimi)</w:t>
      </w:r>
      <w:r w:rsidR="00CA3F89" w:rsidRPr="00220A56">
        <w:t>.</w:t>
      </w:r>
    </w:p>
    <w:p w:rsidR="00681C76" w:rsidRPr="00220A56" w:rsidRDefault="00296539" w:rsidP="00026FB2">
      <w:pPr>
        <w:pStyle w:val="ListParagraph"/>
        <w:numPr>
          <w:ilvl w:val="0"/>
          <w:numId w:val="1"/>
        </w:numPr>
        <w:tabs>
          <w:tab w:val="left" w:pos="1080"/>
        </w:tabs>
        <w:ind w:left="0" w:firstLine="720"/>
        <w:jc w:val="both"/>
      </w:pPr>
      <w:r w:rsidRPr="00220A56">
        <w:t xml:space="preserve">Gjykata konstaton se </w:t>
      </w:r>
      <w:r w:rsidR="00966EE5" w:rsidRPr="00220A56">
        <w:t xml:space="preserve">mosmarrëveshja objekt gjykimi është e natyrës administrative, </w:t>
      </w:r>
      <w:r w:rsidRPr="00220A56">
        <w:t>që rregullohet nga ligji nr. 49/2012</w:t>
      </w:r>
      <w:r w:rsidR="000D0305" w:rsidRPr="00220A56">
        <w:t>. Gjykimi në shkallë të parë është zhvilluar në seancë gjyqësore publike</w:t>
      </w:r>
      <w:r w:rsidR="0051166B" w:rsidRPr="00220A56">
        <w:t xml:space="preserve"> dhe, krahas kërkuesit, </w:t>
      </w:r>
      <w:r w:rsidR="000D0305" w:rsidRPr="00220A56">
        <w:t>në gjykim janë thirrur</w:t>
      </w:r>
      <w:r w:rsidR="0051166B" w:rsidRPr="00220A56">
        <w:t xml:space="preserve"> </w:t>
      </w:r>
      <w:r w:rsidR="000D0305" w:rsidRPr="00220A56">
        <w:t>ZRPP-ja, Fier, si per</w:t>
      </w:r>
      <w:r w:rsidR="0051166B" w:rsidRPr="00220A56">
        <w:t>son i paditu</w:t>
      </w:r>
      <w:r w:rsidR="000D0305" w:rsidRPr="00220A56">
        <w:t>r</w:t>
      </w:r>
      <w:r w:rsidR="0051166B" w:rsidRPr="00220A56">
        <w:t xml:space="preserve">, si dhe </w:t>
      </w:r>
      <w:r w:rsidR="000D0305" w:rsidRPr="00220A56">
        <w:t xml:space="preserve">bashkia </w:t>
      </w:r>
      <w:r w:rsidR="0051166B" w:rsidRPr="00220A56">
        <w:t>Fier</w:t>
      </w:r>
      <w:r w:rsidR="000D0305" w:rsidRPr="00220A56">
        <w:t xml:space="preserve"> </w:t>
      </w:r>
      <w:r w:rsidR="0051166B" w:rsidRPr="00220A56">
        <w:t xml:space="preserve">e Avokatura e Shtetit, zyra vendore Vlorë, </w:t>
      </w:r>
      <w:r w:rsidR="000D0305" w:rsidRPr="00220A56">
        <w:t>si person</w:t>
      </w:r>
      <w:r w:rsidR="0051166B" w:rsidRPr="00220A56">
        <w:t>a</w:t>
      </w:r>
      <w:r w:rsidR="000D0305" w:rsidRPr="00220A56">
        <w:t xml:space="preserve"> </w:t>
      </w:r>
      <w:r w:rsidR="0051166B" w:rsidRPr="00220A56">
        <w:t>të</w:t>
      </w:r>
      <w:r w:rsidR="000D0305" w:rsidRPr="00220A56">
        <w:t xml:space="preserve"> tretë. </w:t>
      </w:r>
      <w:r w:rsidR="00966EE5" w:rsidRPr="00220A56">
        <w:t xml:space="preserve">Po kështu, </w:t>
      </w:r>
      <w:r w:rsidR="00C274BC" w:rsidRPr="00220A56">
        <w:t xml:space="preserve">Gjykata konstaton se </w:t>
      </w:r>
      <w:r w:rsidR="004C78FE" w:rsidRPr="00220A56">
        <w:t xml:space="preserve">procedurat përpara Gjykatës Administrative të Shkallës së Parë Vlorë kanë zgjatur përafërsisht 3 muaj e gjysmë, si dhe se </w:t>
      </w:r>
      <w:r w:rsidR="00C5475F" w:rsidRPr="00220A56">
        <w:t xml:space="preserve">Gjykata Administrative e Apelit është vënë në lëvizje </w:t>
      </w:r>
      <w:r w:rsidR="00CC27D1" w:rsidRPr="00220A56">
        <w:t>për</w:t>
      </w:r>
      <w:r w:rsidR="00C5475F" w:rsidRPr="00220A56">
        <w:t xml:space="preserve"> ankimin e kërkuesit, në cilësinë e palës paditëse</w:t>
      </w:r>
      <w:r w:rsidR="00681C76" w:rsidRPr="00220A56">
        <w:t>.</w:t>
      </w:r>
    </w:p>
    <w:p w:rsidR="00966EE5" w:rsidRPr="00220A56" w:rsidRDefault="004C78FE" w:rsidP="00026FB2">
      <w:pPr>
        <w:pStyle w:val="ListParagraph"/>
        <w:numPr>
          <w:ilvl w:val="0"/>
          <w:numId w:val="1"/>
        </w:numPr>
        <w:tabs>
          <w:tab w:val="left" w:pos="1080"/>
        </w:tabs>
        <w:ind w:left="0" w:firstLine="720"/>
        <w:jc w:val="both"/>
      </w:pPr>
      <w:r w:rsidRPr="00220A56">
        <w:t>Për sa më lart</w:t>
      </w:r>
      <w:r w:rsidR="00296539" w:rsidRPr="00220A56">
        <w:t xml:space="preserve">, Gjykata </w:t>
      </w:r>
      <w:r w:rsidR="00681C76" w:rsidRPr="00220A56">
        <w:t>çmon</w:t>
      </w:r>
      <w:r w:rsidR="00296539" w:rsidRPr="00220A56">
        <w:t xml:space="preserve"> se kjo çështje nuk paraqet rrethana të veçanta ose kompleks</w:t>
      </w:r>
      <w:r w:rsidR="00CC27D1" w:rsidRPr="00220A56">
        <w:t>e që mund të justifikojnë vonesat</w:t>
      </w:r>
      <w:r w:rsidR="00296539" w:rsidRPr="00220A56">
        <w:t xml:space="preserve"> </w:t>
      </w:r>
      <w:r w:rsidR="00681C76" w:rsidRPr="00220A56">
        <w:t xml:space="preserve">në gjykimit në shkallë të dytë prej </w:t>
      </w:r>
      <w:r w:rsidR="00F11FE8" w:rsidRPr="00220A56">
        <w:t>rreth</w:t>
      </w:r>
      <w:r w:rsidR="00681C76" w:rsidRPr="00220A56">
        <w:t xml:space="preserve"> </w:t>
      </w:r>
      <w:r w:rsidR="00F11FE8" w:rsidRPr="00220A56">
        <w:t>5</w:t>
      </w:r>
      <w:r w:rsidR="00681C76" w:rsidRPr="00220A56">
        <w:t xml:space="preserve"> v</w:t>
      </w:r>
      <w:r w:rsidR="00CC27D1" w:rsidRPr="00220A56">
        <w:t>jetësh</w:t>
      </w:r>
      <w:r w:rsidR="00681C76" w:rsidRPr="00220A56">
        <w:t xml:space="preserve"> e </w:t>
      </w:r>
      <w:r w:rsidR="00F11FE8" w:rsidRPr="00220A56">
        <w:t>6</w:t>
      </w:r>
      <w:r w:rsidR="00681C76" w:rsidRPr="00220A56">
        <w:t xml:space="preserve"> muaj</w:t>
      </w:r>
      <w:r w:rsidR="00966EE5" w:rsidRPr="00220A56">
        <w:t>.</w:t>
      </w:r>
    </w:p>
    <w:p w:rsidR="00966EE5" w:rsidRPr="00220A56" w:rsidRDefault="00966EE5" w:rsidP="00026FB2">
      <w:pPr>
        <w:pStyle w:val="ListParagraph"/>
        <w:tabs>
          <w:tab w:val="left" w:pos="1080"/>
        </w:tabs>
        <w:jc w:val="both"/>
      </w:pPr>
    </w:p>
    <w:p w:rsidR="00966EE5" w:rsidRPr="00220A56" w:rsidRDefault="00A57B80" w:rsidP="00A57B80">
      <w:pPr>
        <w:tabs>
          <w:tab w:val="left" w:pos="720"/>
        </w:tabs>
        <w:rPr>
          <w:rFonts w:eastAsia="MS Mincho"/>
          <w:i/>
        </w:rPr>
      </w:pPr>
      <w:r w:rsidRPr="00220A56">
        <w:rPr>
          <w:rFonts w:eastAsia="MS Mincho"/>
          <w:i/>
        </w:rPr>
        <w:tab/>
      </w:r>
      <w:proofErr w:type="spellStart"/>
      <w:r w:rsidR="00614B8E" w:rsidRPr="00220A56">
        <w:rPr>
          <w:rFonts w:eastAsia="MS Mincho"/>
          <w:i/>
        </w:rPr>
        <w:t>iii</w:t>
      </w:r>
      <w:proofErr w:type="spellEnd"/>
      <w:r w:rsidR="00966EE5" w:rsidRPr="00220A56">
        <w:rPr>
          <w:rFonts w:eastAsia="MS Mincho"/>
          <w:i/>
        </w:rPr>
        <w:t xml:space="preserve">. Sjellja e autoriteteve </w:t>
      </w:r>
    </w:p>
    <w:p w:rsidR="00966EE5" w:rsidRPr="00220A56" w:rsidRDefault="00966EE5" w:rsidP="00026FB2">
      <w:pPr>
        <w:pStyle w:val="ListParagraph"/>
        <w:numPr>
          <w:ilvl w:val="0"/>
          <w:numId w:val="1"/>
        </w:numPr>
        <w:tabs>
          <w:tab w:val="left" w:pos="1080"/>
        </w:tabs>
        <w:ind w:left="0" w:firstLine="720"/>
        <w:jc w:val="both"/>
      </w:pPr>
      <w:r w:rsidRPr="00220A56">
        <w:rPr>
          <w:rFonts w:eastAsia="MS Mincho"/>
        </w:rPr>
        <w:t>Gjykata ka theksuar se neni 42 i Kushtetutës, si dhe neni 6 i KEDNJ-së vendosin detyrimin për organizimin e sistemit ligjor të vendit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w:t>
      </w:r>
      <w:r w:rsidR="00183F48" w:rsidRPr="00220A56">
        <w:rPr>
          <w:rFonts w:eastAsia="MS Mincho"/>
        </w:rPr>
        <w:t>tojnë çdo vonesë të panevojshme</w:t>
      </w:r>
      <w:r w:rsidRPr="00220A56">
        <w:t xml:space="preserve"> </w:t>
      </w:r>
      <w:r w:rsidRPr="00220A56">
        <w:rPr>
          <w:i/>
        </w:rPr>
        <w:t xml:space="preserve">(shih </w:t>
      </w:r>
      <w:r w:rsidR="00296539" w:rsidRPr="00220A56">
        <w:rPr>
          <w:i/>
          <w:iCs/>
        </w:rPr>
        <w:t xml:space="preserve">vendimet nr. 37, datë 05.11.2021; </w:t>
      </w:r>
      <w:r w:rsidR="00296539" w:rsidRPr="00220A56">
        <w:rPr>
          <w:bCs/>
          <w:i/>
        </w:rPr>
        <w:t>nr. 35, datë 01.11.2021; nr. 34, datë 01.11.2021</w:t>
      </w:r>
      <w:r w:rsidRPr="00220A56">
        <w:rPr>
          <w:i/>
        </w:rPr>
        <w:t xml:space="preserve"> të Gjykatës Kushtetuese)</w:t>
      </w:r>
      <w:r w:rsidRPr="00220A56">
        <w:t>.</w:t>
      </w:r>
    </w:p>
    <w:p w:rsidR="00253BD2" w:rsidRPr="00220A56" w:rsidRDefault="00CA3F89" w:rsidP="00CA3F89">
      <w:pPr>
        <w:pStyle w:val="ListParagraph"/>
        <w:numPr>
          <w:ilvl w:val="0"/>
          <w:numId w:val="1"/>
        </w:numPr>
        <w:tabs>
          <w:tab w:val="left" w:pos="1080"/>
        </w:tabs>
        <w:ind w:left="0" w:firstLine="720"/>
        <w:jc w:val="both"/>
      </w:pPr>
      <w:r w:rsidRPr="00220A56">
        <w:rPr>
          <w:bCs/>
        </w:rPr>
        <w:t>P</w:t>
      </w:r>
      <w:r w:rsidR="00253BD2" w:rsidRPr="00220A56">
        <w:rPr>
          <w:bCs/>
        </w:rPr>
        <w:t>ër sa i përket pretendim</w:t>
      </w:r>
      <w:r w:rsidR="00BD6443" w:rsidRPr="00220A56">
        <w:rPr>
          <w:bCs/>
        </w:rPr>
        <w:t>it</w:t>
      </w:r>
      <w:r w:rsidR="00CC27D1" w:rsidRPr="00220A56">
        <w:rPr>
          <w:bCs/>
        </w:rPr>
        <w:t xml:space="preserve"> për cenimin e s</w:t>
      </w:r>
      <w:r w:rsidR="00253BD2" w:rsidRPr="00220A56">
        <w:rPr>
          <w:bCs/>
        </w:rPr>
        <w:t xml:space="preserve">ë drejtës </w:t>
      </w:r>
      <w:r w:rsidR="00F15BCF" w:rsidRPr="00220A56">
        <w:rPr>
          <w:bCs/>
        </w:rPr>
        <w:t>së mbrojtjes</w:t>
      </w:r>
      <w:r w:rsidR="00253BD2" w:rsidRPr="00220A56">
        <w:rPr>
          <w:bCs/>
        </w:rPr>
        <w:t xml:space="preserve">, për shkak se </w:t>
      </w:r>
      <w:proofErr w:type="spellStart"/>
      <w:r w:rsidR="00253BD2" w:rsidRPr="00220A56">
        <w:rPr>
          <w:bCs/>
        </w:rPr>
        <w:t>relatorja</w:t>
      </w:r>
      <w:proofErr w:type="spellEnd"/>
      <w:r w:rsidR="00253BD2" w:rsidRPr="00220A56">
        <w:rPr>
          <w:bCs/>
        </w:rPr>
        <w:t xml:space="preserve"> në Gjykatën Administrative të Apelit nuk e ka informuar për informacionin që i ka dërguar Gjykatës së Lartë për ecurinë e çështjes së tij, si dhe se ky informacion nuk i është vënë në dispozicion as nga Gjykata e Lartë, Gjykata evidenton se me shkresën nr. 1672 </w:t>
      </w:r>
      <w:proofErr w:type="spellStart"/>
      <w:r w:rsidR="00253BD2" w:rsidRPr="00220A56">
        <w:rPr>
          <w:bCs/>
        </w:rPr>
        <w:t>prot</w:t>
      </w:r>
      <w:proofErr w:type="spellEnd"/>
      <w:r w:rsidR="00253BD2" w:rsidRPr="00220A56">
        <w:rPr>
          <w:bCs/>
        </w:rPr>
        <w:t>., datë 21.05.2021 të Gjykatës së Lartë, bazuar në nenin 399/7 të KPC-së</w:t>
      </w:r>
      <w:r w:rsidR="00CC27D1" w:rsidRPr="00220A56">
        <w:rPr>
          <w:bCs/>
        </w:rPr>
        <w:t>,</w:t>
      </w:r>
      <w:r w:rsidR="00253BD2" w:rsidRPr="00220A56">
        <w:rPr>
          <w:bCs/>
        </w:rPr>
        <w:t xml:space="preserve"> është marrë mendimi me shkrim i gjyqtares </w:t>
      </w:r>
      <w:proofErr w:type="spellStart"/>
      <w:r w:rsidR="00253BD2" w:rsidRPr="00220A56">
        <w:rPr>
          <w:bCs/>
        </w:rPr>
        <w:t>relatore</w:t>
      </w:r>
      <w:proofErr w:type="spellEnd"/>
      <w:r w:rsidR="00253BD2" w:rsidRPr="00220A56">
        <w:rPr>
          <w:bCs/>
        </w:rPr>
        <w:t>. Në ndryshim nga sa pretendon kërkuesi, Gjykata e Lartë nuk ka detyrim ligjor që, me nismën e saj, t’i njoftojë këtë mendim me shkr</w:t>
      </w:r>
      <w:r w:rsidR="00CC27D1" w:rsidRPr="00220A56">
        <w:rPr>
          <w:bCs/>
        </w:rPr>
        <w:t>im kërkuesit, megjithatë a</w:t>
      </w:r>
      <w:r w:rsidR="00253BD2" w:rsidRPr="00220A56">
        <w:rPr>
          <w:bCs/>
        </w:rPr>
        <w:t xml:space="preserve">i ka të drejtë të njihet me aktet në dosje, të drejtë të cilën mund ta ushtrojë ose duke paraqitur kërkesë pranë gjykatës që ka aktet e çështjes, ose duke u paraqitur fizikisht atje. Në kushtet kur nuk provohet që një e drejtë e tillë t’i jetë mohuar, </w:t>
      </w:r>
      <w:r w:rsidR="0040465E" w:rsidRPr="00220A56">
        <w:rPr>
          <w:bCs/>
        </w:rPr>
        <w:t>Gjykata vlerëson</w:t>
      </w:r>
      <w:r w:rsidR="00253BD2" w:rsidRPr="00220A56">
        <w:rPr>
          <w:bCs/>
        </w:rPr>
        <w:t xml:space="preserve"> se pretendimi i tij për sjelljen e Gjykatës së Lartë në këtë drejtim</w:t>
      </w:r>
      <w:r w:rsidR="00CC27D1" w:rsidRPr="00220A56">
        <w:rPr>
          <w:bCs/>
        </w:rPr>
        <w:t xml:space="preserve"> nuk qëndron</w:t>
      </w:r>
      <w:r w:rsidR="00253BD2" w:rsidRPr="00220A56">
        <w:rPr>
          <w:bCs/>
        </w:rPr>
        <w:t xml:space="preserve">. </w:t>
      </w:r>
    </w:p>
    <w:p w:rsidR="00E236E6" w:rsidRPr="00220A56" w:rsidRDefault="00460BF3" w:rsidP="00026FB2">
      <w:pPr>
        <w:pStyle w:val="ListParagraph"/>
        <w:numPr>
          <w:ilvl w:val="0"/>
          <w:numId w:val="1"/>
        </w:numPr>
        <w:tabs>
          <w:tab w:val="left" w:pos="1080"/>
        </w:tabs>
        <w:ind w:left="0" w:firstLine="720"/>
        <w:jc w:val="both"/>
      </w:pPr>
      <w:r w:rsidRPr="00220A56">
        <w:t xml:space="preserve">Në drejtim të pretendimeve </w:t>
      </w:r>
      <w:r w:rsidR="00D12545" w:rsidRPr="00220A56">
        <w:t>për kohëzgjatjen e shqyrtimit të çështjes nga Gjykata Administrative e Apelit</w:t>
      </w:r>
      <w:r w:rsidR="00F11FE8" w:rsidRPr="00220A56">
        <w:t xml:space="preserve">, Gjykata vëren se gjykimi administrativ i ankimit të </w:t>
      </w:r>
      <w:r w:rsidRPr="00220A56">
        <w:t>kërkuesit</w:t>
      </w:r>
      <w:r w:rsidR="00F11FE8" w:rsidRPr="00220A56">
        <w:t xml:space="preserve"> vazhdon prej rreth 5 v</w:t>
      </w:r>
      <w:r w:rsidR="00CC27D1" w:rsidRPr="00220A56">
        <w:t>jetësh</w:t>
      </w:r>
      <w:r w:rsidR="00F11FE8" w:rsidRPr="00220A56">
        <w:t xml:space="preserve"> e 6 muaj pa vendimmarrje në shkallë të dytë, ndonëse ligjvënësi i ka përcaktuar gjykimet administrative si të shpejta, duke parashikuar afate të shkurtra procedurale në ligjin nr. 49/2012 (</w:t>
      </w:r>
      <w:r w:rsidR="00F11FE8" w:rsidRPr="00220A56">
        <w:rPr>
          <w:i/>
        </w:rPr>
        <w:t>shih paragrafin 3</w:t>
      </w:r>
      <w:r w:rsidR="00133283" w:rsidRPr="00220A56">
        <w:rPr>
          <w:i/>
        </w:rPr>
        <w:t>7</w:t>
      </w:r>
      <w:r w:rsidR="00F11FE8" w:rsidRPr="00220A56">
        <w:rPr>
          <w:i/>
        </w:rPr>
        <w:t xml:space="preserve"> të këtij vendimi</w:t>
      </w:r>
      <w:r w:rsidR="00F11FE8" w:rsidRPr="00220A56">
        <w:t xml:space="preserve">). Kohëzgjatja e gjykimit administrativ </w:t>
      </w:r>
      <w:r w:rsidR="00796569" w:rsidRPr="00220A56">
        <w:t xml:space="preserve">e ka vënë </w:t>
      </w:r>
      <w:r w:rsidR="00F11FE8" w:rsidRPr="00220A56">
        <w:t>kërkuesi</w:t>
      </w:r>
      <w:r w:rsidR="00796569" w:rsidRPr="00220A56">
        <w:t>n</w:t>
      </w:r>
      <w:r w:rsidR="00F11FE8" w:rsidRPr="00220A56">
        <w:t xml:space="preserve"> në pamundësi për të ushtruar lirisht të drejtën e pronës, të përfituar përmes vendimit nr. 132/1996 të KKKP-së.</w:t>
      </w:r>
    </w:p>
    <w:p w:rsidR="00610E77" w:rsidRPr="00220A56" w:rsidRDefault="00610E77" w:rsidP="00026FB2">
      <w:pPr>
        <w:pStyle w:val="ListParagraph"/>
        <w:numPr>
          <w:ilvl w:val="0"/>
          <w:numId w:val="1"/>
        </w:numPr>
        <w:tabs>
          <w:tab w:val="left" w:pos="1080"/>
        </w:tabs>
        <w:ind w:left="0" w:firstLine="720"/>
        <w:jc w:val="both"/>
      </w:pPr>
      <w:r w:rsidRPr="00220A56">
        <w:t xml:space="preserve">Kërkuesi ka parashtruar se </w:t>
      </w:r>
      <w:r w:rsidR="00F300ED" w:rsidRPr="00220A56">
        <w:t xml:space="preserve">Gjykata e Lartë e ka mbështetur arsyetimin e vonesës së gjykimit të çështjes së tij, ndër të tjera, me ngarkesën e gjykatave, por kjo nuk mund të justifikojë cenimin e </w:t>
      </w:r>
      <w:r w:rsidR="00CC27D1" w:rsidRPr="00220A56">
        <w:t>s</w:t>
      </w:r>
      <w:r w:rsidR="00F300ED" w:rsidRPr="00220A56">
        <w:t>ë drejtës kushtetuese të tij</w:t>
      </w:r>
      <w:r w:rsidRPr="00220A56">
        <w:t>. Ndërsa</w:t>
      </w:r>
      <w:r w:rsidR="00CC27D1" w:rsidRPr="00220A56">
        <w:t>,</w:t>
      </w:r>
      <w:r w:rsidRPr="00220A56">
        <w:t xml:space="preserve"> subjekti i interesuar</w:t>
      </w:r>
      <w:r w:rsidR="00CC27D1" w:rsidRPr="00220A56">
        <w:t>, Avokatura e Shtetit,</w:t>
      </w:r>
      <w:r w:rsidRPr="00220A56">
        <w:t xml:space="preserve"> ka prapësuar se vonesa në </w:t>
      </w:r>
      <w:r w:rsidR="002E5647" w:rsidRPr="00220A56">
        <w:t>gjykimin e çështjes së kërkuesit</w:t>
      </w:r>
      <w:r w:rsidRPr="00220A56">
        <w:t xml:space="preserve"> lidhet me ngarkesën e gjykatave për shkak të reformimit të sistemit të drejtësisë, që është një faktor që duhet marrë në konsideratë nga Gjykata, ashtu siç është vlerësuar edhe nga Gjykata e Lartë.</w:t>
      </w:r>
    </w:p>
    <w:p w:rsidR="00610E77" w:rsidRPr="00220A56" w:rsidRDefault="00F4204F" w:rsidP="00026FB2">
      <w:pPr>
        <w:pStyle w:val="ListParagraph"/>
        <w:numPr>
          <w:ilvl w:val="0"/>
          <w:numId w:val="1"/>
        </w:numPr>
        <w:tabs>
          <w:tab w:val="left" w:pos="1080"/>
        </w:tabs>
        <w:ind w:left="0" w:firstLine="720"/>
        <w:jc w:val="both"/>
      </w:pPr>
      <w:r w:rsidRPr="00220A56">
        <w:rPr>
          <w:iCs/>
        </w:rPr>
        <w:t>Për sa i takon këtij argumenti, Gjykata e Lartë, në vendimin për rrëzimin e kërkesës për përshpej</w:t>
      </w:r>
      <w:r w:rsidR="002E5647" w:rsidRPr="00220A56">
        <w:rPr>
          <w:iCs/>
        </w:rPr>
        <w:t>timin e procedurave të kërkuesit</w:t>
      </w:r>
      <w:r w:rsidRPr="00220A56">
        <w:rPr>
          <w:iCs/>
        </w:rPr>
        <w:t xml:space="preserve">, </w:t>
      </w:r>
      <w:r w:rsidRPr="00220A56">
        <w:t>ka vlerësuar se ndonëse “</w:t>
      </w:r>
      <w:r w:rsidRPr="00220A56">
        <w:rPr>
          <w:i/>
        </w:rPr>
        <w:t>çështja e ka kaluar afatin e shqyrtimit në Gjykatën Administrative të Apelit, siç përcaktohet në nenin 399/2, pika 1, shkronja “a”, të KPC-së (1 vit), pasi nga</w:t>
      </w:r>
      <w:r w:rsidRPr="00220A56">
        <w:t xml:space="preserve"> </w:t>
      </w:r>
      <w:r w:rsidRPr="00220A56">
        <w:rPr>
          <w:i/>
        </w:rPr>
        <w:t>regjistrimi i çështjes në  Gjykatën Administ</w:t>
      </w:r>
      <w:r w:rsidR="00237EC3" w:rsidRPr="00220A56">
        <w:rPr>
          <w:i/>
        </w:rPr>
        <w:t>r</w:t>
      </w:r>
      <w:r w:rsidRPr="00220A56">
        <w:rPr>
          <w:i/>
        </w:rPr>
        <w:t xml:space="preserve">ative të Apelit dhe deri në paraqitjen e </w:t>
      </w:r>
      <w:r w:rsidR="00335F59" w:rsidRPr="00220A56">
        <w:rPr>
          <w:i/>
        </w:rPr>
        <w:t xml:space="preserve">kësaj </w:t>
      </w:r>
      <w:r w:rsidRPr="00220A56">
        <w:rPr>
          <w:i/>
        </w:rPr>
        <w:t>kërkes</w:t>
      </w:r>
      <w:r w:rsidR="00335F59" w:rsidRPr="00220A56">
        <w:rPr>
          <w:i/>
        </w:rPr>
        <w:t>e</w:t>
      </w:r>
      <w:r w:rsidRPr="00220A56">
        <w:rPr>
          <w:i/>
        </w:rPr>
        <w:t xml:space="preserve"> ka kaluar një kohë prej rreth 4 vitesh</w:t>
      </w:r>
      <w:r w:rsidRPr="00220A56">
        <w:t>”, mosveprimi i gjykatës  “</w:t>
      </w:r>
      <w:r w:rsidRPr="00220A56">
        <w:rPr>
          <w:bCs/>
          <w:i/>
        </w:rPr>
        <w:t>nuk ka ndodhur për shkaqe subjektive, që lidhen me vlerësime dhe qëndrime abuzive të gjyqtarit</w:t>
      </w:r>
      <w:r w:rsidRPr="00220A56">
        <w:rPr>
          <w:bCs/>
        </w:rPr>
        <w:t>”. Në arsyetimin e vendimit, Gjykata e Lartë ka interpretuar konceptin “</w:t>
      </w:r>
      <w:r w:rsidRPr="00220A56">
        <w:rPr>
          <w:bCs/>
          <w:i/>
        </w:rPr>
        <w:t>pamundësi objektive</w:t>
      </w:r>
      <w:r w:rsidRPr="00220A56">
        <w:rPr>
          <w:bCs/>
        </w:rPr>
        <w:t>” të nenit</w:t>
      </w:r>
      <w:r w:rsidRPr="00220A56">
        <w:rPr>
          <w:iCs/>
        </w:rPr>
        <w:t xml:space="preserve"> </w:t>
      </w:r>
      <w:r w:rsidR="00CC27D1" w:rsidRPr="00220A56">
        <w:t>399/2</w:t>
      </w:r>
      <w:r w:rsidRPr="00220A56">
        <w:t xml:space="preserve"> të KPC-së, duke përfshirë në të gjendjen e sistemit të drejtësisë për shkak të reformimit të tij, që ka shkaktuar uljen e numrit të gjyqtarëve dhe rritjen e ngarkesës së punës në gjykata</w:t>
      </w:r>
      <w:r w:rsidR="00CC27D1" w:rsidRPr="00220A56">
        <w:t>, si</w:t>
      </w:r>
      <w:r w:rsidRPr="00220A56">
        <w:t xml:space="preserve"> dhe ka </w:t>
      </w:r>
      <w:proofErr w:type="spellStart"/>
      <w:r w:rsidRPr="00220A56">
        <w:t>konkluduar</w:t>
      </w:r>
      <w:proofErr w:type="spellEnd"/>
      <w:r w:rsidRPr="00220A56">
        <w:t xml:space="preserve"> se vonesat për shkak të reformës, nuk duhet të llogariten në kohëzgjatjen e gjykimit (</w:t>
      </w:r>
      <w:r w:rsidRPr="00220A56">
        <w:rPr>
          <w:i/>
        </w:rPr>
        <w:t>shih paragrafët 20, 26 dhe 27 të vendimit të Gjykatës së Lartë</w:t>
      </w:r>
      <w:r w:rsidRPr="00220A56">
        <w:t>)</w:t>
      </w:r>
      <w:r w:rsidR="00610E77" w:rsidRPr="00220A56">
        <w:t>.</w:t>
      </w:r>
    </w:p>
    <w:p w:rsidR="00F4204F" w:rsidRPr="00220A56" w:rsidRDefault="00F4204F" w:rsidP="00026FB2">
      <w:pPr>
        <w:pStyle w:val="ListParagraph"/>
        <w:numPr>
          <w:ilvl w:val="0"/>
          <w:numId w:val="1"/>
        </w:numPr>
        <w:tabs>
          <w:tab w:val="left" w:pos="1080"/>
        </w:tabs>
        <w:ind w:left="0" w:firstLine="720"/>
        <w:jc w:val="both"/>
      </w:pPr>
      <w:r w:rsidRPr="00220A56">
        <w:t>Gjykata rithekson se interpretimi i ligj</w:t>
      </w:r>
      <w:r w:rsidR="00CC27D1" w:rsidRPr="00220A56">
        <w:t>it dhe zbatimi i tij në çështjen</w:t>
      </w:r>
      <w:r w:rsidRPr="00220A56">
        <w:t xml:space="preserve"> konkrete, si dhe vlerësimi i fakteve dhe rrethanave</w:t>
      </w:r>
      <w:r w:rsidR="00CC27D1" w:rsidRPr="00220A56">
        <w:t>,</w:t>
      </w:r>
      <w:r w:rsidRPr="00220A56">
        <w:t xml:space="preserve"> janë çështje që ndajnë juridiksionin e gjykatave të zakonshme nga juridiksioni kushtetues. Megjithatë, Gjykata ndërhyn në ato raste, kur, gjykatat e juridiksionit të zakonshëm, përmes interpretimit dhe zbatimit të ligjit në një çështje konkrete</w:t>
      </w:r>
      <w:r w:rsidR="00CC27D1" w:rsidRPr="00220A56">
        <w:t>,</w:t>
      </w:r>
      <w:r w:rsidRPr="00220A56">
        <w:t xml:space="preserve"> kanë cenuar të drejtat kushtetuese të palëve. Në këto raste, Gjykata nuk bën rivlerësimin e fakteve e të rrethanave, por një vlerësim të natyrës kushtetuese, të dallueshëm nga ai i gjykatave të juridiksionit të zakonshëm </w:t>
      </w:r>
      <w:r w:rsidRPr="00220A56">
        <w:rPr>
          <w:i/>
        </w:rPr>
        <w:t>(shih vendim</w:t>
      </w:r>
      <w:r w:rsidR="007172F5" w:rsidRPr="00220A56">
        <w:rPr>
          <w:i/>
        </w:rPr>
        <w:t>in</w:t>
      </w:r>
      <w:r w:rsidRPr="00220A56">
        <w:rPr>
          <w:i/>
        </w:rPr>
        <w:t xml:space="preserve"> nr. </w:t>
      </w:r>
      <w:r w:rsidR="007172F5" w:rsidRPr="00220A56">
        <w:rPr>
          <w:i/>
        </w:rPr>
        <w:t>2</w:t>
      </w:r>
      <w:r w:rsidRPr="00220A56">
        <w:rPr>
          <w:i/>
        </w:rPr>
        <w:t xml:space="preserve">, </w:t>
      </w:r>
      <w:r w:rsidR="007172F5" w:rsidRPr="00220A56">
        <w:rPr>
          <w:i/>
        </w:rPr>
        <w:t>datë 17</w:t>
      </w:r>
      <w:r w:rsidRPr="00220A56">
        <w:rPr>
          <w:i/>
        </w:rPr>
        <w:t>.0</w:t>
      </w:r>
      <w:r w:rsidR="007172F5" w:rsidRPr="00220A56">
        <w:rPr>
          <w:i/>
        </w:rPr>
        <w:t>2</w:t>
      </w:r>
      <w:r w:rsidRPr="00220A56">
        <w:rPr>
          <w:i/>
        </w:rPr>
        <w:t>.20</w:t>
      </w:r>
      <w:r w:rsidR="007172F5" w:rsidRPr="00220A56">
        <w:rPr>
          <w:i/>
        </w:rPr>
        <w:t>22</w:t>
      </w:r>
      <w:r w:rsidRPr="00220A56">
        <w:rPr>
          <w:i/>
        </w:rPr>
        <w:t xml:space="preserve"> të Gjykatës Kushtetuese)</w:t>
      </w:r>
      <w:r w:rsidRPr="00220A56">
        <w:t>.</w:t>
      </w:r>
    </w:p>
    <w:p w:rsidR="00F4204F" w:rsidRPr="00220A56" w:rsidRDefault="00F4204F" w:rsidP="00026FB2">
      <w:pPr>
        <w:pStyle w:val="ListParagraph"/>
        <w:numPr>
          <w:ilvl w:val="0"/>
          <w:numId w:val="1"/>
        </w:numPr>
        <w:tabs>
          <w:tab w:val="left" w:pos="1080"/>
        </w:tabs>
        <w:ind w:left="0" w:firstLine="720"/>
        <w:jc w:val="both"/>
      </w:pPr>
      <w:r w:rsidRPr="00220A56">
        <w:t>Për sa më lart, ndonëse sipas nenit 141 të Kushtetutës, Gjykata e Lartë ka në kompetencën e saj interpretimin e ligjit, Gjykata çmon se duhet analizuar nëse inte</w:t>
      </w:r>
      <w:r w:rsidR="0001391C" w:rsidRPr="00220A56">
        <w:t>r</w:t>
      </w:r>
      <w:r w:rsidRPr="00220A56">
        <w:t>pretimi që ajo i ka bërë nenit 399/2 të KPC-së dhe zbatimi i tij në çështjen konkrete ka mbajtur në konsideratë standardet kushtetuese të procesit të rregullt ligjor, në aspektin e gjykimit brenda afatit të arsyeshëm. Në këtë kontekst, Gjykata thekson se ligjvënësi</w:t>
      </w:r>
      <w:r w:rsidR="0001391C" w:rsidRPr="00220A56">
        <w:t>,</w:t>
      </w:r>
      <w:r w:rsidRPr="00220A56">
        <w:t xml:space="preserve"> në miratimin e neneve 399/1 e vijues të KPC-së</w:t>
      </w:r>
      <w:r w:rsidR="0001391C" w:rsidRPr="00220A56">
        <w:t>,</w:t>
      </w:r>
      <w:r w:rsidRPr="00220A56">
        <w:t xml:space="preserve"> ka synuar krijimin e një mjeti juridik efektiv për t’i garantuar individit të drejtën kushtetuese të procesit të rregullt ligjor, duke i dhënë një rol specifik gjykatave të juridiksionit të zakonshëm dhe në veçanti Gjykatës së Lartë, që përmes shqyrtimit të kërkesave për përshpejtim të parandalojnë shkeljet kushtetuese në zbatim të parimit të </w:t>
      </w:r>
      <w:proofErr w:type="spellStart"/>
      <w:r w:rsidRPr="00220A56">
        <w:t>subsidiaritetit</w:t>
      </w:r>
      <w:proofErr w:type="spellEnd"/>
      <w:r w:rsidRPr="00220A56">
        <w:t>, pasi siç është pohuar në jurisprudencën kushtetuese, kontrolli i respektimit të standardeve kushtetuese është</w:t>
      </w:r>
      <w:r w:rsidR="00CC27D1" w:rsidRPr="00220A56">
        <w:t>,</w:t>
      </w:r>
      <w:r w:rsidRPr="00220A56">
        <w:t xml:space="preserve"> në radhë të parë</w:t>
      </w:r>
      <w:r w:rsidR="00CC27D1" w:rsidRPr="00220A56">
        <w:t>,</w:t>
      </w:r>
      <w:r w:rsidRPr="00220A56">
        <w:t xml:space="preserve"> funksion i gjykatave të zakonshme </w:t>
      </w:r>
      <w:r w:rsidRPr="00220A56">
        <w:rPr>
          <w:i/>
        </w:rPr>
        <w:t>(shih vendimet nr. 38, datë 02.12.2021; nr. 13, datë 09.03.2021; nr. 11, datë 16.04.2018 të Gjykatës Kushtetuese)</w:t>
      </w:r>
      <w:r w:rsidRPr="00220A56">
        <w:t>.</w:t>
      </w:r>
    </w:p>
    <w:p w:rsidR="00F4204F" w:rsidRPr="00220A56" w:rsidRDefault="00F4204F" w:rsidP="00026FB2">
      <w:pPr>
        <w:pStyle w:val="ListParagraph"/>
        <w:numPr>
          <w:ilvl w:val="0"/>
          <w:numId w:val="1"/>
        </w:numPr>
        <w:tabs>
          <w:tab w:val="left" w:pos="1080"/>
        </w:tabs>
        <w:ind w:left="0" w:firstLine="720"/>
        <w:jc w:val="both"/>
      </w:pPr>
      <w:r w:rsidRPr="00220A56">
        <w:t>Në vijim, Gjykata evidenton se argumenti kryesor që qëndron në thelb të interpretimit ligjor të Gjykatës së Lartë për “</w:t>
      </w:r>
      <w:r w:rsidRPr="00220A56">
        <w:rPr>
          <w:i/>
        </w:rPr>
        <w:t>pamundësinë objektive</w:t>
      </w:r>
      <w:r w:rsidRPr="00220A56">
        <w:t>”</w:t>
      </w:r>
      <w:r w:rsidR="00CC27D1" w:rsidRPr="00220A56">
        <w:t>,</w:t>
      </w:r>
      <w:r w:rsidRPr="00220A56">
        <w:t xml:space="preserve"> lidhet me ngarkesën e gjykatave, i cili nuk është argument kushtetues që mund të justifikojë kohëzgjatjen e paarsyeshme të gjykimit. Pa mohuar nevojën, rëndësinë dhe përfitimet që sjellin reformat në sektorin e drejtësisë, Gjykata rithekson se ligjvënësi ka detyrë të marrë masat dhe të gjejë mjetet e duhura për ndryshimin e gjendjes faktike, me qëllim që ligjet të zbatohen dhe gjykatat e të gjitha niveleve të funksionojnë normalisht.</w:t>
      </w:r>
      <w:r w:rsidRPr="00220A56">
        <w:rPr>
          <w:i/>
        </w:rPr>
        <w:t xml:space="preserve"> </w:t>
      </w:r>
      <w:r w:rsidRPr="00220A56">
        <w:t>Në këtë drejtim, akumulimi i përkohshëm i çështjeve nuk e ngarkon shtetin me përgjegjësi, me kusht që ky i fundit të ketë ndërmarrë veprime të menjëhershme që synojnë përmirësimin e situatës për të zgjidhur një situatë të këtij lloji</w:t>
      </w:r>
      <w:r w:rsidRPr="00220A56">
        <w:rPr>
          <w:iCs/>
        </w:rPr>
        <w:t>.</w:t>
      </w:r>
      <w:r w:rsidRPr="00220A56">
        <w:t xml:space="preserve"> Pavarësisht se ka disa metoda që mund të zbatohen nga vetë gjykatat për të nxitur përkohësisht përshpejtimin e gjykimit të çështjeve, nëse edhe masa të tilla nuk rezultojnë efektive dhe </w:t>
      </w:r>
      <w:proofErr w:type="spellStart"/>
      <w:r w:rsidRPr="00220A56">
        <w:t>tejzgjatja</w:t>
      </w:r>
      <w:proofErr w:type="spellEnd"/>
      <w:r w:rsidRPr="00220A56">
        <w:t xml:space="preserve"> e procedurave kthehet në problem të organizimit strukturor, atëherë shteti duhet të ndërhyjë me miratimin e masave më efektive dhe të organizojë sistemin gjyqësor, në mënyrë që të garantohet e drejta për të marrë një vendim përfundimtar brenda një afati të arsyeshëm</w:t>
      </w:r>
      <w:r w:rsidRPr="00220A56">
        <w:rPr>
          <w:i/>
          <w:iCs/>
        </w:rPr>
        <w:t xml:space="preserve"> (shih vendim</w:t>
      </w:r>
      <w:r w:rsidR="007172F5" w:rsidRPr="00220A56">
        <w:rPr>
          <w:i/>
          <w:iCs/>
        </w:rPr>
        <w:t>in</w:t>
      </w:r>
      <w:r w:rsidRPr="00220A56">
        <w:rPr>
          <w:i/>
          <w:iCs/>
        </w:rPr>
        <w:t xml:space="preserve"> nr. </w:t>
      </w:r>
      <w:r w:rsidR="007172F5" w:rsidRPr="00220A56">
        <w:rPr>
          <w:i/>
          <w:iCs/>
        </w:rPr>
        <w:t>2</w:t>
      </w:r>
      <w:r w:rsidRPr="00220A56">
        <w:rPr>
          <w:i/>
          <w:iCs/>
        </w:rPr>
        <w:t xml:space="preserve">, datë </w:t>
      </w:r>
      <w:r w:rsidR="007172F5" w:rsidRPr="00220A56">
        <w:rPr>
          <w:i/>
          <w:iCs/>
        </w:rPr>
        <w:t>17</w:t>
      </w:r>
      <w:r w:rsidRPr="00220A56">
        <w:rPr>
          <w:i/>
          <w:iCs/>
        </w:rPr>
        <w:t>.</w:t>
      </w:r>
      <w:r w:rsidR="007172F5" w:rsidRPr="00220A56">
        <w:rPr>
          <w:i/>
          <w:iCs/>
        </w:rPr>
        <w:t>02.2022</w:t>
      </w:r>
      <w:r w:rsidRPr="00220A56">
        <w:rPr>
          <w:i/>
          <w:iCs/>
        </w:rPr>
        <w:t xml:space="preserve"> të Gjykatës Kushtetuese</w:t>
      </w:r>
      <w:r w:rsidRPr="00220A56">
        <w:rPr>
          <w:i/>
        </w:rPr>
        <w:t>)</w:t>
      </w:r>
      <w:r w:rsidRPr="00220A56">
        <w:t>.</w:t>
      </w:r>
    </w:p>
    <w:p w:rsidR="00F4204F" w:rsidRPr="00220A56" w:rsidRDefault="00F4204F" w:rsidP="00026FB2">
      <w:pPr>
        <w:pStyle w:val="ListParagraph"/>
        <w:numPr>
          <w:ilvl w:val="0"/>
          <w:numId w:val="1"/>
        </w:numPr>
        <w:tabs>
          <w:tab w:val="left" w:pos="1080"/>
        </w:tabs>
        <w:ind w:left="0" w:firstLine="720"/>
        <w:jc w:val="both"/>
      </w:pPr>
      <w:r w:rsidRPr="00220A56">
        <w:t xml:space="preserve">Duke analizuar gjendjen e Gjykatës Administrative të Apelit, Gjykata vëren se ankimi i kërkuesit është regjistruar në datën 09.09.2016, </w:t>
      </w:r>
      <w:r w:rsidR="00237EC3" w:rsidRPr="00220A56">
        <w:t>kur</w:t>
      </w:r>
      <w:r w:rsidRPr="00220A56">
        <w:t xml:space="preserve"> </w:t>
      </w:r>
      <w:r w:rsidR="00EB1481" w:rsidRPr="00220A56">
        <w:t xml:space="preserve">reforma ishte </w:t>
      </w:r>
      <w:r w:rsidR="00237EC3" w:rsidRPr="00220A56">
        <w:t xml:space="preserve">drejt </w:t>
      </w:r>
      <w:r w:rsidR="00EB1481" w:rsidRPr="00220A56">
        <w:t>finalizimi</w:t>
      </w:r>
      <w:r w:rsidR="00237EC3" w:rsidRPr="00220A56">
        <w:t>t</w:t>
      </w:r>
      <w:r w:rsidRPr="00220A56">
        <w:t>.</w:t>
      </w:r>
      <w:r w:rsidR="00EB1481" w:rsidRPr="00220A56">
        <w:t xml:space="preserve"> Ndërkohë, në </w:t>
      </w:r>
      <w:r w:rsidR="008953FD" w:rsidRPr="00220A56">
        <w:t>datën 28</w:t>
      </w:r>
      <w:r w:rsidR="00EB1481" w:rsidRPr="00220A56">
        <w:t xml:space="preserve">.12.2021, teksa reforma është ende në proces zbatimi dhe çështja e kërkuesit vijon pa vendimmarrje, numri i gjyqtarëve të Gjykatës Administrative të Apelit është ulur në </w:t>
      </w:r>
      <w:r w:rsidR="00CC27D1" w:rsidRPr="00220A56">
        <w:t>5</w:t>
      </w:r>
      <w:r w:rsidR="00EB1481" w:rsidRPr="00220A56">
        <w:t xml:space="preserve"> dhe ngarkesa e çështjeve është 2683 - 4378 çështje për çdo gjyqtar, ku volumi i çështjeve të gjyqtares </w:t>
      </w:r>
      <w:proofErr w:type="spellStart"/>
      <w:r w:rsidR="00EB1481" w:rsidRPr="00220A56">
        <w:t>relatore</w:t>
      </w:r>
      <w:proofErr w:type="spellEnd"/>
      <w:r w:rsidR="00EB1481" w:rsidRPr="00220A56">
        <w:t xml:space="preserve"> B.H. rezulton të jetë më i larti. Çështjet gjyqësore janë vënë në lëvizje sipas radhës kohore dhe po shqyrtohen </w:t>
      </w:r>
      <w:r w:rsidR="00CC27D1" w:rsidRPr="00220A56">
        <w:t>ato të</w:t>
      </w:r>
      <w:r w:rsidR="00EB1481" w:rsidRPr="00220A56">
        <w:t xml:space="preserve"> regjistruara në periudhën shtator 2016-shkurt 2017, ndërkohë që çështja e kërkuesit është regjistruar në shtator 2016.</w:t>
      </w:r>
    </w:p>
    <w:p w:rsidR="00EB1481" w:rsidRPr="00220A56" w:rsidRDefault="00EB1481" w:rsidP="00026FB2">
      <w:pPr>
        <w:pStyle w:val="ListParagraph"/>
        <w:numPr>
          <w:ilvl w:val="0"/>
          <w:numId w:val="1"/>
        </w:numPr>
        <w:tabs>
          <w:tab w:val="left" w:pos="1080"/>
        </w:tabs>
        <w:ind w:left="0" w:firstLine="720"/>
        <w:jc w:val="both"/>
      </w:pPr>
      <w:r w:rsidRPr="00220A56">
        <w:t>Ngarkesa e lartë e punës pranohet edhe nga Këshilli i Lartë Gjyqësor (</w:t>
      </w:r>
      <w:r w:rsidRPr="00220A56">
        <w:rPr>
          <w:i/>
        </w:rPr>
        <w:t>KLGJ</w:t>
      </w:r>
      <w:r w:rsidRPr="00220A56">
        <w:t>), i cili është organi kushtetues që</w:t>
      </w:r>
      <w:r w:rsidR="00CC27D1" w:rsidRPr="00220A56">
        <w:t>,</w:t>
      </w:r>
      <w:r w:rsidRPr="00220A56">
        <w:t xml:space="preserve"> sipas nenit 147, pika 1</w:t>
      </w:r>
      <w:r w:rsidR="00123E73" w:rsidRPr="00220A56">
        <w:t>,</w:t>
      </w:r>
      <w:r w:rsidRPr="00220A56">
        <w:t xml:space="preserve"> të Kushtetutës</w:t>
      </w:r>
      <w:r w:rsidR="00CC27D1" w:rsidRPr="00220A56">
        <w:t>,</w:t>
      </w:r>
      <w:r w:rsidRPr="00220A56">
        <w:t xml:space="preserve"> ka përgjegjësinë për të siguruar jo vetëm pavarësinë dhe përgjegjshmërinë e pushtetit gjyqësor, por edhe mbarëvajtjen e tij. Kështu, KLGJ</w:t>
      </w:r>
      <w:r w:rsidR="00CC27D1" w:rsidRPr="00220A56">
        <w:t>-ja</w:t>
      </w:r>
      <w:r w:rsidRPr="00220A56">
        <w:t xml:space="preserve"> raporton se në vitin 2020 Gjykata Administrative e Apelit p</w:t>
      </w:r>
      <w:r w:rsidR="00CC27D1" w:rsidRPr="00220A56">
        <w:t xml:space="preserve">araqet një nivel të ulët të </w:t>
      </w:r>
      <w:proofErr w:type="spellStart"/>
      <w:r w:rsidR="00CC27D1" w:rsidRPr="00220A56">
        <w:t>efici</w:t>
      </w:r>
      <w:r w:rsidRPr="00220A56">
        <w:t>encës</w:t>
      </w:r>
      <w:proofErr w:type="spellEnd"/>
      <w:r w:rsidRPr="00220A56">
        <w:t xml:space="preserve"> në drejtim të rritjes së çështjeve të prapambetura dhe zgjatjes së afateve kohore, me tregues të tillë si: i) rendimenti mesatar i likuidimit të çështjeve për gjyqtar është ulur me 61% në vitin 2020 krahasuar me një vit më parë; </w:t>
      </w:r>
      <w:proofErr w:type="spellStart"/>
      <w:r w:rsidRPr="00220A56">
        <w:t>ii</w:t>
      </w:r>
      <w:proofErr w:type="spellEnd"/>
      <w:r w:rsidRPr="00220A56">
        <w:t>) norma e likuidimit të çështjeve është ulur nga 86% në vitin 2019</w:t>
      </w:r>
      <w:r w:rsidR="00CC27D1" w:rsidRPr="00220A56">
        <w:t>,</w:t>
      </w:r>
      <w:r w:rsidRPr="00220A56">
        <w:t xml:space="preserve"> në 37% në vitin 2020; </w:t>
      </w:r>
      <w:proofErr w:type="spellStart"/>
      <w:r w:rsidRPr="00220A56">
        <w:t>iii</w:t>
      </w:r>
      <w:proofErr w:type="spellEnd"/>
      <w:r w:rsidRPr="00220A56">
        <w:t>) koha mesatare e nevojshme deri në zgjidhjen e një çështjeje është rritur nga 1171 ditë në 4020 ditë. Nga ana tjetër, Gjykata konstaton se, pavarësisht masave të planifikuara nga KLGJ-ja, të shprehura edhe në planin e veprimit janar 2019 – dhjetor 2020, për reduktimin e çështjeve të mbartura në gjykatat e të gjitha niveleve, përmes hartimit të planeve të veprimit, ende mungojnë treguesit për përmirësimin e gjendjes në Gjykatën Administrative të Apelit, për rrjedhojë këto masa duket se nuk kanë dhënë efektet e duhura në rastin e çështjes së kërkuesit</w:t>
      </w:r>
      <w:r w:rsidR="00C0274C" w:rsidRPr="00220A56">
        <w:t xml:space="preserve"> </w:t>
      </w:r>
      <w:r w:rsidR="00C0274C" w:rsidRPr="00220A56">
        <w:rPr>
          <w:i/>
        </w:rPr>
        <w:t>(shih vendimin nr. 2, datë 17.02.2022 të Gjykatës Kushtetuese)</w:t>
      </w:r>
      <w:r w:rsidRPr="00220A56">
        <w:t>.</w:t>
      </w:r>
    </w:p>
    <w:p w:rsidR="00EB1481" w:rsidRPr="00220A56" w:rsidRDefault="00EB1481" w:rsidP="00026FB2">
      <w:pPr>
        <w:pStyle w:val="ListParagraph"/>
        <w:numPr>
          <w:ilvl w:val="0"/>
          <w:numId w:val="1"/>
        </w:numPr>
        <w:tabs>
          <w:tab w:val="left" w:pos="1080"/>
        </w:tabs>
        <w:ind w:left="0" w:firstLine="720"/>
        <w:jc w:val="both"/>
      </w:pPr>
      <w:r w:rsidRPr="00220A56">
        <w:t xml:space="preserve">Duke i analizuar treguesit e mësipërm, Gjykata çmon se vonesa në gjykimin e </w:t>
      </w:r>
      <w:r w:rsidR="00D82A70" w:rsidRPr="00220A56">
        <w:t>çështjes së kërkuesit</w:t>
      </w:r>
      <w:r w:rsidRPr="00220A56">
        <w:t xml:space="preserve"> është pasojë e ngarkesës së lartë në Gjykatën Administrative të Apelit dhe </w:t>
      </w:r>
      <w:r w:rsidR="00CC27D1" w:rsidRPr="00220A56">
        <w:t>e</w:t>
      </w:r>
      <w:r w:rsidRPr="00220A56">
        <w:t xml:space="preserve"> ngarkesës së lartë të punës së gjyqtares </w:t>
      </w:r>
      <w:proofErr w:type="spellStart"/>
      <w:r w:rsidRPr="00220A56">
        <w:t>relatore</w:t>
      </w:r>
      <w:proofErr w:type="spellEnd"/>
      <w:r w:rsidRPr="00220A56">
        <w:t>, e shkaktuar nga ulja e numrit të gjyqtarëve nga zbatimi i procesit të rivlerësimit kalimtar, pjesë e reformës në drejtësi. Gjykata, në bazë të standardeve të përmendura në paragrafin 5</w:t>
      </w:r>
      <w:r w:rsidR="00951216" w:rsidRPr="00220A56">
        <w:t>3</w:t>
      </w:r>
      <w:r w:rsidRPr="00220A56">
        <w:t xml:space="preserve"> të këtij vendimi, duke mbajtur në konsideratë faktin se kjo lloj ngarkese pune është duke zgjatur disa vite, se numri i gjyqtarëve vijon në rënie dhe se metodat e identifikuara nga vetë gjykatat dhe KLGJ-ja nuk po i japin zgjidhje ngarkesës së punës, vlerëson se sjellja e autoriteteve shtetërore, në veçanti të atyre që miratojnë ligjet dhe politikat e sistemit të drejtësisë</w:t>
      </w:r>
      <w:r w:rsidR="00CC27D1" w:rsidRPr="00220A56">
        <w:t>,</w:t>
      </w:r>
      <w:r w:rsidRPr="00220A56">
        <w:rPr>
          <w:bCs/>
        </w:rPr>
        <w:t xml:space="preserve"> nuk ka qenë në nivelin e duhur të efikasitetit, d</w:t>
      </w:r>
      <w:r w:rsidRPr="00220A56">
        <w:t>uke i shkaktuar kërkuesit vonesë të paarsyeshme në gjykimin e çështjes së tij.</w:t>
      </w:r>
    </w:p>
    <w:p w:rsidR="00EB1481" w:rsidRPr="00220A56" w:rsidRDefault="00685E3D" w:rsidP="00026FB2">
      <w:pPr>
        <w:pStyle w:val="ListParagraph"/>
        <w:numPr>
          <w:ilvl w:val="0"/>
          <w:numId w:val="1"/>
        </w:numPr>
        <w:tabs>
          <w:tab w:val="left" w:pos="1080"/>
        </w:tabs>
        <w:ind w:left="0" w:firstLine="720"/>
        <w:jc w:val="both"/>
      </w:pPr>
      <w:r w:rsidRPr="00220A56">
        <w:t>Gjykata thekson se gjykimi përtej afatit të arsyeshëm</w:t>
      </w:r>
      <w:r w:rsidR="00CC27D1" w:rsidRPr="00220A56">
        <w:t>,</w:t>
      </w:r>
      <w:r w:rsidRPr="00220A56">
        <w:t xml:space="preserve"> bazuar vetëm në faktin se shteti ka dështuar të marrë masa efikase, që efektet e zbatimit të reformës në dre</w:t>
      </w:r>
      <w:r w:rsidR="00CC27D1" w:rsidRPr="00220A56">
        <w:t>jtësi të jenë të përkohshme dhe</w:t>
      </w:r>
      <w:r w:rsidRPr="00220A56">
        <w:t xml:space="preserve"> që gjykatat të plotësohen me personel dhe të organizohen në kohën e duhur</w:t>
      </w:r>
      <w:r w:rsidR="00CC27D1" w:rsidRPr="00220A56">
        <w:t>,</w:t>
      </w:r>
      <w:r w:rsidRPr="00220A56">
        <w:t xml:space="preserve"> sipas standardeve kushtetuese, nuk mund të përligjë cenimin e të drejtave kushtetuese të individëve. Për më tepër, mbingarkesa në gjykata është situatë e njohur dhe e zgjatur në kohë, e cila nuk varet nga kërkuesi, por vetëm nga përgjegjësit e administrimit të drejtësisë, detyra e të cilëve është që të krijojnë një sistem gjyqësor efikas dhe të pajisur me personel, në m</w:t>
      </w:r>
      <w:r w:rsidR="008A483B" w:rsidRPr="00220A56">
        <w:t>ënyrë që t’u</w:t>
      </w:r>
      <w:r w:rsidRPr="00220A56">
        <w:t xml:space="preserve"> përgjigjet më së miri kritereve të shtetit të së drejtës lidhur me ecurinë e proceseve gjyqësore. Ndërkohë që ky detyrim kushtetues prej tyre nuk rezulton të jetë respektuar</w:t>
      </w:r>
      <w:r w:rsidR="00E70CB4" w:rsidRPr="00220A56">
        <w:t xml:space="preserve"> </w:t>
      </w:r>
      <w:r w:rsidR="00E70CB4" w:rsidRPr="00220A56">
        <w:rPr>
          <w:i/>
        </w:rPr>
        <w:t>(shih vendimin nr. 2, datë 17.02.2022 të Gjykatës Kushtetuese)</w:t>
      </w:r>
      <w:r w:rsidR="00EB1481" w:rsidRPr="00220A56">
        <w:t>.</w:t>
      </w:r>
    </w:p>
    <w:p w:rsidR="00685E3D" w:rsidRPr="00220A56" w:rsidRDefault="00685E3D" w:rsidP="00026FB2">
      <w:pPr>
        <w:pStyle w:val="ListParagraph"/>
        <w:numPr>
          <w:ilvl w:val="0"/>
          <w:numId w:val="1"/>
        </w:numPr>
        <w:tabs>
          <w:tab w:val="left" w:pos="1080"/>
        </w:tabs>
        <w:ind w:left="0" w:firstLine="720"/>
        <w:jc w:val="both"/>
      </w:pPr>
      <w:r w:rsidRPr="00220A56">
        <w:t>Si përfundim, Gjykata vlerëson se në rastin konkret është cenuar e drejta pë</w:t>
      </w:r>
      <w:r w:rsidR="008A483B" w:rsidRPr="00220A56">
        <w:t>r një proces të rregullt ligjor</w:t>
      </w:r>
      <w:r w:rsidRPr="00220A56">
        <w:t xml:space="preserve"> si rezultat i </w:t>
      </w:r>
      <w:proofErr w:type="spellStart"/>
      <w:r w:rsidRPr="00220A56">
        <w:t>mosgjykimit</w:t>
      </w:r>
      <w:proofErr w:type="spellEnd"/>
      <w:r w:rsidRPr="00220A56">
        <w:t xml:space="preserve"> të çështjes në Gjykatën Administrative të Apelit brenda afatit të arsyeshëm dhe vlerësimi i kryer nga Gjykata e Lartë nuk është në përputhje me Kushtetutën. Për rrjedhojë, vendimi i  Gjykatës së Lartë</w:t>
      </w:r>
      <w:r w:rsidR="008A483B" w:rsidRPr="00220A56">
        <w:t>,</w:t>
      </w:r>
      <w:r w:rsidRPr="00220A56">
        <w:t xml:space="preserve"> që ka rrëzuar kërkesën për përshpejtimin e procedurave, duhet të shfuqizohet dhe gjykimi i ankimit të kërkuesit nga Gjykata Administrative e Apelit duhet të përshpejtohet. Për këtë qëllim të fundit, bazuar në nenin 81, pika 3, të ligjit nr. 8577/2000, G</w:t>
      </w:r>
      <w:r w:rsidR="008A483B" w:rsidRPr="00220A56">
        <w:t>jykata çmon të caktojë afatin 6-</w:t>
      </w:r>
      <w:r w:rsidRPr="00220A56">
        <w:t>mujor, brenda të cilit Gjykata Administrative e Apelit</w:t>
      </w:r>
      <w:r w:rsidR="008A483B" w:rsidRPr="00220A56">
        <w:t xml:space="preserve"> duhet të veprojë</w:t>
      </w:r>
      <w:r w:rsidRPr="00220A56">
        <w:t>. Në vlerësimin e Gjykatës, ky afat konsiderohet i arsyeshëm në raport me të drejtën kushtetuese të kërkuesit, por</w:t>
      </w:r>
      <w:r w:rsidR="008A483B" w:rsidRPr="00220A56">
        <w:t>,</w:t>
      </w:r>
      <w:r w:rsidRPr="00220A56">
        <w:t xml:space="preserve"> gjithashtu</w:t>
      </w:r>
      <w:r w:rsidR="008A483B" w:rsidRPr="00220A56">
        <w:t>,</w:t>
      </w:r>
      <w:r w:rsidRPr="00220A56">
        <w:t xml:space="preserve"> </w:t>
      </w:r>
      <w:r w:rsidR="008A483B" w:rsidRPr="00220A56">
        <w:t>u</w:t>
      </w:r>
      <w:r w:rsidRPr="00220A56">
        <w:t xml:space="preserve"> përgjigjet kushteve dhe mundësive aktuale të Gjykatës Administrative të Apelit, e cila është duke shqyrtuar çështjet e regjistruara në periudhën shtator 2016 – shkurt 2017.</w:t>
      </w:r>
    </w:p>
    <w:p w:rsidR="007A6183" w:rsidRPr="00220A56" w:rsidRDefault="007A6183" w:rsidP="00026FB2">
      <w:pPr>
        <w:pStyle w:val="ListParagraph"/>
        <w:tabs>
          <w:tab w:val="left" w:pos="1080"/>
        </w:tabs>
        <w:jc w:val="both"/>
      </w:pPr>
    </w:p>
    <w:p w:rsidR="00250106" w:rsidRPr="00220A56" w:rsidRDefault="00250106" w:rsidP="00026FB2">
      <w:pPr>
        <w:jc w:val="center"/>
      </w:pPr>
      <w:r w:rsidRPr="00220A56">
        <w:rPr>
          <w:b/>
          <w:bCs/>
        </w:rPr>
        <w:t>PËR KËTO ARSYE,</w:t>
      </w:r>
    </w:p>
    <w:p w:rsidR="00250106" w:rsidRPr="00220A56" w:rsidRDefault="00250106" w:rsidP="00026FB2">
      <w:pPr>
        <w:ind w:firstLine="720"/>
        <w:jc w:val="both"/>
      </w:pPr>
      <w:r w:rsidRPr="00220A56">
        <w:t>Gjykata Kushtetuese e Republikës së Shqipërisë, në mbështetje të neneve 131, pika 1, shkronja “f” dhe 134, pika 1, shkronja “i”, të Kushtetutës, si dhe neneve 71</w:t>
      </w:r>
      <w:r w:rsidR="00685E3D" w:rsidRPr="00220A56">
        <w:t xml:space="preserve"> dhe</w:t>
      </w:r>
      <w:r w:rsidRPr="00220A56">
        <w:t xml:space="preserve"> 72 e vijues të ligjit nr. 8577, datë 10.02.2000 “Për organizimin dhe funksionimin e Gjykatës Kushtetuese të Republikës së Shqipërisë”, të ndryshuar, </w:t>
      </w:r>
      <w:r w:rsidR="006874F5" w:rsidRPr="00220A56">
        <w:t>me shumicë votash</w:t>
      </w:r>
      <w:r w:rsidRPr="00220A56">
        <w:t>,</w:t>
      </w:r>
    </w:p>
    <w:p w:rsidR="00250106" w:rsidRDefault="00250106" w:rsidP="00026FB2">
      <w:pPr>
        <w:ind w:firstLine="720"/>
        <w:jc w:val="both"/>
      </w:pPr>
      <w:r w:rsidRPr="00220A56">
        <w:t xml:space="preserve"> </w:t>
      </w:r>
    </w:p>
    <w:p w:rsidR="00220A56" w:rsidRDefault="00220A56" w:rsidP="00220A56">
      <w:pPr>
        <w:tabs>
          <w:tab w:val="left" w:pos="3105"/>
        </w:tabs>
        <w:ind w:firstLine="720"/>
        <w:jc w:val="both"/>
      </w:pPr>
      <w:r>
        <w:tab/>
      </w:r>
    </w:p>
    <w:p w:rsidR="00220A56" w:rsidRDefault="00220A56" w:rsidP="00026FB2">
      <w:pPr>
        <w:ind w:firstLine="720"/>
        <w:jc w:val="both"/>
      </w:pPr>
    </w:p>
    <w:p w:rsidR="00250106" w:rsidRPr="00220A56" w:rsidRDefault="00250106" w:rsidP="00026FB2">
      <w:pPr>
        <w:jc w:val="center"/>
        <w:rPr>
          <w:b/>
          <w:bCs/>
        </w:rPr>
      </w:pPr>
      <w:r w:rsidRPr="00220A56">
        <w:rPr>
          <w:b/>
          <w:bCs/>
        </w:rPr>
        <w:t>V E N D O S I:</w:t>
      </w:r>
    </w:p>
    <w:p w:rsidR="00396D37" w:rsidRPr="00220A56" w:rsidRDefault="00396D37" w:rsidP="00026FB2">
      <w:pPr>
        <w:pStyle w:val="ListParagraph"/>
        <w:numPr>
          <w:ilvl w:val="0"/>
          <w:numId w:val="6"/>
        </w:numPr>
        <w:ind w:hanging="284"/>
        <w:contextualSpacing w:val="0"/>
        <w:jc w:val="both"/>
      </w:pPr>
      <w:r w:rsidRPr="00220A56">
        <w:t>Pranimin e kërkesës.</w:t>
      </w:r>
    </w:p>
    <w:p w:rsidR="00685E3D" w:rsidRPr="00220A56" w:rsidRDefault="00685E3D" w:rsidP="00026FB2">
      <w:pPr>
        <w:pStyle w:val="ListParagraph"/>
        <w:numPr>
          <w:ilvl w:val="0"/>
          <w:numId w:val="6"/>
        </w:numPr>
        <w:ind w:hanging="284"/>
        <w:contextualSpacing w:val="0"/>
        <w:jc w:val="both"/>
      </w:pPr>
      <w:r w:rsidRPr="00220A56">
        <w:t>Konstatimin e cenimit të së drejtës për gjykim brenda një afati të arsyeshëm.</w:t>
      </w:r>
    </w:p>
    <w:p w:rsidR="00396D37" w:rsidRPr="00220A56" w:rsidRDefault="00396D37" w:rsidP="00026FB2">
      <w:pPr>
        <w:pStyle w:val="ListParagraph"/>
        <w:numPr>
          <w:ilvl w:val="0"/>
          <w:numId w:val="6"/>
        </w:numPr>
        <w:tabs>
          <w:tab w:val="left" w:pos="990"/>
        </w:tabs>
        <w:ind w:left="0" w:firstLine="720"/>
        <w:contextualSpacing w:val="0"/>
        <w:jc w:val="both"/>
      </w:pPr>
      <w:r w:rsidRPr="00220A56">
        <w:t xml:space="preserve">Shfuqizimin </w:t>
      </w:r>
      <w:r w:rsidR="008A483B" w:rsidRPr="00220A56">
        <w:rPr>
          <w:noProof/>
        </w:rPr>
        <w:t>e</w:t>
      </w:r>
      <w:r w:rsidR="00D23121" w:rsidRPr="00220A56">
        <w:rPr>
          <w:noProof/>
        </w:rPr>
        <w:t xml:space="preserve"> vendimit </w:t>
      </w:r>
      <w:r w:rsidRPr="00220A56">
        <w:t>nr. 25/22, datë 17.06.2021 të Kolegjit Administrativ të Gjykatës së Lartë</w:t>
      </w:r>
      <w:r w:rsidR="008A483B" w:rsidRPr="00220A56">
        <w:t>,</w:t>
      </w:r>
      <w:r w:rsidR="008A483B" w:rsidRPr="00220A56">
        <w:rPr>
          <w:noProof/>
        </w:rPr>
        <w:t xml:space="preserve"> si të papajtueshëm me Kushtetutën e Republikës së Shqipërisë</w:t>
      </w:r>
      <w:r w:rsidRPr="00220A56">
        <w:t>.</w:t>
      </w:r>
    </w:p>
    <w:p w:rsidR="00AB0F88" w:rsidRPr="00220A56" w:rsidRDefault="00AB0F88" w:rsidP="00026FB2">
      <w:pPr>
        <w:pStyle w:val="ListParagraph"/>
        <w:numPr>
          <w:ilvl w:val="0"/>
          <w:numId w:val="6"/>
        </w:numPr>
        <w:tabs>
          <w:tab w:val="left" w:pos="990"/>
        </w:tabs>
        <w:ind w:left="0" w:firstLine="720"/>
        <w:contextualSpacing w:val="0"/>
        <w:jc w:val="both"/>
      </w:pPr>
      <w:r w:rsidRPr="00220A56">
        <w:t>Detyrimin e Gjykatës Administrative të Apelit për të gjykuar çështjen brenda 6 muajve nga data e hyrjes në fuqi të këtij vendimi.</w:t>
      </w:r>
    </w:p>
    <w:p w:rsidR="00250106" w:rsidRPr="00220A56" w:rsidRDefault="00250106" w:rsidP="00026FB2">
      <w:pPr>
        <w:ind w:firstLine="720"/>
        <w:jc w:val="both"/>
        <w:rPr>
          <w:b/>
          <w:bCs/>
        </w:rPr>
      </w:pPr>
      <w:r w:rsidRPr="00220A56">
        <w:t xml:space="preserve">Ky vendim është </w:t>
      </w:r>
      <w:r w:rsidR="008A483B" w:rsidRPr="00220A56">
        <w:t>përfundimtar, i formës së prerë</w:t>
      </w:r>
      <w:r w:rsidRPr="00220A56">
        <w:t xml:space="preserve"> dhe hyn në fuqi ditën e botimit në Fletoren Zyrtare.</w:t>
      </w:r>
      <w:r w:rsidRPr="00220A56">
        <w:rPr>
          <w:b/>
          <w:bCs/>
        </w:rPr>
        <w:t xml:space="preserve"> </w:t>
      </w:r>
    </w:p>
    <w:p w:rsidR="00250106" w:rsidRPr="00220A56" w:rsidRDefault="00250106" w:rsidP="00026FB2">
      <w:pPr>
        <w:jc w:val="both"/>
        <w:rPr>
          <w:b/>
          <w:bCs/>
        </w:rPr>
      </w:pPr>
      <w:r w:rsidRPr="00220A56">
        <w:rPr>
          <w:b/>
          <w:bCs/>
        </w:rPr>
        <w:t xml:space="preserve">Marrë më </w:t>
      </w:r>
      <w:r w:rsidR="00BF197F" w:rsidRPr="00220A56">
        <w:rPr>
          <w:b/>
          <w:bCs/>
        </w:rPr>
        <w:t>17</w:t>
      </w:r>
      <w:r w:rsidRPr="00220A56">
        <w:rPr>
          <w:b/>
          <w:bCs/>
        </w:rPr>
        <w:t>.0</w:t>
      </w:r>
      <w:r w:rsidR="00BF197F" w:rsidRPr="00220A56">
        <w:rPr>
          <w:b/>
          <w:bCs/>
        </w:rPr>
        <w:t>2</w:t>
      </w:r>
      <w:r w:rsidRPr="00220A56">
        <w:rPr>
          <w:b/>
          <w:bCs/>
        </w:rPr>
        <w:t>.2022</w:t>
      </w:r>
    </w:p>
    <w:p w:rsidR="00250106" w:rsidRPr="00220A56" w:rsidRDefault="00D34603" w:rsidP="00026FB2">
      <w:pPr>
        <w:jc w:val="both"/>
      </w:pPr>
      <w:r>
        <w:rPr>
          <w:b/>
          <w:bCs/>
        </w:rPr>
        <w:t>Shpallur më 18</w:t>
      </w:r>
      <w:r w:rsidR="00250106" w:rsidRPr="00220A56">
        <w:rPr>
          <w:b/>
          <w:bCs/>
        </w:rPr>
        <w:t>.</w:t>
      </w:r>
      <w:r>
        <w:rPr>
          <w:b/>
          <w:bCs/>
        </w:rPr>
        <w:t>03</w:t>
      </w:r>
      <w:r w:rsidR="00250106" w:rsidRPr="00220A56">
        <w:rPr>
          <w:b/>
          <w:bCs/>
        </w:rPr>
        <w:t>.2022</w:t>
      </w:r>
    </w:p>
    <w:p w:rsidR="00250106" w:rsidRPr="00220A56" w:rsidRDefault="00250106" w:rsidP="00026FB2">
      <w:pPr>
        <w:tabs>
          <w:tab w:val="left" w:pos="0"/>
        </w:tabs>
        <w:rPr>
          <w:b/>
          <w:bCs/>
        </w:rPr>
      </w:pPr>
    </w:p>
    <w:p w:rsidR="004E77E9" w:rsidRDefault="004E77E9" w:rsidP="00D1522E">
      <w:pPr>
        <w:pStyle w:val="ListParagraph"/>
        <w:tabs>
          <w:tab w:val="left" w:pos="1080"/>
        </w:tabs>
        <w:rPr>
          <w:b/>
        </w:rPr>
      </w:pPr>
    </w:p>
    <w:p w:rsidR="00DA1866" w:rsidRDefault="00DA1866" w:rsidP="00D1522E">
      <w:pPr>
        <w:pStyle w:val="ListParagraph"/>
        <w:tabs>
          <w:tab w:val="left" w:pos="1080"/>
        </w:tabs>
        <w:rPr>
          <w:b/>
        </w:rPr>
      </w:pPr>
    </w:p>
    <w:p w:rsidR="00DA1866" w:rsidRDefault="00DA1866" w:rsidP="00D1522E">
      <w:pPr>
        <w:pStyle w:val="ListParagraph"/>
        <w:tabs>
          <w:tab w:val="left" w:pos="1080"/>
        </w:tabs>
        <w:rPr>
          <w:b/>
        </w:rPr>
      </w:pPr>
    </w:p>
    <w:p w:rsidR="00DA1866" w:rsidRDefault="00DA1866" w:rsidP="00D1522E">
      <w:pPr>
        <w:pStyle w:val="ListParagraph"/>
        <w:tabs>
          <w:tab w:val="left" w:pos="1080"/>
        </w:tabs>
        <w:rPr>
          <w:b/>
        </w:rPr>
      </w:pPr>
    </w:p>
    <w:p w:rsidR="00DA1866" w:rsidRDefault="00DA1866" w:rsidP="00D1522E">
      <w:pPr>
        <w:pStyle w:val="ListParagraph"/>
        <w:tabs>
          <w:tab w:val="left" w:pos="1080"/>
        </w:tabs>
        <w:rPr>
          <w:b/>
        </w:rPr>
      </w:pPr>
    </w:p>
    <w:p w:rsidR="00DA1866" w:rsidRDefault="00DA1866" w:rsidP="00D1522E">
      <w:pPr>
        <w:pStyle w:val="ListParagraph"/>
        <w:tabs>
          <w:tab w:val="left" w:pos="1080"/>
        </w:tabs>
        <w:rPr>
          <w:b/>
        </w:rPr>
      </w:pPr>
    </w:p>
    <w:p w:rsidR="00DA1866" w:rsidRDefault="00DA1866" w:rsidP="00D1522E">
      <w:pPr>
        <w:pStyle w:val="ListParagraph"/>
        <w:tabs>
          <w:tab w:val="left" w:pos="1080"/>
        </w:tabs>
        <w:rPr>
          <w:b/>
        </w:rPr>
      </w:pPr>
    </w:p>
    <w:p w:rsidR="004E77E9" w:rsidRDefault="004E77E9" w:rsidP="00D1522E">
      <w:pPr>
        <w:pStyle w:val="ListParagraph"/>
        <w:tabs>
          <w:tab w:val="left" w:pos="1080"/>
        </w:tabs>
        <w:rPr>
          <w:b/>
        </w:rPr>
      </w:pPr>
    </w:p>
    <w:p w:rsidR="000414D1" w:rsidRPr="000414D1" w:rsidRDefault="00D1522E" w:rsidP="00D1522E">
      <w:pPr>
        <w:pStyle w:val="ListParagraph"/>
        <w:tabs>
          <w:tab w:val="left" w:pos="1080"/>
        </w:tabs>
        <w:rPr>
          <w:b/>
        </w:rPr>
      </w:pPr>
      <w:r>
        <w:rPr>
          <w:b/>
        </w:rPr>
        <w:t xml:space="preserve">                                               </w:t>
      </w:r>
      <w:r w:rsidR="000414D1" w:rsidRPr="000414D1">
        <w:rPr>
          <w:b/>
        </w:rPr>
        <w:t>MENDIM PAKICE</w:t>
      </w:r>
    </w:p>
    <w:p w:rsidR="000414D1" w:rsidRPr="00167115" w:rsidRDefault="000414D1" w:rsidP="000414D1"/>
    <w:p w:rsidR="000414D1" w:rsidRDefault="000414D1" w:rsidP="000414D1">
      <w:pPr>
        <w:pStyle w:val="ListParagraph"/>
        <w:numPr>
          <w:ilvl w:val="0"/>
          <w:numId w:val="9"/>
        </w:numPr>
        <w:tabs>
          <w:tab w:val="left" w:pos="1080"/>
        </w:tabs>
        <w:ind w:left="0" w:firstLine="720"/>
        <w:jc w:val="both"/>
      </w:pPr>
      <w:r>
        <w:t>Për arsye se nuk ndaj</w:t>
      </w:r>
      <w:r w:rsidRPr="003C0812">
        <w:t xml:space="preserve"> të njëjtin qëndrim me shumicën </w:t>
      </w:r>
      <w:r>
        <w:t xml:space="preserve">për </w:t>
      </w:r>
      <w:r w:rsidRPr="003C0812">
        <w:t xml:space="preserve">përfundimin e arritur në këtë çështje </w:t>
      </w:r>
      <w:r>
        <w:t>në lidhje me pretendimin e kërkuesit për cenimin e standardit të gjykimit brenda një afati të arsyeshëm, e çmoj të rëndësishme të shprehem</w:t>
      </w:r>
      <w:r w:rsidRPr="003C0812">
        <w:t xml:space="preserve"> me mendim pakice</w:t>
      </w:r>
      <w:r>
        <w:t>.</w:t>
      </w:r>
    </w:p>
    <w:p w:rsidR="000414D1" w:rsidRPr="006930F3" w:rsidRDefault="000414D1" w:rsidP="000414D1">
      <w:pPr>
        <w:pStyle w:val="ListParagraph"/>
        <w:numPr>
          <w:ilvl w:val="0"/>
          <w:numId w:val="9"/>
        </w:numPr>
        <w:tabs>
          <w:tab w:val="left" w:pos="1080"/>
        </w:tabs>
        <w:ind w:left="0" w:firstLine="720"/>
        <w:jc w:val="both"/>
        <w:rPr>
          <w:i/>
          <w:color w:val="FF0000"/>
        </w:rPr>
      </w:pPr>
      <w:r>
        <w:t xml:space="preserve">Shumica ka arsyetuar se  në rastin e kërkuesit ka pasur shkelje të procesit të rregullt ligjor si rezultat i </w:t>
      </w:r>
      <w:proofErr w:type="spellStart"/>
      <w:r>
        <w:t>mosgjykimit</w:t>
      </w:r>
      <w:proofErr w:type="spellEnd"/>
      <w:r>
        <w:t xml:space="preserve"> të çështjes së tij brenda një afati të arsyeshëm nga Gjykata Administrative e Apelit. Sipas saj, në çështjen në shqyrtim ka pasur </w:t>
      </w:r>
      <w:proofErr w:type="spellStart"/>
      <w:r>
        <w:t>tejzgjatje</w:t>
      </w:r>
      <w:proofErr w:type="spellEnd"/>
      <w:r>
        <w:t xml:space="preserve"> të </w:t>
      </w:r>
      <w:r w:rsidRPr="003358AA">
        <w:rPr>
          <w:rFonts w:eastAsia="Calibri"/>
        </w:rPr>
        <w:t xml:space="preserve">procedurave gjyqësore, </w:t>
      </w:r>
      <w:r>
        <w:rPr>
          <w:rFonts w:eastAsia="Calibri"/>
        </w:rPr>
        <w:t>e cila:</w:t>
      </w:r>
      <w:r w:rsidRPr="003358AA">
        <w:rPr>
          <w:rFonts w:eastAsia="Calibri"/>
        </w:rPr>
        <w:t xml:space="preserve"> </w:t>
      </w:r>
      <w:r w:rsidRPr="006930F3">
        <w:rPr>
          <w:rFonts w:eastAsia="Calibri"/>
          <w:i/>
        </w:rPr>
        <w:t>së pari</w:t>
      </w:r>
      <w:r w:rsidRPr="003358AA">
        <w:rPr>
          <w:rFonts w:eastAsia="Calibri"/>
        </w:rPr>
        <w:t xml:space="preserve">, nuk i atribuohet kërkuesit, </w:t>
      </w:r>
      <w:r>
        <w:rPr>
          <w:rFonts w:eastAsia="Calibri"/>
        </w:rPr>
        <w:t>që</w:t>
      </w:r>
      <w:r w:rsidRPr="003358AA">
        <w:rPr>
          <w:rFonts w:eastAsia="Calibri"/>
        </w:rPr>
        <w:t xml:space="preserve"> ka vepru</w:t>
      </w:r>
      <w:r>
        <w:rPr>
          <w:rFonts w:eastAsia="Calibri"/>
        </w:rPr>
        <w:t xml:space="preserve">ar në përputhje me të drejtat </w:t>
      </w:r>
      <w:r w:rsidRPr="003358AA">
        <w:rPr>
          <w:rFonts w:eastAsia="Calibri"/>
        </w:rPr>
        <w:t>e detyrimet procedurale dhe nuk rezulton të jetë bërë pengesë për vonesa</w:t>
      </w:r>
      <w:r>
        <w:rPr>
          <w:rFonts w:eastAsia="Calibri"/>
        </w:rPr>
        <w:t>;</w:t>
      </w:r>
      <w:r w:rsidRPr="003358AA">
        <w:rPr>
          <w:rFonts w:eastAsia="Calibri"/>
        </w:rPr>
        <w:t xml:space="preserve"> </w:t>
      </w:r>
      <w:r w:rsidRPr="006930F3">
        <w:rPr>
          <w:rFonts w:eastAsia="Calibri"/>
          <w:i/>
        </w:rPr>
        <w:t>së dyti,</w:t>
      </w:r>
      <w:r w:rsidRPr="003358AA">
        <w:rPr>
          <w:rFonts w:eastAsia="Calibri"/>
        </w:rPr>
        <w:t xml:space="preserve"> nuk vjen nga </w:t>
      </w:r>
      <w:proofErr w:type="spellStart"/>
      <w:r w:rsidRPr="003358AA">
        <w:rPr>
          <w:rFonts w:eastAsia="Calibri"/>
        </w:rPr>
        <w:t>kompleksiteti</w:t>
      </w:r>
      <w:proofErr w:type="spellEnd"/>
      <w:r w:rsidRPr="003358AA">
        <w:rPr>
          <w:rFonts w:eastAsia="Calibri"/>
        </w:rPr>
        <w:t xml:space="preserve"> i çështjes, </w:t>
      </w:r>
      <w:r>
        <w:rPr>
          <w:rFonts w:eastAsia="Calibri"/>
        </w:rPr>
        <w:t>që</w:t>
      </w:r>
      <w:r w:rsidRPr="003358AA">
        <w:rPr>
          <w:rFonts w:eastAsia="Calibri"/>
        </w:rPr>
        <w:t xml:space="preserve"> për nga natyra e saj nuk mund të bëhej shkak për </w:t>
      </w:r>
      <w:proofErr w:type="spellStart"/>
      <w:r w:rsidRPr="003358AA">
        <w:rPr>
          <w:rFonts w:eastAsia="Calibri"/>
        </w:rPr>
        <w:t>tejzgjatjen</w:t>
      </w:r>
      <w:proofErr w:type="spellEnd"/>
      <w:r w:rsidRPr="003358AA">
        <w:rPr>
          <w:rFonts w:eastAsia="Calibri"/>
        </w:rPr>
        <w:t xml:space="preserve"> e afatit. </w:t>
      </w:r>
      <w:r>
        <w:rPr>
          <w:rFonts w:eastAsia="Calibri"/>
        </w:rPr>
        <w:t>Në përfundim</w:t>
      </w:r>
      <w:r w:rsidRPr="003358AA">
        <w:rPr>
          <w:rFonts w:eastAsia="Calibri"/>
        </w:rPr>
        <w:t xml:space="preserve">, </w:t>
      </w:r>
      <w:r>
        <w:t>shumica ka vlerësuar</w:t>
      </w:r>
      <w:r w:rsidRPr="003358AA">
        <w:t xml:space="preserve"> </w:t>
      </w:r>
      <w:r>
        <w:t xml:space="preserve">të bazuar dhe ka pranuar </w:t>
      </w:r>
      <w:r w:rsidRPr="003358AA">
        <w:t>pretendim</w:t>
      </w:r>
      <w:r>
        <w:t>et e</w:t>
      </w:r>
      <w:r w:rsidRPr="003358AA">
        <w:t xml:space="preserve"> kërkuesit </w:t>
      </w:r>
      <w:r>
        <w:t>p</w:t>
      </w:r>
      <w:r w:rsidRPr="00E65CA7">
        <w:t xml:space="preserve">ër sa i përket </w:t>
      </w:r>
      <w:r w:rsidRPr="00E65CA7">
        <w:rPr>
          <w:rFonts w:eastAsia="Calibri"/>
        </w:rPr>
        <w:t>sjelljes së autoriteteve</w:t>
      </w:r>
      <w:r w:rsidRPr="00E65CA7">
        <w:t xml:space="preserve">, duke arsyetuar se veprimet dhe mosveprimet e tyre kanë shkaktuar </w:t>
      </w:r>
      <w:proofErr w:type="spellStart"/>
      <w:r w:rsidRPr="00E65CA7">
        <w:t>tejzgjatjen</w:t>
      </w:r>
      <w:proofErr w:type="spellEnd"/>
      <w:r w:rsidRPr="00E65CA7">
        <w:t xml:space="preserve"> e afatit të arsyeshëm në rastin e tij </w:t>
      </w:r>
      <w:r w:rsidRPr="00E65CA7">
        <w:rPr>
          <w:i/>
        </w:rPr>
        <w:t>(shih paragrafët 56-58 të vendimit)</w:t>
      </w:r>
      <w:r w:rsidRPr="00E65CA7">
        <w:t>.</w:t>
      </w:r>
    </w:p>
    <w:p w:rsidR="000414D1" w:rsidRDefault="000414D1" w:rsidP="000414D1">
      <w:pPr>
        <w:pStyle w:val="ListParagraph"/>
        <w:numPr>
          <w:ilvl w:val="0"/>
          <w:numId w:val="9"/>
        </w:numPr>
        <w:tabs>
          <w:tab w:val="left" w:pos="1080"/>
        </w:tabs>
        <w:ind w:left="0" w:firstLine="720"/>
        <w:jc w:val="both"/>
      </w:pPr>
      <w:r>
        <w:t>Për sa i përket kësaj çështjeje, n</w:t>
      </w:r>
      <w:r w:rsidRPr="00BA6E11">
        <w:t>ë</w:t>
      </w:r>
      <w:r>
        <w:t xml:space="preserve"> parim, kam q</w:t>
      </w:r>
      <w:r w:rsidRPr="00BA6E11">
        <w:t>ë</w:t>
      </w:r>
      <w:r>
        <w:t>ndrim ndryshe lidhur me kriteret e koh</w:t>
      </w:r>
      <w:r w:rsidRPr="00BA6E11">
        <w:t>ë</w:t>
      </w:r>
      <w:r>
        <w:t>zgjatjes s</w:t>
      </w:r>
      <w:r w:rsidRPr="00BA6E11">
        <w:t>ë</w:t>
      </w:r>
      <w:r>
        <w:t xml:space="preserve"> paarsyeshme t</w:t>
      </w:r>
      <w:r w:rsidRPr="00BA6E11">
        <w:t>ë</w:t>
      </w:r>
      <w:r>
        <w:t xml:space="preserve"> procesit gjyq</w:t>
      </w:r>
      <w:r w:rsidRPr="00BA6E11">
        <w:t>ë</w:t>
      </w:r>
      <w:r>
        <w:t>sor, si jan</w:t>
      </w:r>
      <w:r w:rsidRPr="00BA6E11">
        <w:t>ë</w:t>
      </w:r>
      <w:r>
        <w:t xml:space="preserve"> analizuar ato e, p</w:t>
      </w:r>
      <w:r w:rsidRPr="00BA6E11">
        <w:t>ë</w:t>
      </w:r>
      <w:r>
        <w:t>r rrjedhoj</w:t>
      </w:r>
      <w:r w:rsidRPr="00BA6E11">
        <w:t>ë</w:t>
      </w:r>
      <w:r>
        <w:t>, si jan</w:t>
      </w:r>
      <w:r w:rsidRPr="00BA6E11">
        <w:t>ë</w:t>
      </w:r>
      <w:r>
        <w:t xml:space="preserve"> zbatuar n</w:t>
      </w:r>
      <w:r w:rsidRPr="00BA6E11">
        <w:t>ë</w:t>
      </w:r>
      <w:r>
        <w:t xml:space="preserve"> rastin konkret, t</w:t>
      </w:r>
      <w:r w:rsidRPr="00BA6E11">
        <w:t>ë</w:t>
      </w:r>
      <w:r>
        <w:t xml:space="preserve"> cilat do t’i parashtroj n</w:t>
      </w:r>
      <w:r w:rsidRPr="00BA6E11">
        <w:t>ë</w:t>
      </w:r>
      <w:r>
        <w:t xml:space="preserve"> vijim.</w:t>
      </w:r>
    </w:p>
    <w:p w:rsidR="000414D1" w:rsidRDefault="000414D1" w:rsidP="000414D1">
      <w:pPr>
        <w:tabs>
          <w:tab w:val="left" w:pos="1080"/>
        </w:tabs>
        <w:jc w:val="both"/>
      </w:pPr>
    </w:p>
    <w:p w:rsidR="000414D1" w:rsidRPr="00CB7B8C" w:rsidRDefault="000414D1" w:rsidP="000414D1">
      <w:pPr>
        <w:tabs>
          <w:tab w:val="left" w:pos="1080"/>
        </w:tabs>
        <w:ind w:firstLine="720"/>
        <w:jc w:val="both"/>
        <w:rPr>
          <w:i/>
        </w:rPr>
      </w:pPr>
      <w:r w:rsidRPr="00420BE9">
        <w:rPr>
          <w:i/>
        </w:rPr>
        <w:t>A.</w:t>
      </w:r>
      <w:r>
        <w:t xml:space="preserve"> </w:t>
      </w:r>
      <w:r>
        <w:rPr>
          <w:i/>
        </w:rPr>
        <w:t>Për</w:t>
      </w:r>
      <w:r w:rsidRPr="00CB7B8C">
        <w:rPr>
          <w:i/>
        </w:rPr>
        <w:t xml:space="preserve"> standardet e Gjykatës Kushtetuese dhe respektimin e jurisprudencës së saj</w:t>
      </w:r>
    </w:p>
    <w:p w:rsidR="000414D1" w:rsidRPr="00A27C14" w:rsidRDefault="000414D1" w:rsidP="000414D1">
      <w:pPr>
        <w:pStyle w:val="ListParagraph"/>
        <w:numPr>
          <w:ilvl w:val="0"/>
          <w:numId w:val="9"/>
        </w:numPr>
        <w:tabs>
          <w:tab w:val="left" w:pos="1080"/>
        </w:tabs>
        <w:ind w:left="0" w:firstLine="720"/>
        <w:jc w:val="both"/>
        <w:rPr>
          <w:i/>
        </w:rPr>
      </w:pPr>
      <w:r>
        <w:t>Në jurisprudencën e saj, rishtazi, pas hyrjes n</w:t>
      </w:r>
      <w:r w:rsidRPr="00BA6E11">
        <w:t>ë</w:t>
      </w:r>
      <w:r>
        <w:t xml:space="preserve"> fuqi t</w:t>
      </w:r>
      <w:r w:rsidRPr="00BA6E11">
        <w:t>ë</w:t>
      </w:r>
      <w:r>
        <w:t xml:space="preserve"> dispozitave për koh</w:t>
      </w:r>
      <w:r w:rsidRPr="00BA6E11">
        <w:t>ë</w:t>
      </w:r>
      <w:r>
        <w:t>zgjatjen e arsyeshme t</w:t>
      </w:r>
      <w:r w:rsidRPr="00BA6E11">
        <w:t>ë</w:t>
      </w:r>
      <w:r>
        <w:t xml:space="preserve"> proceseve gjyq</w:t>
      </w:r>
      <w:r w:rsidRPr="00BA6E11">
        <w:t>ë</w:t>
      </w:r>
      <w:r>
        <w:t>sore n</w:t>
      </w:r>
      <w:r w:rsidRPr="00BA6E11">
        <w:t>ë</w:t>
      </w:r>
      <w:r>
        <w:t xml:space="preserve"> nenin 399 e vijim t</w:t>
      </w:r>
      <w:r w:rsidRPr="00BA6E11">
        <w:t>ë</w:t>
      </w:r>
      <w:r>
        <w:t xml:space="preserve"> KPC-s</w:t>
      </w:r>
      <w:r w:rsidRPr="00BA6E11">
        <w:t>ë</w:t>
      </w:r>
      <w:r>
        <w:t xml:space="preserve">, Gjykata ka mbajtur qëndrimin se </w:t>
      </w:r>
      <w:r w:rsidRPr="00D8547B">
        <w:rPr>
          <w:rFonts w:eastAsia="Calibri"/>
          <w:bCs/>
          <w:lang w:eastAsia="sq-AL"/>
        </w:rPr>
        <w:t>disa</w:t>
      </w:r>
      <w:r w:rsidRPr="00D8547B">
        <w:rPr>
          <w:rFonts w:eastAsia="Calibri"/>
        </w:rPr>
        <w:t xml:space="preserve"> kategori çështjesh, për shkak të natyrës së tyre, kërkojnë përshpejtim të posaçëm gjykimi </w:t>
      </w:r>
      <w:r w:rsidRPr="00D8547B">
        <w:rPr>
          <w:rFonts w:eastAsia="Calibri"/>
          <w:i/>
        </w:rPr>
        <w:t>(shih vendimet nr. 33, datë 01.11.2021; nr. 34, datë 01.11.2021; nr. 35, datë 01.11.2021 të Gjykatës Kushtetuese)</w:t>
      </w:r>
      <w:r w:rsidRPr="00D8547B">
        <w:rPr>
          <w:rFonts w:eastAsia="Calibri"/>
        </w:rPr>
        <w:t>.</w:t>
      </w:r>
      <w:r>
        <w:rPr>
          <w:rFonts w:eastAsia="Calibri"/>
        </w:rPr>
        <w:t xml:space="preserve"> Konkretisht, në këto vendime, krahas kriterit vlerësues të sjelljes së kërkuesit, Gjykata ka afirmuar si kriter veçanërisht të rëndësishëm, interesin e lartë të kërkuesit dhe rrezikun që </w:t>
      </w:r>
      <w:proofErr w:type="spellStart"/>
      <w:r>
        <w:rPr>
          <w:rFonts w:eastAsia="Calibri"/>
        </w:rPr>
        <w:t>passjell</w:t>
      </w:r>
      <w:proofErr w:type="spellEnd"/>
      <w:r>
        <w:rPr>
          <w:rFonts w:eastAsia="Calibri"/>
        </w:rPr>
        <w:t xml:space="preserve"> </w:t>
      </w:r>
      <w:proofErr w:type="spellStart"/>
      <w:r>
        <w:rPr>
          <w:rFonts w:eastAsia="Calibri"/>
        </w:rPr>
        <w:t>tejzgjatja</w:t>
      </w:r>
      <w:proofErr w:type="spellEnd"/>
      <w:r>
        <w:rPr>
          <w:rFonts w:eastAsia="Calibri"/>
        </w:rPr>
        <w:t xml:space="preserve"> e procedurave për të. N</w:t>
      </w:r>
      <w:r w:rsidRPr="002D6D18">
        <w:rPr>
          <w:rFonts w:eastAsia="Calibri"/>
        </w:rPr>
        <w:t>ë</w:t>
      </w:r>
      <w:r>
        <w:rPr>
          <w:rFonts w:eastAsia="Calibri"/>
        </w:rPr>
        <w:t xml:space="preserve"> k</w:t>
      </w:r>
      <w:r w:rsidRPr="002D6D18">
        <w:rPr>
          <w:rFonts w:eastAsia="Calibri"/>
        </w:rPr>
        <w:t>ë</w:t>
      </w:r>
      <w:r>
        <w:rPr>
          <w:rFonts w:eastAsia="Calibri"/>
        </w:rPr>
        <w:t xml:space="preserve">to </w:t>
      </w:r>
      <w:r w:rsidRPr="002D6D18">
        <w:rPr>
          <w:rFonts w:eastAsia="Calibri"/>
        </w:rPr>
        <w:t>çë</w:t>
      </w:r>
      <w:r>
        <w:rPr>
          <w:rFonts w:eastAsia="Calibri"/>
        </w:rPr>
        <w:t>shtje, sjellja e k</w:t>
      </w:r>
      <w:r w:rsidRPr="002D6D18">
        <w:rPr>
          <w:rFonts w:eastAsia="Calibri"/>
        </w:rPr>
        <w:t>ë</w:t>
      </w:r>
      <w:r>
        <w:rPr>
          <w:rFonts w:eastAsia="Calibri"/>
        </w:rPr>
        <w:t>rkuesit u analizua bashk</w:t>
      </w:r>
      <w:r w:rsidRPr="003E4356">
        <w:rPr>
          <w:rFonts w:eastAsia="Calibri"/>
        </w:rPr>
        <w:t>ë</w:t>
      </w:r>
      <w:r>
        <w:rPr>
          <w:rFonts w:eastAsia="Calibri"/>
        </w:rPr>
        <w:t xml:space="preserve"> me interesin e tij dhe atë </w:t>
      </w:r>
      <w:r w:rsidRPr="002D6D18">
        <w:rPr>
          <w:rFonts w:eastAsia="Calibri"/>
        </w:rPr>
        <w:t>ç</w:t>
      </w:r>
      <w:r>
        <w:rPr>
          <w:rFonts w:eastAsia="Calibri"/>
        </w:rPr>
        <w:t>far</w:t>
      </w:r>
      <w:r w:rsidRPr="002D6D18">
        <w:rPr>
          <w:rFonts w:eastAsia="Calibri"/>
        </w:rPr>
        <w:t>ë</w:t>
      </w:r>
      <w:r>
        <w:rPr>
          <w:rFonts w:eastAsia="Calibri"/>
        </w:rPr>
        <w:t xml:space="preserve"> rrezikonte nga </w:t>
      </w:r>
      <w:proofErr w:type="spellStart"/>
      <w:r>
        <w:rPr>
          <w:rFonts w:eastAsia="Calibri"/>
        </w:rPr>
        <w:t>tejzgjatja</w:t>
      </w:r>
      <w:proofErr w:type="spellEnd"/>
      <w:r>
        <w:rPr>
          <w:rFonts w:eastAsia="Calibri"/>
        </w:rPr>
        <w:t xml:space="preserve"> </w:t>
      </w:r>
      <w:r>
        <w:rPr>
          <w:rFonts w:eastAsia="Calibri"/>
          <w:i/>
        </w:rPr>
        <w:t>(shih paragrafin 60 “</w:t>
      </w:r>
      <w:r w:rsidRPr="001211D1">
        <w:rPr>
          <w:rFonts w:eastAsia="MS Mincho"/>
          <w:i/>
        </w:rPr>
        <w:t>Sjellja</w:t>
      </w:r>
      <w:r w:rsidRPr="001211D1">
        <w:rPr>
          <w:i/>
        </w:rPr>
        <w:t xml:space="preserve">/interesi për kërkuesen dhe rrezikun që </w:t>
      </w:r>
      <w:proofErr w:type="spellStart"/>
      <w:r w:rsidRPr="001211D1">
        <w:rPr>
          <w:i/>
        </w:rPr>
        <w:t>passjell</w:t>
      </w:r>
      <w:proofErr w:type="spellEnd"/>
      <w:r w:rsidRPr="001211D1">
        <w:rPr>
          <w:i/>
        </w:rPr>
        <w:t xml:space="preserve"> </w:t>
      </w:r>
      <w:proofErr w:type="spellStart"/>
      <w:r w:rsidRPr="001211D1">
        <w:rPr>
          <w:i/>
        </w:rPr>
        <w:t>tejzgjatja</w:t>
      </w:r>
      <w:proofErr w:type="spellEnd"/>
      <w:r w:rsidRPr="001211D1">
        <w:rPr>
          <w:i/>
        </w:rPr>
        <w:t xml:space="preserve"> e procedurave për të</w:t>
      </w:r>
      <w:r>
        <w:rPr>
          <w:i/>
        </w:rPr>
        <w:t>” t</w:t>
      </w:r>
      <w:r w:rsidRPr="00A44DD0">
        <w:rPr>
          <w:i/>
        </w:rPr>
        <w:t>ë</w:t>
      </w:r>
      <w:r>
        <w:rPr>
          <w:i/>
        </w:rPr>
        <w:t xml:space="preserve"> vendimit nr. 33, </w:t>
      </w:r>
      <w:r w:rsidRPr="00D8547B">
        <w:rPr>
          <w:rFonts w:eastAsia="Calibri"/>
          <w:i/>
        </w:rPr>
        <w:t>datë 01.11.2021</w:t>
      </w:r>
      <w:r>
        <w:rPr>
          <w:i/>
        </w:rPr>
        <w:t>, si dhe paragrafin</w:t>
      </w:r>
      <w:r>
        <w:rPr>
          <w:rFonts w:eastAsia="Calibri"/>
          <w:i/>
        </w:rPr>
        <w:t xml:space="preserve"> 49</w:t>
      </w:r>
      <w:r w:rsidRPr="00A27C14">
        <w:rPr>
          <w:rFonts w:eastAsia="Calibri"/>
          <w:i/>
        </w:rPr>
        <w:t xml:space="preserve"> të</w:t>
      </w:r>
      <w:r>
        <w:rPr>
          <w:rFonts w:eastAsia="Calibri"/>
          <w:i/>
        </w:rPr>
        <w:t xml:space="preserve"> vendimit nr. 35, datë </w:t>
      </w:r>
      <w:r w:rsidRPr="00D8547B">
        <w:rPr>
          <w:rFonts w:eastAsia="Calibri"/>
          <w:i/>
        </w:rPr>
        <w:t>01.11.2021 të Gjykatës Kushtetuese</w:t>
      </w:r>
      <w:r>
        <w:rPr>
          <w:rFonts w:eastAsia="Calibri"/>
          <w:i/>
        </w:rPr>
        <w:t>).</w:t>
      </w:r>
      <w:r w:rsidRPr="00A27C14">
        <w:rPr>
          <w:rFonts w:eastAsia="Calibri"/>
          <w:i/>
        </w:rPr>
        <w:t xml:space="preserve">  </w:t>
      </w:r>
    </w:p>
    <w:p w:rsidR="000414D1" w:rsidRPr="00ED0BCA" w:rsidRDefault="000414D1" w:rsidP="000414D1">
      <w:pPr>
        <w:pStyle w:val="ListParagraph"/>
        <w:numPr>
          <w:ilvl w:val="0"/>
          <w:numId w:val="9"/>
        </w:numPr>
        <w:tabs>
          <w:tab w:val="left" w:pos="1080"/>
        </w:tabs>
        <w:ind w:left="0" w:firstLine="720"/>
        <w:jc w:val="both"/>
      </w:pPr>
      <w:r>
        <w:rPr>
          <w:rFonts w:eastAsia="Calibri"/>
        </w:rPr>
        <w:t xml:space="preserve">Një nga çështjet e trajtuara nga Gjykata në këto vendimmarrje kishte si kërkues një pensionist, ndërsa çështja kishte të bënte me pension pleqërie </w:t>
      </w:r>
      <w:r w:rsidRPr="00496CA3">
        <w:rPr>
          <w:rFonts w:eastAsia="Calibri"/>
          <w:i/>
        </w:rPr>
        <w:t>(shih paragrafin 51 të vendimit nr. 35, datë 01.11.2021 të Gjykatës Kushtetuese)</w:t>
      </w:r>
      <w:r>
        <w:rPr>
          <w:rFonts w:eastAsia="Calibri"/>
        </w:rPr>
        <w:t xml:space="preserve">. Gjykata e vlerësoi çështjen me kujdes të posaçëm dhe rigorozitet, duke pranuar pretendimet e parashtruara nga kërkuesi, si dhe detyroi Gjykatën e Lartë që brenda 6 muajve nga data e hyrjes në fuqi të vendimit të saj të gjykonte çështjen e tij.  </w:t>
      </w:r>
    </w:p>
    <w:p w:rsidR="000414D1" w:rsidRDefault="000414D1" w:rsidP="000414D1">
      <w:pPr>
        <w:pStyle w:val="ListParagraph"/>
        <w:numPr>
          <w:ilvl w:val="0"/>
          <w:numId w:val="9"/>
        </w:numPr>
        <w:tabs>
          <w:tab w:val="left" w:pos="1080"/>
        </w:tabs>
        <w:ind w:left="0" w:firstLine="720"/>
        <w:jc w:val="both"/>
      </w:pPr>
      <w:r>
        <w:t xml:space="preserve">Vendimet e cituara përbëjnë jurisprudencë kushtetuese dhe vendosin standarde edhe  për veprimtarinë e gjyqësorit të zakonshëm. Kjo “doktrinë kushtetuese zyrtare” në lidhje me kohëzgjatjen e paarsyeshme të proceseve, u pa nën dritën e standardeve të vendimmarrjes së fundit të GJEDNJ-së në këtë drejtim në çështjen </w:t>
      </w:r>
      <w:proofErr w:type="spellStart"/>
      <w:r w:rsidRPr="00C90BC4">
        <w:rPr>
          <w:i/>
        </w:rPr>
        <w:t>Bara</w:t>
      </w:r>
      <w:proofErr w:type="spellEnd"/>
      <w:r w:rsidRPr="00C90BC4">
        <w:rPr>
          <w:i/>
        </w:rPr>
        <w:t xml:space="preserve"> dhe </w:t>
      </w:r>
      <w:proofErr w:type="spellStart"/>
      <w:r w:rsidRPr="00C90BC4">
        <w:rPr>
          <w:i/>
        </w:rPr>
        <w:t>Kola</w:t>
      </w:r>
      <w:proofErr w:type="spellEnd"/>
      <w:r w:rsidRPr="00C90BC4">
        <w:rPr>
          <w:i/>
        </w:rPr>
        <w:t xml:space="preserve"> k. Shqipërisë, </w:t>
      </w:r>
      <w:r>
        <w:t xml:space="preserve">vendim i datës 12.10.2021 </w:t>
      </w:r>
      <w:r w:rsidRPr="00C90BC4">
        <w:rPr>
          <w:i/>
        </w:rPr>
        <w:t>(shih vendimin nr. 35, datë 01.11.2021 të Gjykatës Kushtetuese)</w:t>
      </w:r>
      <w:r>
        <w:t xml:space="preserve">, përmes të cilit GJEDNJ-ja ritheksoi se vlerësimi i </w:t>
      </w:r>
      <w:proofErr w:type="spellStart"/>
      <w:r>
        <w:t>arsyeshmërisë</w:t>
      </w:r>
      <w:proofErr w:type="spellEnd"/>
      <w:r>
        <w:t xml:space="preserve"> së kohëzgjatjes së procedurave duhet të vlerësohet nën dritën e rrethanave të çështjes dhe në referim të kritereve të tilla si: </w:t>
      </w:r>
      <w:proofErr w:type="spellStart"/>
      <w:r>
        <w:t>kompleksiteti</w:t>
      </w:r>
      <w:proofErr w:type="spellEnd"/>
      <w:r>
        <w:t xml:space="preserve"> i çështjes, sjellja e kërkuesit dhe e autoriteteve </w:t>
      </w:r>
      <w:proofErr w:type="spellStart"/>
      <w:r>
        <w:t>respektive</w:t>
      </w:r>
      <w:proofErr w:type="spellEnd"/>
      <w:r>
        <w:t xml:space="preserve">, si dhe interesi i kërkuesit në mosmarrëveshjen konkrete. </w:t>
      </w:r>
      <w:r w:rsidRPr="00C90BC4">
        <w:rPr>
          <w:i/>
        </w:rPr>
        <w:t xml:space="preserve">(shih vendimin e GJEDNJ-së </w:t>
      </w:r>
      <w:proofErr w:type="spellStart"/>
      <w:r w:rsidRPr="00C90BC4">
        <w:rPr>
          <w:i/>
        </w:rPr>
        <w:t>Bara</w:t>
      </w:r>
      <w:proofErr w:type="spellEnd"/>
      <w:r w:rsidRPr="00C90BC4">
        <w:rPr>
          <w:i/>
        </w:rPr>
        <w:t xml:space="preserve"> dhe </w:t>
      </w:r>
      <w:proofErr w:type="spellStart"/>
      <w:r w:rsidRPr="00C90BC4">
        <w:rPr>
          <w:i/>
        </w:rPr>
        <w:t>Kola</w:t>
      </w:r>
      <w:proofErr w:type="spellEnd"/>
      <w:r w:rsidRPr="00C90BC4">
        <w:rPr>
          <w:i/>
        </w:rPr>
        <w:t xml:space="preserve"> k. Shqipërisë, datë 12.10.2021, §§ 63). </w:t>
      </w:r>
      <w:r w:rsidRPr="00C90BC4">
        <w:t>N</w:t>
      </w:r>
      <w:r>
        <w:t xml:space="preserve">daj edhe kriteret u </w:t>
      </w:r>
      <w:proofErr w:type="spellStart"/>
      <w:r>
        <w:t>riinterpretuan</w:t>
      </w:r>
      <w:proofErr w:type="spellEnd"/>
      <w:r>
        <w:t xml:space="preserve"> në mënyrë të tillë nga kjo Gjykat</w:t>
      </w:r>
      <w:r w:rsidRPr="00BA6E11">
        <w:t>ë</w:t>
      </w:r>
      <w:r>
        <w:t>, që edhe pse situata e reform</w:t>
      </w:r>
      <w:r w:rsidRPr="00BA6E11">
        <w:t>ë</w:t>
      </w:r>
      <w:r>
        <w:t>s n</w:t>
      </w:r>
      <w:r w:rsidRPr="00BA6E11">
        <w:t>ë</w:t>
      </w:r>
      <w:r>
        <w:t xml:space="preserve"> drejt</w:t>
      </w:r>
      <w:r w:rsidRPr="00BA6E11">
        <w:t>ë</w:t>
      </w:r>
      <w:r>
        <w:t>si ka sjell</w:t>
      </w:r>
      <w:r w:rsidRPr="00BA6E11">
        <w:t>ë</w:t>
      </w:r>
      <w:r>
        <w:t xml:space="preserve"> efekte t</w:t>
      </w:r>
      <w:r w:rsidRPr="00BA6E11">
        <w:t>ë</w:t>
      </w:r>
      <w:r>
        <w:t xml:space="preserve"> ngarkes</w:t>
      </w:r>
      <w:r w:rsidRPr="00BA6E11">
        <w:t>ë</w:t>
      </w:r>
      <w:r>
        <w:t>s dhe akumulimit t</w:t>
      </w:r>
      <w:r w:rsidRPr="00BA6E11">
        <w:t>ë</w:t>
      </w:r>
      <w:r>
        <w:t xml:space="preserve"> </w:t>
      </w:r>
      <w:r w:rsidRPr="002D0594">
        <w:t>ç</w:t>
      </w:r>
      <w:r w:rsidRPr="00BA6E11">
        <w:t>ë</w:t>
      </w:r>
      <w:r>
        <w:t xml:space="preserve">shtjeve tej parashikimit, të ruhet sistemi i vlerave të sanksionuara në Kushtetutë përmes forcimit të garancive mbrojtëse të epërsisë së saj në sistemin juridik, si dhe të garancive të </w:t>
      </w:r>
      <w:proofErr w:type="spellStart"/>
      <w:r>
        <w:t>të</w:t>
      </w:r>
      <w:proofErr w:type="spellEnd"/>
      <w:r>
        <w:t xml:space="preserve"> drejtave dhe lirive të individit në përputhje me standardet ndërkombëtare të pranuara përgjithësisht.</w:t>
      </w:r>
    </w:p>
    <w:p w:rsidR="000414D1" w:rsidRPr="004E309C" w:rsidRDefault="000414D1" w:rsidP="000414D1">
      <w:pPr>
        <w:numPr>
          <w:ilvl w:val="0"/>
          <w:numId w:val="9"/>
        </w:numPr>
        <w:tabs>
          <w:tab w:val="left" w:pos="1080"/>
        </w:tabs>
        <w:ind w:left="0" w:firstLine="720"/>
        <w:contextualSpacing/>
        <w:jc w:val="both"/>
      </w:pPr>
      <w:r>
        <w:t>K</w:t>
      </w:r>
      <w:r w:rsidRPr="004E309C">
        <w:t>riter</w:t>
      </w:r>
      <w:r>
        <w:t xml:space="preserve">i </w:t>
      </w:r>
      <w:r w:rsidRPr="004E309C">
        <w:t xml:space="preserve"> “interesi i kërkuesit dhe rreziku që </w:t>
      </w:r>
      <w:proofErr w:type="spellStart"/>
      <w:r w:rsidRPr="004E309C">
        <w:t>passjell</w:t>
      </w:r>
      <w:proofErr w:type="spellEnd"/>
      <w:r w:rsidRPr="004E309C">
        <w:t xml:space="preserve"> </w:t>
      </w:r>
      <w:proofErr w:type="spellStart"/>
      <w:r w:rsidRPr="004E309C">
        <w:t>tejzgjatja</w:t>
      </w:r>
      <w:proofErr w:type="spellEnd"/>
      <w:r w:rsidRPr="004E309C">
        <w:t xml:space="preserve"> e procedurave për të”, përbën një aspekt të rëndësishëm të vlerësimit të kohëzgjatjes së arsyeshme të gjykimit, çka është pranuar edhe nga kjo Gjykatë që përpara ndryshimeve kushtetuese dhe ligjore të vitit 2016, kur ajo kontrollonte standardet e kohëzgjatjes së paarsyeshme dhe vetëm konstatonte shkeljen përmes vendimeve deklarative në këtë aspekt të procesit </w:t>
      </w:r>
      <w:r w:rsidRPr="004E309C">
        <w:rPr>
          <w:i/>
        </w:rPr>
        <w:t>(shih vendimet nr. 14, datë 10.03.2016, paragrafët 10 dhe 14; nr. 76, datë 04.12.2017, paragrafi 19, të Gjykatës Kushtetuese)</w:t>
      </w:r>
      <w:r w:rsidRPr="004E309C">
        <w:t>. Po ashtu, edhe në vendime të fazës tranzitore, ku kjo Gjykatë vazhdonte vetëm të konstatonte shkeljen,  si pasoj</w:t>
      </w:r>
      <w:r w:rsidRPr="004E309C">
        <w:rPr>
          <w:spacing w:val="3"/>
        </w:rPr>
        <w:t>ë</w:t>
      </w:r>
      <w:r w:rsidRPr="004E309C">
        <w:t xml:space="preserve"> e </w:t>
      </w:r>
      <w:proofErr w:type="spellStart"/>
      <w:r w:rsidRPr="004E309C">
        <w:t>mosgjykimit</w:t>
      </w:r>
      <w:proofErr w:type="spellEnd"/>
      <w:r w:rsidRPr="004E309C">
        <w:t xml:space="preserve"> të çështjes brenda afatit të arsyeshëm, ajo ka theksuar se </w:t>
      </w:r>
      <w:proofErr w:type="spellStart"/>
      <w:r w:rsidRPr="004E309C">
        <w:t>arsyeshmëria</w:t>
      </w:r>
      <w:proofErr w:type="spellEnd"/>
      <w:r w:rsidRPr="004E309C">
        <w:t xml:space="preserve"> e zgjatjes së procesit duhet të vlerësohet sipas rrethanave të veçanta të çështjes, duke pasur parasysh sidomos sjelljen e k</w:t>
      </w:r>
      <w:r w:rsidRPr="004E309C">
        <w:rPr>
          <w:spacing w:val="3"/>
        </w:rPr>
        <w:t>ë</w:t>
      </w:r>
      <w:r w:rsidRPr="004E309C">
        <w:t>rkuesit dhe rrezikun q</w:t>
      </w:r>
      <w:r w:rsidRPr="004E309C">
        <w:rPr>
          <w:spacing w:val="3"/>
        </w:rPr>
        <w:t>ë</w:t>
      </w:r>
      <w:r w:rsidRPr="004E309C">
        <w:t xml:space="preserve"> </w:t>
      </w:r>
      <w:proofErr w:type="spellStart"/>
      <w:r w:rsidRPr="004E309C">
        <w:t>passjell</w:t>
      </w:r>
      <w:proofErr w:type="spellEnd"/>
      <w:r w:rsidRPr="004E309C">
        <w:t xml:space="preserve"> p</w:t>
      </w:r>
      <w:r w:rsidRPr="004E309C">
        <w:rPr>
          <w:spacing w:val="3"/>
        </w:rPr>
        <w:t>ë</w:t>
      </w:r>
      <w:r w:rsidRPr="004E309C">
        <w:t xml:space="preserve">r të kjo </w:t>
      </w:r>
      <w:proofErr w:type="spellStart"/>
      <w:r w:rsidRPr="004E309C">
        <w:t>tejzgjatje</w:t>
      </w:r>
      <w:proofErr w:type="spellEnd"/>
      <w:r w:rsidRPr="004E309C">
        <w:t xml:space="preserve"> e afateve t</w:t>
      </w:r>
      <w:r w:rsidRPr="004E309C">
        <w:rPr>
          <w:spacing w:val="3"/>
        </w:rPr>
        <w:t>ë</w:t>
      </w:r>
      <w:r w:rsidRPr="004E309C">
        <w:t xml:space="preserve"> gjykimit, </w:t>
      </w:r>
      <w:proofErr w:type="spellStart"/>
      <w:r w:rsidRPr="004E309C">
        <w:t>kompleksitetin</w:t>
      </w:r>
      <w:proofErr w:type="spellEnd"/>
      <w:r w:rsidRPr="004E309C">
        <w:t xml:space="preserve"> e çështjes, si dhe sjelljen e autoriteteve (</w:t>
      </w:r>
      <w:r w:rsidRPr="004E309C">
        <w:rPr>
          <w:i/>
        </w:rPr>
        <w:t>shih vendimin nr. 16, datë 16.03.2021 të Gjykatës Kushtetuese, paragrafi 24</w:t>
      </w:r>
      <w:r w:rsidRPr="004E309C">
        <w:t xml:space="preserve">). </w:t>
      </w:r>
    </w:p>
    <w:p w:rsidR="000414D1" w:rsidRPr="001238F0" w:rsidRDefault="000414D1" w:rsidP="000414D1">
      <w:pPr>
        <w:pStyle w:val="ListParagraph"/>
        <w:numPr>
          <w:ilvl w:val="0"/>
          <w:numId w:val="9"/>
        </w:numPr>
        <w:tabs>
          <w:tab w:val="left" w:pos="1080"/>
        </w:tabs>
        <w:ind w:left="0" w:firstLine="720"/>
        <w:jc w:val="both"/>
      </w:pPr>
      <w:r w:rsidRPr="00B26CB3">
        <w:t>Edh</w:t>
      </w:r>
      <w:r>
        <w:t>e nga jurisprudenca e GJEDNJ-së rezulton se</w:t>
      </w:r>
      <w:r w:rsidRPr="00B26CB3">
        <w:t xml:space="preserve"> vlerësimi nëse në një çështje të caktuar ka pasur shkelje të afatit të arsyeshëm karakterizohet nga realizmi. Afati i arsyeshëm i paras</w:t>
      </w:r>
      <w:r>
        <w:t>hikuar në nenin 6/1 të KEDNJ-së</w:t>
      </w:r>
      <w:r w:rsidRPr="00B26CB3">
        <w:t xml:space="preserve"> duhet vlerësuar në çdo rast në varësi të rrethanave të çështjes.</w:t>
      </w:r>
      <w:r w:rsidRPr="00285C0C">
        <w:rPr>
          <w:i/>
        </w:rPr>
        <w:t xml:space="preserve"> </w:t>
      </w:r>
      <w:r w:rsidRPr="00B26CB3">
        <w:t>Vlerësimi i këtij afati duhet bërë duke pasur parasysh kritere të tilla</w:t>
      </w:r>
      <w:r>
        <w:t>,</w:t>
      </w:r>
      <w:r w:rsidRPr="00B26CB3">
        <w:t xml:space="preserve"> si: </w:t>
      </w:r>
      <w:proofErr w:type="spellStart"/>
      <w:r w:rsidRPr="00B26CB3">
        <w:t>kompleksiteti</w:t>
      </w:r>
      <w:proofErr w:type="spellEnd"/>
      <w:r w:rsidRPr="00B26CB3">
        <w:t xml:space="preserve"> i çështjes, sjellja e kërkuesit dhe e autoriteteve përkatëse, si dhe çfarë rrezikon kërkuesi </w:t>
      </w:r>
      <w:r w:rsidRPr="00285C0C">
        <w:rPr>
          <w:i/>
        </w:rPr>
        <w:t xml:space="preserve">(shih vendimin e GJEDNJ-së </w:t>
      </w:r>
      <w:proofErr w:type="spellStart"/>
      <w:r w:rsidRPr="00285C0C">
        <w:rPr>
          <w:i/>
        </w:rPr>
        <w:t>Frydlender</w:t>
      </w:r>
      <w:proofErr w:type="spellEnd"/>
      <w:r w:rsidRPr="00285C0C">
        <w:rPr>
          <w:i/>
        </w:rPr>
        <w:t xml:space="preserve"> k. Francës [GC], </w:t>
      </w:r>
      <w:r>
        <w:rPr>
          <w:i/>
        </w:rPr>
        <w:t xml:space="preserve">datë </w:t>
      </w:r>
      <w:r w:rsidRPr="00285C0C">
        <w:rPr>
          <w:i/>
        </w:rPr>
        <w:t>27.06.2000, § 43)</w:t>
      </w:r>
      <w:r w:rsidRPr="00B26CB3">
        <w:t xml:space="preserve">. Për sa i përket shpejtësisë që duhet treguar nga autoritetet, GJEDNJ-ja ka bërë dallim mes çështjeve që kërkojnë “kujdes të veçantë” dhe atyre ndaj të cilave kërkohet “kujdes veçanërisht i posaçëm” </w:t>
      </w:r>
      <w:r w:rsidRPr="00285C0C">
        <w:rPr>
          <w:i/>
        </w:rPr>
        <w:t xml:space="preserve">(shih vendimin e GJEDNJ-së </w:t>
      </w:r>
      <w:proofErr w:type="spellStart"/>
      <w:r w:rsidRPr="00285C0C">
        <w:rPr>
          <w:i/>
        </w:rPr>
        <w:t>Süßmann</w:t>
      </w:r>
      <w:proofErr w:type="spellEnd"/>
      <w:r w:rsidRPr="00285C0C">
        <w:rPr>
          <w:i/>
        </w:rPr>
        <w:t xml:space="preserve"> k. Gjermanisë, </w:t>
      </w:r>
      <w:r>
        <w:rPr>
          <w:i/>
        </w:rPr>
        <w:t xml:space="preserve">datë </w:t>
      </w:r>
      <w:r w:rsidRPr="00285C0C">
        <w:rPr>
          <w:i/>
        </w:rPr>
        <w:t>16.09.1996, § 61)</w:t>
      </w:r>
      <w:r w:rsidRPr="00B26CB3">
        <w:t xml:space="preserve">. Vendosja e një balance të drejtë mes aspekteve të ndryshme të detyrimit themelor të parashikuar në nenin 6/1 “procedura gjyqësore të shpejta” përbën vetëm një element të “parimit të përgjithshëm të administrimit të drejtësisë” </w:t>
      </w:r>
      <w:r w:rsidRPr="00285C0C">
        <w:rPr>
          <w:i/>
        </w:rPr>
        <w:t>(shih</w:t>
      </w:r>
      <w:r>
        <w:rPr>
          <w:i/>
        </w:rPr>
        <w:t xml:space="preserve"> vendimin e GJEDNJ-së </w:t>
      </w:r>
      <w:proofErr w:type="spellStart"/>
      <w:r>
        <w:rPr>
          <w:i/>
        </w:rPr>
        <w:t>Boddaert</w:t>
      </w:r>
      <w:proofErr w:type="spellEnd"/>
      <w:r>
        <w:rPr>
          <w:i/>
        </w:rPr>
        <w:t xml:space="preserve"> k</w:t>
      </w:r>
      <w:r w:rsidRPr="00285C0C">
        <w:rPr>
          <w:i/>
        </w:rPr>
        <w:t xml:space="preserve">. Belgjikës, </w:t>
      </w:r>
      <w:r>
        <w:rPr>
          <w:i/>
        </w:rPr>
        <w:t xml:space="preserve">datë </w:t>
      </w:r>
      <w:r w:rsidRPr="00285C0C">
        <w:rPr>
          <w:i/>
        </w:rPr>
        <w:t>12.10.1992, §</w:t>
      </w:r>
      <w:r>
        <w:rPr>
          <w:i/>
        </w:rPr>
        <w:t xml:space="preserve"> </w:t>
      </w:r>
      <w:r w:rsidRPr="00285C0C">
        <w:rPr>
          <w:i/>
        </w:rPr>
        <w:t>39).</w:t>
      </w:r>
    </w:p>
    <w:p w:rsidR="000414D1" w:rsidRDefault="000414D1" w:rsidP="000414D1">
      <w:pPr>
        <w:pStyle w:val="ListParagraph"/>
        <w:numPr>
          <w:ilvl w:val="0"/>
          <w:numId w:val="9"/>
        </w:numPr>
        <w:tabs>
          <w:tab w:val="left" w:pos="1080"/>
        </w:tabs>
        <w:ind w:left="0" w:firstLine="720"/>
        <w:jc w:val="both"/>
      </w:pPr>
      <w:r>
        <w:t>N</w:t>
      </w:r>
      <w:r w:rsidRPr="00BA6E11">
        <w:t>ë</w:t>
      </w:r>
      <w:r>
        <w:t xml:space="preserve"> v</w:t>
      </w:r>
      <w:r w:rsidRPr="00BA6E11">
        <w:t>ë</w:t>
      </w:r>
      <w:r>
        <w:t>shtrim t</w:t>
      </w:r>
      <w:r w:rsidRPr="00BA6E11">
        <w:t>ë</w:t>
      </w:r>
      <w:r>
        <w:t xml:space="preserve"> sa m</w:t>
      </w:r>
      <w:r w:rsidRPr="00BA6E11">
        <w:t>ë</w:t>
      </w:r>
      <w:r>
        <w:t xml:space="preserve"> lart, v</w:t>
      </w:r>
      <w:r w:rsidRPr="00B26CB3">
        <w:t xml:space="preserve">lerësoj se </w:t>
      </w:r>
      <w:r>
        <w:t>kriteri p</w:t>
      </w:r>
      <w:r w:rsidRPr="00BA6E11">
        <w:t>ë</w:t>
      </w:r>
      <w:r>
        <w:t>rcaktues dhe i domosdoshëm, që duhet</w:t>
      </w:r>
      <w:r w:rsidRPr="00B26CB3">
        <w:t xml:space="preserve"> të </w:t>
      </w:r>
      <w:r>
        <w:t xml:space="preserve">merret </w:t>
      </w:r>
      <w:r w:rsidRPr="00B26CB3">
        <w:t xml:space="preserve"> në konsideratë nga Gjykata</w:t>
      </w:r>
      <w:r>
        <w:t xml:space="preserve"> n</w:t>
      </w:r>
      <w:r w:rsidRPr="00BA6E11">
        <w:t>ë</w:t>
      </w:r>
      <w:r>
        <w:t xml:space="preserve"> k</w:t>
      </w:r>
      <w:r w:rsidRPr="00BA6E11">
        <w:t>ë</w:t>
      </w:r>
      <w:r>
        <w:t xml:space="preserve">to </w:t>
      </w:r>
      <w:r w:rsidRPr="002D0594">
        <w:t>ç</w:t>
      </w:r>
      <w:r w:rsidRPr="00BA6E11">
        <w:t>ë</w:t>
      </w:r>
      <w:r>
        <w:t xml:space="preserve">shtje, </w:t>
      </w:r>
      <w:r w:rsidRPr="00B26CB3">
        <w:t xml:space="preserve">është “interesi i </w:t>
      </w:r>
      <w:r>
        <w:t>lart</w:t>
      </w:r>
      <w:r w:rsidRPr="00BA6E11">
        <w:t>ë</w:t>
      </w:r>
      <w:r>
        <w:t xml:space="preserve"> i </w:t>
      </w:r>
      <w:r w:rsidRPr="00B26CB3">
        <w:t xml:space="preserve">kërkuesit, si dhe rreziku që </w:t>
      </w:r>
      <w:proofErr w:type="spellStart"/>
      <w:r w:rsidRPr="00B26CB3">
        <w:t>passjell</w:t>
      </w:r>
      <w:proofErr w:type="spellEnd"/>
      <w:r w:rsidRPr="00B26CB3">
        <w:t xml:space="preserve"> </w:t>
      </w:r>
      <w:proofErr w:type="spellStart"/>
      <w:r w:rsidRPr="00B26CB3">
        <w:t>tejzgjatja</w:t>
      </w:r>
      <w:proofErr w:type="spellEnd"/>
      <w:r w:rsidRPr="00B26CB3">
        <w:t xml:space="preserve"> e procedurave për të”, pasi </w:t>
      </w:r>
      <w:r w:rsidRPr="00B26CB3">
        <w:rPr>
          <w:i/>
          <w:u w:val="single"/>
        </w:rPr>
        <w:t>vetëm ky kriter mund të bëjë dallimin</w:t>
      </w:r>
      <w:r w:rsidRPr="00B26CB3">
        <w:t xml:space="preserve"> në</w:t>
      </w:r>
      <w:r>
        <w:t xml:space="preserve"> situatën konkrete të ngarkesës</w:t>
      </w:r>
      <w:r w:rsidRPr="00B26CB3">
        <w:t xml:space="preserve"> mes nevojës për të </w:t>
      </w:r>
      <w:r>
        <w:t xml:space="preserve">shqyrtuar </w:t>
      </w:r>
      <w:r w:rsidRPr="00B26CB3">
        <w:t>të gjitha çështjet sipas afateve të arsyeshme</w:t>
      </w:r>
      <w:r>
        <w:t>, n</w:t>
      </w:r>
      <w:r w:rsidRPr="00BA6E11">
        <w:t>ë</w:t>
      </w:r>
      <w:r>
        <w:t xml:space="preserve"> zbatim t</w:t>
      </w:r>
      <w:r w:rsidRPr="00BA6E11">
        <w:t>ë</w:t>
      </w:r>
      <w:r>
        <w:t xml:space="preserve"> neneve 399 e vijues t</w:t>
      </w:r>
      <w:r w:rsidRPr="00BA6E11">
        <w:t>ë</w:t>
      </w:r>
      <w:r>
        <w:t xml:space="preserve"> KPC-s</w:t>
      </w:r>
      <w:r w:rsidRPr="00BA6E11">
        <w:t>ë</w:t>
      </w:r>
      <w:r>
        <w:t>,</w:t>
      </w:r>
      <w:r w:rsidRPr="00B26CB3">
        <w:t xml:space="preserve"> dhe mundësisë e kapaciteteve </w:t>
      </w:r>
      <w:r>
        <w:t>aktuale</w:t>
      </w:r>
      <w:r w:rsidRPr="00B26CB3">
        <w:t xml:space="preserve"> të gjyqësorit për të respektuar këtë standard.</w:t>
      </w:r>
      <w:r>
        <w:t xml:space="preserve"> </w:t>
      </w:r>
    </w:p>
    <w:p w:rsidR="000414D1" w:rsidRDefault="000414D1" w:rsidP="000414D1">
      <w:pPr>
        <w:pStyle w:val="ListParagraph"/>
        <w:numPr>
          <w:ilvl w:val="0"/>
          <w:numId w:val="9"/>
        </w:numPr>
        <w:tabs>
          <w:tab w:val="left" w:pos="1080"/>
        </w:tabs>
        <w:ind w:left="0" w:firstLine="720"/>
        <w:jc w:val="both"/>
      </w:pPr>
      <w:r>
        <w:t>Në analiz</w:t>
      </w:r>
      <w:r w:rsidRPr="00BA6E11">
        <w:t>ë</w:t>
      </w:r>
      <w:r>
        <w:t xml:space="preserve"> t</w:t>
      </w:r>
      <w:r w:rsidRPr="00BA6E11">
        <w:t>ë</w:t>
      </w:r>
      <w:r>
        <w:t xml:space="preserve"> rastit konkret, shumica krahas kriterit “sjellja e k</w:t>
      </w:r>
      <w:r w:rsidRPr="00BA6E11">
        <w:t>ë</w:t>
      </w:r>
      <w:r>
        <w:t>rkuesit” nuk ka vendosur si kriter edhe “interesin e k</w:t>
      </w:r>
      <w:r w:rsidRPr="00BA6E11">
        <w:t>ë</w:t>
      </w:r>
      <w:r>
        <w:t xml:space="preserve">rkuesit dhe pasojat e </w:t>
      </w:r>
      <w:proofErr w:type="spellStart"/>
      <w:r>
        <w:t>tejzgjatjes</w:t>
      </w:r>
      <w:proofErr w:type="spellEnd"/>
      <w:r>
        <w:t>”, p</w:t>
      </w:r>
      <w:r w:rsidRPr="00BA6E11">
        <w:t>ë</w:t>
      </w:r>
      <w:r>
        <w:t>r rrjedhoj</w:t>
      </w:r>
      <w:r w:rsidRPr="00BA6E11">
        <w:t>ë</w:t>
      </w:r>
      <w:r>
        <w:t>, n</w:t>
      </w:r>
      <w:r w:rsidRPr="00BA6E11">
        <w:t>ë</w:t>
      </w:r>
      <w:r>
        <w:t xml:space="preserve"> mendimin tim, duke mos i v</w:t>
      </w:r>
      <w:r w:rsidRPr="00BA6E11">
        <w:t>ë</w:t>
      </w:r>
      <w:r>
        <w:t>n</w:t>
      </w:r>
      <w:r w:rsidRPr="00BA6E11">
        <w:t>ë</w:t>
      </w:r>
      <w:r>
        <w:t xml:space="preserve"> theksin </w:t>
      </w:r>
      <w:r w:rsidRPr="00A74BB9">
        <w:t>as në strukturën formale të vendimit (</w:t>
      </w:r>
      <w:r w:rsidRPr="00A74BB9">
        <w:rPr>
          <w:i/>
        </w:rPr>
        <w:t>shih paragrafin 39</w:t>
      </w:r>
      <w:r>
        <w:rPr>
          <w:i/>
        </w:rPr>
        <w:t xml:space="preserve"> të vendimit</w:t>
      </w:r>
      <w:r w:rsidRPr="00A74BB9">
        <w:rPr>
          <w:i/>
        </w:rPr>
        <w:t xml:space="preserve"> “Sjellja e kërkuesit”</w:t>
      </w:r>
      <w:r w:rsidRPr="00A74BB9">
        <w:t>),</w:t>
      </w:r>
      <w:r>
        <w:t xml:space="preserve"> nuk e ka analizuar at</w:t>
      </w:r>
      <w:r w:rsidRPr="00BA6E11">
        <w:t>ë</w:t>
      </w:r>
      <w:r>
        <w:t xml:space="preserve"> me v</w:t>
      </w:r>
      <w:r w:rsidRPr="00BA6E11">
        <w:t>ë</w:t>
      </w:r>
      <w:r>
        <w:t>mendje t</w:t>
      </w:r>
      <w:r w:rsidRPr="00BA6E11">
        <w:t>ë</w:t>
      </w:r>
      <w:r>
        <w:t xml:space="preserve"> posa</w:t>
      </w:r>
      <w:r w:rsidRPr="002D0594">
        <w:t>ç</w:t>
      </w:r>
      <w:r>
        <w:t>me, duke mos respektuar k</w:t>
      </w:r>
      <w:r w:rsidRPr="00BA6E11">
        <w:t>ë</w:t>
      </w:r>
      <w:r>
        <w:t>shtu standardet e mëparshme të vendosura nga Gjykata në lidhje me kohëzgjatjen e paarsyeshme të procesit, çka krijon paqartësi për zbatimin e kritereve q</w:t>
      </w:r>
      <w:r w:rsidRPr="00BA6E11">
        <w:t>ë</w:t>
      </w:r>
      <w:r>
        <w:t xml:space="preserve"> duhet t</w:t>
      </w:r>
      <w:r w:rsidRPr="00BA6E11">
        <w:t>ë</w:t>
      </w:r>
      <w:r>
        <w:t xml:space="preserve"> aplikohen p</w:t>
      </w:r>
      <w:r w:rsidRPr="00BA6E11">
        <w:t>ë</w:t>
      </w:r>
      <w:r>
        <w:t xml:space="preserve">r </w:t>
      </w:r>
      <w:r w:rsidRPr="002D0594">
        <w:t>ç</w:t>
      </w:r>
      <w:r w:rsidRPr="00BA6E11">
        <w:t>ë</w:t>
      </w:r>
      <w:r>
        <w:t>shtje t</w:t>
      </w:r>
      <w:r w:rsidRPr="00BA6E11">
        <w:t>ë</w:t>
      </w:r>
      <w:r>
        <w:t xml:space="preserve"> k</w:t>
      </w:r>
      <w:r w:rsidRPr="00BA6E11">
        <w:t>ë</w:t>
      </w:r>
      <w:r>
        <w:t>saj natyre edhe në t</w:t>
      </w:r>
      <w:r w:rsidRPr="00BA6E11">
        <w:t>ë</w:t>
      </w:r>
      <w:r>
        <w:t xml:space="preserve"> ardhmen.</w:t>
      </w:r>
    </w:p>
    <w:p w:rsidR="000414D1" w:rsidRDefault="000414D1" w:rsidP="000414D1">
      <w:pPr>
        <w:pStyle w:val="ListParagraph"/>
        <w:tabs>
          <w:tab w:val="left" w:pos="1080"/>
        </w:tabs>
        <w:jc w:val="both"/>
      </w:pPr>
    </w:p>
    <w:p w:rsidR="000414D1" w:rsidRDefault="000414D1" w:rsidP="000414D1">
      <w:pPr>
        <w:tabs>
          <w:tab w:val="left" w:pos="720"/>
        </w:tabs>
        <w:jc w:val="both"/>
      </w:pPr>
      <w:r>
        <w:tab/>
      </w:r>
      <w:r w:rsidRPr="007067B2">
        <w:rPr>
          <w:i/>
        </w:rPr>
        <w:t>B.</w:t>
      </w:r>
      <w:r>
        <w:t xml:space="preserve"> </w:t>
      </w:r>
      <w:r>
        <w:rPr>
          <w:i/>
        </w:rPr>
        <w:t>Për</w:t>
      </w:r>
      <w:r w:rsidRPr="009E5B68">
        <w:rPr>
          <w:i/>
        </w:rPr>
        <w:t xml:space="preserve">  juridiksioni</w:t>
      </w:r>
      <w:r>
        <w:rPr>
          <w:i/>
        </w:rPr>
        <w:t xml:space="preserve">n </w:t>
      </w:r>
      <w:r w:rsidRPr="009E5B68">
        <w:rPr>
          <w:i/>
        </w:rPr>
        <w:t>kushtetues dhe</w:t>
      </w:r>
      <w:r>
        <w:rPr>
          <w:i/>
        </w:rPr>
        <w:t xml:space="preserve"> juridiksionin e</w:t>
      </w:r>
      <w:r w:rsidRPr="009E5B68">
        <w:rPr>
          <w:i/>
        </w:rPr>
        <w:t xml:space="preserve"> gjyqësorit të zakonshëm</w:t>
      </w:r>
      <w:r>
        <w:rPr>
          <w:i/>
        </w:rPr>
        <w:t xml:space="preserve"> n</w:t>
      </w:r>
      <w:r w:rsidRPr="007764CC">
        <w:rPr>
          <w:i/>
        </w:rPr>
        <w:t>ë</w:t>
      </w:r>
      <w:r>
        <w:rPr>
          <w:i/>
        </w:rPr>
        <w:t xml:space="preserve"> lidhje me koh</w:t>
      </w:r>
      <w:r w:rsidRPr="007764CC">
        <w:rPr>
          <w:i/>
        </w:rPr>
        <w:t>ë</w:t>
      </w:r>
      <w:r>
        <w:rPr>
          <w:i/>
        </w:rPr>
        <w:t>zgjatjen e paarsyeshme t</w:t>
      </w:r>
      <w:r w:rsidRPr="007764CC">
        <w:rPr>
          <w:i/>
        </w:rPr>
        <w:t>ë</w:t>
      </w:r>
      <w:r>
        <w:rPr>
          <w:i/>
        </w:rPr>
        <w:t xml:space="preserve"> procesit</w:t>
      </w:r>
    </w:p>
    <w:p w:rsidR="000414D1" w:rsidRPr="00285C0C" w:rsidRDefault="000414D1" w:rsidP="000414D1">
      <w:pPr>
        <w:tabs>
          <w:tab w:val="left" w:pos="720"/>
        </w:tabs>
        <w:jc w:val="both"/>
        <w:rPr>
          <w:rFonts w:eastAsia="Calibri"/>
        </w:rPr>
      </w:pPr>
      <w:r>
        <w:rPr>
          <w:rFonts w:eastAsia="Calibri"/>
        </w:rPr>
        <w:tab/>
        <w:t xml:space="preserve">11. </w:t>
      </w:r>
      <w:r w:rsidRPr="0095776B">
        <w:rPr>
          <w:rFonts w:eastAsia="Calibri"/>
        </w:rPr>
        <w:t xml:space="preserve">Sipas nenit 42 të Kushtetutës, kushdo, për mbrojtjen e të drejtave, lirive dhe interesave të tij kushtetues dhe ligjorë, ose në rastin e akuzave të ngritura kundër tij, ka të drejtën e një gjykimi të drejtë dhe publik brenda një afati të arsyeshëm nga një gjykatë e pavarur dhe e paanshme e caktuar me ligj. </w:t>
      </w:r>
      <w:r w:rsidRPr="00B93AF8">
        <w:rPr>
          <w:rFonts w:eastAsia="Calibri"/>
        </w:rPr>
        <w:t>Sipas jurisprudencës së Gjykatës, e drejta për një proces të rregullt ligjor, pjesë e të cilit është edhe gjykimi brenda një afati të arsyeshëm, luan një rol qendror në sistemin e mbrojtjes së të drejtave të njeriut</w:t>
      </w:r>
      <w:r>
        <w:rPr>
          <w:rFonts w:eastAsia="Calibri"/>
        </w:rPr>
        <w:t>.</w:t>
      </w:r>
      <w:r w:rsidRPr="00B93AF8">
        <w:rPr>
          <w:rFonts w:eastAsia="Calibri"/>
        </w:rPr>
        <w:t xml:space="preserve"> Kjo dispozitë vendos detyrimin për organizimin e sistemit ligjor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të panevojshme (</w:t>
      </w:r>
      <w:r w:rsidRPr="00B93AF8">
        <w:rPr>
          <w:rFonts w:eastAsia="Calibri"/>
          <w:bCs/>
          <w:i/>
        </w:rPr>
        <w:t>shih vendimet nr. 42, datë 25.05.2017; nr. 22, datë 20.03.2017; nr. 12, datë</w:t>
      </w:r>
      <w:r w:rsidRPr="00B93AF8">
        <w:rPr>
          <w:rFonts w:eastAsia="Calibri"/>
          <w:i/>
        </w:rPr>
        <w:t xml:space="preserve"> 05.03.2012</w:t>
      </w:r>
      <w:r w:rsidRPr="00B93AF8">
        <w:rPr>
          <w:rFonts w:eastAsia="Calibri"/>
          <w:bCs/>
          <w:i/>
        </w:rPr>
        <w:t xml:space="preserve"> </w:t>
      </w:r>
      <w:r w:rsidRPr="00B93AF8">
        <w:rPr>
          <w:rFonts w:eastAsia="Calibri"/>
          <w:i/>
        </w:rPr>
        <w:t>të Gjykatës Kushtetuese</w:t>
      </w:r>
      <w:r w:rsidRPr="00B93AF8">
        <w:rPr>
          <w:rFonts w:eastAsia="Calibri"/>
        </w:rPr>
        <w:t>).</w:t>
      </w:r>
      <w:r>
        <w:rPr>
          <w:rFonts w:eastAsia="Calibri"/>
          <w:bCs/>
        </w:rPr>
        <w:tab/>
      </w:r>
    </w:p>
    <w:p w:rsidR="000414D1" w:rsidRDefault="000414D1" w:rsidP="000414D1">
      <w:pPr>
        <w:pStyle w:val="ListParagraph"/>
        <w:numPr>
          <w:ilvl w:val="0"/>
          <w:numId w:val="17"/>
        </w:numPr>
        <w:tabs>
          <w:tab w:val="left" w:pos="1080"/>
        </w:tabs>
        <w:ind w:left="0" w:firstLine="709"/>
        <w:jc w:val="both"/>
      </w:pPr>
      <w:r>
        <w:t>Legjislacioni procedural në fuqi parashikon të drejtën e palëve për të kërkuar, në raste të caktuara, përshpejtimin e shqyrtimit të çështjes së tyre nga gjykatat më shpejt se sa afatet e përcaktuara nga nenet 399 e vijues të KPC-së. Neni 460, pika 3  e KPC-së parashikon të drejtën e palëve që, për shkaqe veçanërisht të rënda dhe të motivuara, të kërkojnë përshpejtimin e shqyrtimit të çështjes nga gjykata e apelit. Neni 1, pika 2, i ligjit nr. 49/2012 parashikon se d</w:t>
      </w:r>
      <w:r w:rsidRPr="004836FF">
        <w:t xml:space="preserve">ispozitat e këtij ligji plotësohen me parashikimet e </w:t>
      </w:r>
      <w:r>
        <w:t>KPC-së</w:t>
      </w:r>
      <w:r w:rsidRPr="004836FF">
        <w:t>, me përjashtim të rasteve dhe për aq sa ky ligj nuk parashikon ndryshe</w:t>
      </w:r>
      <w:r>
        <w:t>. Për rrjedhojë, kjo dispozitë ligjore, pra neni 460, pika 3 i KPC-s</w:t>
      </w:r>
      <w:r w:rsidRPr="00BA6E11">
        <w:t>ë</w:t>
      </w:r>
      <w:r>
        <w:t>,  zbatohet edhe ndaj çështjeve me karakter administrativ.</w:t>
      </w:r>
    </w:p>
    <w:p w:rsidR="000414D1" w:rsidRDefault="000414D1" w:rsidP="000414D1">
      <w:pPr>
        <w:pStyle w:val="ListParagraph"/>
        <w:numPr>
          <w:ilvl w:val="0"/>
          <w:numId w:val="17"/>
        </w:numPr>
        <w:tabs>
          <w:tab w:val="left" w:pos="1080"/>
        </w:tabs>
        <w:ind w:left="0" w:firstLine="720"/>
        <w:jc w:val="both"/>
      </w:pPr>
      <w:r>
        <w:t>Po kështu, bazuar n</w:t>
      </w:r>
      <w:r w:rsidRPr="00BA6E11">
        <w:t>ë</w:t>
      </w:r>
      <w:r>
        <w:t xml:space="preserve"> nenin 460, pika 4, t</w:t>
      </w:r>
      <w:r w:rsidRPr="00BA6E11">
        <w:t>ë</w:t>
      </w:r>
      <w:r>
        <w:t xml:space="preserve"> KPC-së, Këshilli i Lartë Gjyqësor </w:t>
      </w:r>
      <w:r w:rsidRPr="00A83930">
        <w:rPr>
          <w:i/>
        </w:rPr>
        <w:t>(KLGJ)</w:t>
      </w:r>
      <w:r>
        <w:rPr>
          <w:i/>
        </w:rPr>
        <w:t xml:space="preserve"> </w:t>
      </w:r>
      <w:r>
        <w:t xml:space="preserve">ka nxjerrë vendimin nr. 78, datë 30.05.2019 “Për kalendarin e shqyrtimit të çështjeve në gjykatën e apelit” </w:t>
      </w:r>
      <w:r w:rsidRPr="00A83930">
        <w:rPr>
          <w:i/>
        </w:rPr>
        <w:t>(vendim</w:t>
      </w:r>
      <w:r>
        <w:rPr>
          <w:i/>
        </w:rPr>
        <w:t>i</w:t>
      </w:r>
      <w:r w:rsidRPr="00A83930">
        <w:rPr>
          <w:i/>
        </w:rPr>
        <w:t xml:space="preserve"> nr. 78/2019)</w:t>
      </w:r>
      <w:r>
        <w:rPr>
          <w:i/>
        </w:rPr>
        <w:t xml:space="preserve">, </w:t>
      </w:r>
      <w:r w:rsidRPr="00EB4EF3">
        <w:t xml:space="preserve">që </w:t>
      </w:r>
      <w:r w:rsidRPr="00A83930">
        <w:rPr>
          <w:i/>
        </w:rPr>
        <w:t xml:space="preserve"> </w:t>
      </w:r>
      <w:r>
        <w:t xml:space="preserve">ka përcaktuar disa kategori çështjesh, shqyrtimi i të cilave, për shkak të natyrës dhe kategorisë, duhet përshpejtuar nga gjykatat. Sipas këtij vendimi, për sa i përket natyrës, çështjet që kërkojnë përshpejtim janë: a) çështjet që kanë për objekt të drejta të fëmijës ose që kanë ndikim te një fëmijë i mitur; b) çështjet që kanë për objekt zgjidhjen ose pavlefshmërinë e </w:t>
      </w:r>
      <w:r w:rsidR="001940BB">
        <w:t>martesës</w:t>
      </w:r>
      <w:r>
        <w:t xml:space="preserve">; c) çështjet që kanë për objekt detyrim për ushqim; ç) çështjet që kanë për objekt kujdestarinë; d) çështjet që kanë për objekt heqjen, kufizimin ose kthimin e zotësisë për të vepruar dhe ato që kanë për objekt të drejta të personave që iu është hequr ose kufizuar zotësia për të vepruar; dh) çështjet që kanë për objekt birësimin; e) çështjet për të cilat gjykata e shkallës së parë është shprehur me vendim </w:t>
      </w:r>
      <w:proofErr w:type="spellStart"/>
      <w:r>
        <w:t>jopërfundimtar</w:t>
      </w:r>
      <w:proofErr w:type="spellEnd"/>
      <w:r>
        <w:t xml:space="preserve">, ndaj të cilit është ushtruar e drejta e ankimit të veçantë, të tilla si: çështjet me objekt ndreqjen e gabimit, sqarimin ose interpretimin e vendimit gjyqësor të gjykatës së shkallës së parë; çështjet për të cilat gjykata e shkallës së parë ka vendosur mospranimin e ankimit në gjykatën e apelit kundër vendimit gjyqësor të gjykatës së shkallës së parë; çështjet me objekt rivendosjen në afat të ankimit në gjykatën e apelit; çështjet për të cilat gjykata e shkallës së parë ka vendosur kthimin e akteve ose pushimin e gjykimit; ë) çështjet për të cilat gjykata e shkallës së parë ka vendosur refuzimin e dhënies/lëshimit të urdhrit të ekzekutimit; f) çështjet që kanë për objekt plotësim të vendimit </w:t>
      </w:r>
      <w:r w:rsidRPr="00B26CB3">
        <w:t xml:space="preserve">gjyqësor të gjykatës së shkallës së parë; g) çështjet </w:t>
      </w:r>
      <w:r>
        <w:t>që kanë për</w:t>
      </w:r>
      <w:r w:rsidRPr="00B26CB3">
        <w:t xml:space="preserve"> objekt vërtetim</w:t>
      </w:r>
      <w:r>
        <w:t>in e</w:t>
      </w:r>
      <w:r w:rsidRPr="00B26CB3">
        <w:t xml:space="preserve"> fakti</w:t>
      </w:r>
      <w:r>
        <w:t>t</w:t>
      </w:r>
      <w:r w:rsidRPr="00B26CB3">
        <w:t xml:space="preserve"> juridik të vjetërsisë në punë ose njohjen e vërtetësisë o</w:t>
      </w:r>
      <w:r>
        <w:t>se</w:t>
      </w:r>
      <w:r w:rsidRPr="00B26CB3">
        <w:t xml:space="preserve"> pavërtetësisë së dokumentit me pasoja juridike sa i përket përfitimit të pensionit; gj) çështjet </w:t>
      </w:r>
      <w:r>
        <w:t>që kanë për</w:t>
      </w:r>
      <w:r w:rsidRPr="00B26CB3">
        <w:t xml:space="preserve"> objekt shpërblim</w:t>
      </w:r>
      <w:r>
        <w:t>in e</w:t>
      </w:r>
      <w:r w:rsidRPr="00B26CB3">
        <w:t xml:space="preserve"> dëmi</w:t>
      </w:r>
      <w:r>
        <w:t>t</w:t>
      </w:r>
      <w:r w:rsidRPr="00B26CB3">
        <w:t xml:space="preserve"> nga zgjidhja e kontratës së punës; h) çështjet në të cilat pala që ka paraqitur ankim heq dorë nga ankimi ose ato në të cilat paditësi heq dorë nga e drejta e padisë, i) </w:t>
      </w:r>
      <w:r w:rsidRPr="00B26CB3">
        <w:rPr>
          <w:rStyle w:val="markedcontent"/>
        </w:rPr>
        <w:t xml:space="preserve">çështjet me interes </w:t>
      </w:r>
      <w:r>
        <w:rPr>
          <w:rStyle w:val="markedcontent"/>
        </w:rPr>
        <w:t>ose</w:t>
      </w:r>
      <w:r w:rsidRPr="00B26CB3">
        <w:rPr>
          <w:rStyle w:val="markedcontent"/>
        </w:rPr>
        <w:t xml:space="preserve"> ndjeshmëri veçanërisht të lartë për opinionin publik </w:t>
      </w:r>
      <w:r>
        <w:rPr>
          <w:rStyle w:val="markedcontent"/>
        </w:rPr>
        <w:t>ose</w:t>
      </w:r>
      <w:r w:rsidRPr="00B26CB3">
        <w:rPr>
          <w:rStyle w:val="markedcontent"/>
        </w:rPr>
        <w:t xml:space="preserve"> ato që</w:t>
      </w:r>
      <w:r w:rsidRPr="00B26CB3">
        <w:t xml:space="preserve"> </w:t>
      </w:r>
      <w:r w:rsidRPr="00B26CB3">
        <w:rPr>
          <w:rStyle w:val="markedcontent"/>
        </w:rPr>
        <w:t>prekin interesa të komuniteteve të caktuara, në veçanti ato në nevojë.</w:t>
      </w:r>
      <w:r w:rsidRPr="00B26CB3">
        <w:t xml:space="preserve"> </w:t>
      </w:r>
    </w:p>
    <w:p w:rsidR="000414D1" w:rsidRPr="00832C8F" w:rsidRDefault="000414D1" w:rsidP="000414D1">
      <w:pPr>
        <w:pStyle w:val="ListParagraph"/>
        <w:numPr>
          <w:ilvl w:val="0"/>
          <w:numId w:val="17"/>
        </w:numPr>
        <w:tabs>
          <w:tab w:val="left" w:pos="1080"/>
        </w:tabs>
        <w:ind w:left="0" w:firstLine="720"/>
        <w:jc w:val="both"/>
        <w:rPr>
          <w:rStyle w:val="markedcontent"/>
        </w:rPr>
      </w:pPr>
      <w:r w:rsidRPr="00B26CB3">
        <w:t>P</w:t>
      </w:r>
      <w:r>
        <w:rPr>
          <w:rStyle w:val="markedcontent"/>
        </w:rPr>
        <w:t>ërveç sa m</w:t>
      </w:r>
      <w:r w:rsidRPr="00B26CB3">
        <w:rPr>
          <w:rStyle w:val="markedcontent"/>
        </w:rPr>
        <w:t>ë</w:t>
      </w:r>
      <w:r>
        <w:rPr>
          <w:rStyle w:val="markedcontent"/>
        </w:rPr>
        <w:t xml:space="preserve"> lart, vendimi i KLGJ-s</w:t>
      </w:r>
      <w:r w:rsidRPr="00046F89">
        <w:rPr>
          <w:rStyle w:val="markedcontent"/>
        </w:rPr>
        <w:t>ë</w:t>
      </w:r>
      <w:r>
        <w:rPr>
          <w:rStyle w:val="markedcontent"/>
        </w:rPr>
        <w:t xml:space="preserve"> parashikon se </w:t>
      </w:r>
      <w:r w:rsidRPr="00832C8F">
        <w:rPr>
          <w:rFonts w:eastAsia="Times New Roman"/>
          <w:szCs w:val="22"/>
        </w:rPr>
        <w:t>për çdo lloj çështje</w:t>
      </w:r>
      <w:r>
        <w:rPr>
          <w:rFonts w:eastAsia="Times New Roman"/>
          <w:szCs w:val="22"/>
        </w:rPr>
        <w:t>je</w:t>
      </w:r>
      <w:r w:rsidRPr="00832C8F">
        <w:rPr>
          <w:rFonts w:eastAsia="Times New Roman"/>
          <w:szCs w:val="22"/>
        </w:rPr>
        <w:t>, pavarësisht</w:t>
      </w:r>
      <w:r w:rsidRPr="00832C8F">
        <w:rPr>
          <w:rFonts w:eastAsia="Times New Roman"/>
          <w:spacing w:val="1"/>
          <w:szCs w:val="22"/>
        </w:rPr>
        <w:t xml:space="preserve"> </w:t>
      </w:r>
      <w:r w:rsidRPr="00832C8F">
        <w:rPr>
          <w:rFonts w:eastAsia="Times New Roman"/>
          <w:szCs w:val="22"/>
        </w:rPr>
        <w:t>natyrës dhe kategorisë së saj, palët mund të kërkojnë përshpejtimin e shqyrtimit të saj për</w:t>
      </w:r>
      <w:r w:rsidRPr="00832C8F">
        <w:rPr>
          <w:rFonts w:eastAsia="Times New Roman"/>
          <w:spacing w:val="1"/>
          <w:szCs w:val="22"/>
        </w:rPr>
        <w:t xml:space="preserve"> </w:t>
      </w:r>
      <w:r w:rsidRPr="00832C8F">
        <w:rPr>
          <w:rFonts w:eastAsia="Times New Roman"/>
          <w:szCs w:val="22"/>
        </w:rPr>
        <w:t xml:space="preserve">shkaqe veçanërisht të rënda dhe të motivuara, kur kjo nuk </w:t>
      </w:r>
      <w:r>
        <w:rPr>
          <w:rFonts w:eastAsia="Times New Roman"/>
          <w:szCs w:val="22"/>
        </w:rPr>
        <w:t>bie</w:t>
      </w:r>
      <w:r w:rsidRPr="00832C8F">
        <w:rPr>
          <w:rFonts w:eastAsia="Times New Roman"/>
          <w:szCs w:val="22"/>
        </w:rPr>
        <w:t xml:space="preserve"> në kundërshtim me ligjin.</w:t>
      </w:r>
      <w:r w:rsidRPr="00832C8F">
        <w:rPr>
          <w:rFonts w:eastAsia="Times New Roman"/>
          <w:spacing w:val="1"/>
          <w:szCs w:val="22"/>
        </w:rPr>
        <w:t xml:space="preserve"> </w:t>
      </w:r>
      <w:r w:rsidRPr="00832C8F">
        <w:rPr>
          <w:rFonts w:eastAsia="Times New Roman"/>
          <w:szCs w:val="22"/>
        </w:rPr>
        <w:t>Këto shkaqe vlerësohen nga gjyqtari relator sipas bindjes së tij të brendshme, bazuar në</w:t>
      </w:r>
      <w:r w:rsidRPr="00832C8F">
        <w:rPr>
          <w:rFonts w:eastAsia="Times New Roman"/>
          <w:spacing w:val="1"/>
          <w:szCs w:val="22"/>
        </w:rPr>
        <w:t xml:space="preserve"> </w:t>
      </w:r>
      <w:r w:rsidRPr="00832C8F">
        <w:rPr>
          <w:rFonts w:eastAsia="Times New Roman"/>
          <w:szCs w:val="22"/>
        </w:rPr>
        <w:t>rrethanat</w:t>
      </w:r>
      <w:r w:rsidRPr="00832C8F">
        <w:rPr>
          <w:rFonts w:eastAsia="Times New Roman"/>
          <w:spacing w:val="6"/>
          <w:szCs w:val="22"/>
        </w:rPr>
        <w:t xml:space="preserve"> </w:t>
      </w:r>
      <w:r w:rsidRPr="00832C8F">
        <w:rPr>
          <w:rFonts w:eastAsia="Times New Roman"/>
          <w:szCs w:val="22"/>
        </w:rPr>
        <w:t>e</w:t>
      </w:r>
      <w:r w:rsidRPr="00832C8F">
        <w:rPr>
          <w:rFonts w:eastAsia="Times New Roman"/>
          <w:spacing w:val="1"/>
          <w:szCs w:val="22"/>
        </w:rPr>
        <w:t xml:space="preserve"> </w:t>
      </w:r>
      <w:r w:rsidRPr="00832C8F">
        <w:rPr>
          <w:rFonts w:eastAsia="Times New Roman"/>
          <w:szCs w:val="22"/>
        </w:rPr>
        <w:t>parashtruara</w:t>
      </w:r>
      <w:r w:rsidRPr="00832C8F">
        <w:rPr>
          <w:rFonts w:eastAsia="Times New Roman"/>
          <w:spacing w:val="-4"/>
          <w:szCs w:val="22"/>
        </w:rPr>
        <w:t xml:space="preserve"> </w:t>
      </w:r>
      <w:r w:rsidRPr="00832C8F">
        <w:rPr>
          <w:rFonts w:eastAsia="Times New Roman"/>
          <w:szCs w:val="22"/>
        </w:rPr>
        <w:t>nga</w:t>
      </w:r>
      <w:r w:rsidRPr="00832C8F">
        <w:rPr>
          <w:rFonts w:eastAsia="Times New Roman"/>
          <w:spacing w:val="1"/>
          <w:szCs w:val="22"/>
        </w:rPr>
        <w:t xml:space="preserve"> </w:t>
      </w:r>
      <w:r w:rsidRPr="00832C8F">
        <w:rPr>
          <w:rFonts w:eastAsia="Times New Roman"/>
          <w:szCs w:val="22"/>
        </w:rPr>
        <w:t>pala. Me “shkaqe veçanërisht të rënda dhe të motivuara” nënkuptohen ato shkaqe personale të</w:t>
      </w:r>
      <w:r w:rsidRPr="00832C8F">
        <w:rPr>
          <w:rFonts w:eastAsia="Times New Roman"/>
          <w:spacing w:val="1"/>
          <w:szCs w:val="22"/>
        </w:rPr>
        <w:t xml:space="preserve"> </w:t>
      </w:r>
      <w:r w:rsidRPr="00832C8F">
        <w:rPr>
          <w:rFonts w:eastAsia="Times New Roman"/>
          <w:szCs w:val="22"/>
        </w:rPr>
        <w:t>palës</w:t>
      </w:r>
      <w:r>
        <w:rPr>
          <w:rFonts w:eastAsia="Times New Roman"/>
          <w:szCs w:val="22"/>
        </w:rPr>
        <w:t>,</w:t>
      </w:r>
      <w:r w:rsidRPr="00832C8F">
        <w:rPr>
          <w:rFonts w:eastAsia="Times New Roman"/>
          <w:szCs w:val="22"/>
        </w:rPr>
        <w:t xml:space="preserve"> të lidhura me shqyrtimin e çështjes dhe objektin e saj apo ato shkaqe që përcaktojnë</w:t>
      </w:r>
      <w:r w:rsidRPr="00832C8F">
        <w:rPr>
          <w:rFonts w:eastAsia="Times New Roman"/>
          <w:spacing w:val="1"/>
          <w:szCs w:val="22"/>
        </w:rPr>
        <w:t xml:space="preserve"> </w:t>
      </w:r>
      <w:r w:rsidRPr="00832C8F">
        <w:rPr>
          <w:rFonts w:eastAsia="Times New Roman"/>
          <w:szCs w:val="22"/>
        </w:rPr>
        <w:t xml:space="preserve">ose kushtëzojnë ecurinë e zgjidhjes së mosmarrëveshjes kryesore të palëve </w:t>
      </w:r>
      <w:proofErr w:type="spellStart"/>
      <w:r w:rsidRPr="00832C8F">
        <w:rPr>
          <w:rFonts w:eastAsia="Times New Roman"/>
          <w:szCs w:val="22"/>
        </w:rPr>
        <w:t>ndërgjyqëse</w:t>
      </w:r>
      <w:proofErr w:type="spellEnd"/>
      <w:r w:rsidRPr="00832C8F">
        <w:rPr>
          <w:rFonts w:eastAsia="Times New Roman"/>
          <w:szCs w:val="22"/>
        </w:rPr>
        <w:t>,</w:t>
      </w:r>
      <w:r w:rsidRPr="00832C8F">
        <w:rPr>
          <w:rFonts w:eastAsia="Times New Roman"/>
          <w:spacing w:val="1"/>
          <w:szCs w:val="22"/>
        </w:rPr>
        <w:t xml:space="preserve"> </w:t>
      </w:r>
      <w:r w:rsidRPr="00832C8F">
        <w:rPr>
          <w:rFonts w:eastAsia="Times New Roman"/>
          <w:szCs w:val="22"/>
        </w:rPr>
        <w:t>ekzistenca</w:t>
      </w:r>
      <w:r w:rsidRPr="00832C8F">
        <w:rPr>
          <w:rFonts w:eastAsia="Times New Roman"/>
          <w:spacing w:val="1"/>
          <w:szCs w:val="22"/>
        </w:rPr>
        <w:t xml:space="preserve"> </w:t>
      </w:r>
      <w:r w:rsidRPr="00832C8F">
        <w:rPr>
          <w:rFonts w:eastAsia="Times New Roman"/>
          <w:szCs w:val="22"/>
        </w:rPr>
        <w:t>e</w:t>
      </w:r>
      <w:r w:rsidRPr="00832C8F">
        <w:rPr>
          <w:rFonts w:eastAsia="Times New Roman"/>
          <w:spacing w:val="1"/>
          <w:szCs w:val="22"/>
        </w:rPr>
        <w:t xml:space="preserve"> </w:t>
      </w:r>
      <w:r w:rsidRPr="00832C8F">
        <w:rPr>
          <w:rFonts w:eastAsia="Times New Roman"/>
          <w:szCs w:val="22"/>
        </w:rPr>
        <w:t>të</w:t>
      </w:r>
      <w:r w:rsidRPr="00832C8F">
        <w:rPr>
          <w:rFonts w:eastAsia="Times New Roman"/>
          <w:spacing w:val="1"/>
          <w:szCs w:val="22"/>
        </w:rPr>
        <w:t xml:space="preserve"> </w:t>
      </w:r>
      <w:r>
        <w:rPr>
          <w:rFonts w:eastAsia="Times New Roman"/>
          <w:szCs w:val="22"/>
        </w:rPr>
        <w:t>cilave</w:t>
      </w:r>
      <w:r w:rsidRPr="00832C8F">
        <w:rPr>
          <w:rFonts w:eastAsia="Times New Roman"/>
          <w:spacing w:val="1"/>
          <w:szCs w:val="22"/>
        </w:rPr>
        <w:t xml:space="preserve"> </w:t>
      </w:r>
      <w:r w:rsidRPr="00832C8F">
        <w:rPr>
          <w:rFonts w:eastAsia="Times New Roman"/>
          <w:szCs w:val="22"/>
        </w:rPr>
        <w:t>motivon</w:t>
      </w:r>
      <w:r w:rsidRPr="00832C8F">
        <w:rPr>
          <w:rFonts w:eastAsia="Times New Roman"/>
          <w:spacing w:val="1"/>
          <w:szCs w:val="22"/>
        </w:rPr>
        <w:t xml:space="preserve"> </w:t>
      </w:r>
      <w:r w:rsidRPr="00832C8F">
        <w:rPr>
          <w:rFonts w:eastAsia="Times New Roman"/>
          <w:szCs w:val="22"/>
        </w:rPr>
        <w:t>shqyrtimin</w:t>
      </w:r>
      <w:r w:rsidRPr="00832C8F">
        <w:rPr>
          <w:rFonts w:eastAsia="Times New Roman"/>
          <w:spacing w:val="1"/>
          <w:szCs w:val="22"/>
        </w:rPr>
        <w:t xml:space="preserve"> </w:t>
      </w:r>
      <w:r w:rsidRPr="00832C8F">
        <w:rPr>
          <w:rFonts w:eastAsia="Times New Roman"/>
          <w:szCs w:val="22"/>
        </w:rPr>
        <w:t>e</w:t>
      </w:r>
      <w:r w:rsidRPr="00832C8F">
        <w:rPr>
          <w:rFonts w:eastAsia="Times New Roman"/>
          <w:spacing w:val="1"/>
          <w:szCs w:val="22"/>
        </w:rPr>
        <w:t xml:space="preserve"> </w:t>
      </w:r>
      <w:r w:rsidRPr="00832C8F">
        <w:rPr>
          <w:rFonts w:eastAsia="Times New Roman"/>
          <w:szCs w:val="22"/>
        </w:rPr>
        <w:t>përshpejtuar</w:t>
      </w:r>
      <w:r w:rsidRPr="00832C8F">
        <w:rPr>
          <w:rFonts w:eastAsia="Times New Roman"/>
          <w:spacing w:val="1"/>
          <w:szCs w:val="22"/>
        </w:rPr>
        <w:t xml:space="preserve"> </w:t>
      </w:r>
      <w:r w:rsidRPr="00832C8F">
        <w:rPr>
          <w:rFonts w:eastAsia="Times New Roman"/>
          <w:szCs w:val="22"/>
        </w:rPr>
        <w:t>të</w:t>
      </w:r>
      <w:r w:rsidRPr="00832C8F">
        <w:rPr>
          <w:rFonts w:eastAsia="Times New Roman"/>
          <w:spacing w:val="1"/>
          <w:szCs w:val="22"/>
        </w:rPr>
        <w:t xml:space="preserve"> </w:t>
      </w:r>
      <w:r w:rsidRPr="00832C8F">
        <w:rPr>
          <w:rFonts w:eastAsia="Times New Roman"/>
          <w:szCs w:val="22"/>
        </w:rPr>
        <w:t>çështjes,</w:t>
      </w:r>
      <w:r w:rsidRPr="00832C8F">
        <w:rPr>
          <w:rFonts w:eastAsia="Times New Roman"/>
          <w:spacing w:val="1"/>
          <w:szCs w:val="22"/>
        </w:rPr>
        <w:t xml:space="preserve"> </w:t>
      </w:r>
      <w:r w:rsidRPr="00832C8F">
        <w:rPr>
          <w:rFonts w:eastAsia="Times New Roman"/>
          <w:szCs w:val="22"/>
        </w:rPr>
        <w:t xml:space="preserve">domethënë shqyrtimin e saj në një afat më të shkurtër nga afati ligjor </w:t>
      </w:r>
      <w:r>
        <w:rPr>
          <w:rFonts w:eastAsia="Times New Roman"/>
          <w:szCs w:val="22"/>
        </w:rPr>
        <w:t>ose</w:t>
      </w:r>
      <w:r w:rsidRPr="00832C8F">
        <w:rPr>
          <w:rFonts w:eastAsia="Times New Roman"/>
          <w:szCs w:val="22"/>
        </w:rPr>
        <w:t xml:space="preserve"> nga afati i</w:t>
      </w:r>
      <w:r w:rsidRPr="00832C8F">
        <w:rPr>
          <w:rFonts w:eastAsia="Times New Roman"/>
          <w:spacing w:val="1"/>
          <w:szCs w:val="22"/>
        </w:rPr>
        <w:t xml:space="preserve"> </w:t>
      </w:r>
      <w:r w:rsidRPr="00832C8F">
        <w:rPr>
          <w:rFonts w:eastAsia="Times New Roman"/>
          <w:szCs w:val="22"/>
        </w:rPr>
        <w:t>arsyeshëm sipas nenit</w:t>
      </w:r>
      <w:r w:rsidRPr="00832C8F">
        <w:rPr>
          <w:rFonts w:eastAsia="Times New Roman"/>
          <w:spacing w:val="60"/>
          <w:szCs w:val="22"/>
        </w:rPr>
        <w:t xml:space="preserve"> </w:t>
      </w:r>
      <w:r w:rsidRPr="00832C8F">
        <w:rPr>
          <w:rFonts w:eastAsia="Times New Roman"/>
          <w:szCs w:val="22"/>
        </w:rPr>
        <w:t xml:space="preserve">399/2 të </w:t>
      </w:r>
      <w:r>
        <w:rPr>
          <w:rFonts w:eastAsia="Times New Roman"/>
          <w:szCs w:val="22"/>
        </w:rPr>
        <w:t>KPC-së</w:t>
      </w:r>
      <w:r w:rsidRPr="00832C8F">
        <w:rPr>
          <w:rFonts w:eastAsia="Times New Roman"/>
          <w:szCs w:val="22"/>
        </w:rPr>
        <w:t xml:space="preserve"> dhe/ose sipas këtij neni në</w:t>
      </w:r>
      <w:r w:rsidRPr="00832C8F">
        <w:rPr>
          <w:rFonts w:eastAsia="Times New Roman"/>
          <w:spacing w:val="1"/>
          <w:szCs w:val="22"/>
        </w:rPr>
        <w:t xml:space="preserve"> </w:t>
      </w:r>
      <w:r w:rsidRPr="00832C8F">
        <w:rPr>
          <w:rFonts w:eastAsia="Times New Roman"/>
          <w:szCs w:val="22"/>
        </w:rPr>
        <w:t>lidhje</w:t>
      </w:r>
      <w:r w:rsidRPr="00832C8F">
        <w:rPr>
          <w:rFonts w:eastAsia="Times New Roman"/>
          <w:spacing w:val="5"/>
          <w:szCs w:val="22"/>
        </w:rPr>
        <w:t xml:space="preserve"> </w:t>
      </w:r>
      <w:r w:rsidRPr="00832C8F">
        <w:rPr>
          <w:rFonts w:eastAsia="Times New Roman"/>
          <w:szCs w:val="22"/>
        </w:rPr>
        <w:t>me</w:t>
      </w:r>
      <w:r w:rsidRPr="00832C8F">
        <w:rPr>
          <w:rFonts w:eastAsia="Times New Roman"/>
          <w:spacing w:val="5"/>
          <w:szCs w:val="22"/>
        </w:rPr>
        <w:t xml:space="preserve"> </w:t>
      </w:r>
      <w:r w:rsidRPr="00832C8F">
        <w:rPr>
          <w:rFonts w:eastAsia="Times New Roman"/>
          <w:szCs w:val="22"/>
        </w:rPr>
        <w:t>nenin</w:t>
      </w:r>
      <w:r w:rsidRPr="00832C8F">
        <w:rPr>
          <w:rFonts w:eastAsia="Times New Roman"/>
          <w:spacing w:val="-4"/>
          <w:szCs w:val="22"/>
        </w:rPr>
        <w:t xml:space="preserve"> </w:t>
      </w:r>
      <w:r w:rsidRPr="00832C8F">
        <w:rPr>
          <w:rFonts w:eastAsia="Times New Roman"/>
          <w:szCs w:val="22"/>
        </w:rPr>
        <w:t>109,</w:t>
      </w:r>
      <w:r w:rsidRPr="00832C8F">
        <w:rPr>
          <w:rFonts w:eastAsia="Times New Roman"/>
          <w:spacing w:val="3"/>
          <w:szCs w:val="22"/>
        </w:rPr>
        <w:t xml:space="preserve"> </w:t>
      </w:r>
      <w:r w:rsidRPr="00832C8F">
        <w:rPr>
          <w:rFonts w:eastAsia="Times New Roman"/>
          <w:szCs w:val="22"/>
        </w:rPr>
        <w:t>pika 4,</w:t>
      </w:r>
      <w:r w:rsidRPr="00832C8F">
        <w:rPr>
          <w:rFonts w:eastAsia="Times New Roman"/>
          <w:spacing w:val="-2"/>
          <w:szCs w:val="22"/>
        </w:rPr>
        <w:t xml:space="preserve"> </w:t>
      </w:r>
      <w:r w:rsidRPr="00832C8F">
        <w:rPr>
          <w:rFonts w:eastAsia="Times New Roman"/>
          <w:szCs w:val="22"/>
        </w:rPr>
        <w:t>të</w:t>
      </w:r>
      <w:r w:rsidRPr="00832C8F">
        <w:rPr>
          <w:rFonts w:eastAsia="Times New Roman"/>
          <w:spacing w:val="1"/>
          <w:szCs w:val="22"/>
        </w:rPr>
        <w:t xml:space="preserve"> </w:t>
      </w:r>
      <w:r>
        <w:rPr>
          <w:rFonts w:eastAsia="Times New Roman"/>
          <w:szCs w:val="22"/>
        </w:rPr>
        <w:t>l</w:t>
      </w:r>
      <w:r w:rsidRPr="00832C8F">
        <w:rPr>
          <w:rFonts w:eastAsia="Times New Roman"/>
          <w:szCs w:val="22"/>
        </w:rPr>
        <w:t>igjit</w:t>
      </w:r>
      <w:r w:rsidRPr="00832C8F">
        <w:rPr>
          <w:rFonts w:eastAsia="Times New Roman"/>
          <w:spacing w:val="6"/>
          <w:szCs w:val="22"/>
        </w:rPr>
        <w:t xml:space="preserve"> </w:t>
      </w:r>
      <w:r w:rsidRPr="00832C8F">
        <w:rPr>
          <w:rFonts w:eastAsia="Times New Roman"/>
          <w:szCs w:val="22"/>
        </w:rPr>
        <w:t>nr.</w:t>
      </w:r>
      <w:r>
        <w:rPr>
          <w:rFonts w:eastAsia="Times New Roman"/>
          <w:szCs w:val="22"/>
        </w:rPr>
        <w:t xml:space="preserve"> </w:t>
      </w:r>
      <w:r w:rsidRPr="00832C8F">
        <w:rPr>
          <w:rFonts w:eastAsia="Times New Roman"/>
          <w:szCs w:val="22"/>
        </w:rPr>
        <w:t>38/2017,</w:t>
      </w:r>
      <w:r w:rsidRPr="00832C8F">
        <w:rPr>
          <w:rFonts w:eastAsia="Times New Roman"/>
          <w:spacing w:val="3"/>
          <w:szCs w:val="22"/>
        </w:rPr>
        <w:t xml:space="preserve"> </w:t>
      </w:r>
      <w:r w:rsidRPr="00832C8F">
        <w:rPr>
          <w:rFonts w:eastAsia="Times New Roman"/>
          <w:szCs w:val="22"/>
        </w:rPr>
        <w:t>datë 30.</w:t>
      </w:r>
      <w:r>
        <w:rPr>
          <w:rFonts w:eastAsia="Times New Roman"/>
          <w:szCs w:val="22"/>
        </w:rPr>
        <w:t>0</w:t>
      </w:r>
      <w:r w:rsidRPr="00832C8F">
        <w:rPr>
          <w:rFonts w:eastAsia="Times New Roman"/>
          <w:szCs w:val="22"/>
        </w:rPr>
        <w:t>3.2017. “Shkaqe</w:t>
      </w:r>
      <w:r w:rsidRPr="00832C8F">
        <w:rPr>
          <w:rFonts w:eastAsia="Times New Roman"/>
          <w:spacing w:val="2"/>
          <w:szCs w:val="22"/>
        </w:rPr>
        <w:t xml:space="preserve"> </w:t>
      </w:r>
      <w:r w:rsidRPr="00832C8F">
        <w:rPr>
          <w:rFonts w:eastAsia="Times New Roman"/>
          <w:szCs w:val="22"/>
        </w:rPr>
        <w:t>veçanërisht</w:t>
      </w:r>
      <w:r w:rsidRPr="00832C8F">
        <w:rPr>
          <w:rFonts w:eastAsia="Times New Roman"/>
          <w:spacing w:val="-2"/>
          <w:szCs w:val="22"/>
        </w:rPr>
        <w:t xml:space="preserve"> </w:t>
      </w:r>
      <w:r w:rsidRPr="00832C8F">
        <w:rPr>
          <w:rFonts w:eastAsia="Times New Roman"/>
          <w:szCs w:val="22"/>
        </w:rPr>
        <w:t>të</w:t>
      </w:r>
      <w:r w:rsidRPr="00832C8F">
        <w:rPr>
          <w:rFonts w:eastAsia="Times New Roman"/>
          <w:spacing w:val="-7"/>
          <w:szCs w:val="22"/>
        </w:rPr>
        <w:t xml:space="preserve"> </w:t>
      </w:r>
      <w:r w:rsidRPr="00832C8F">
        <w:rPr>
          <w:rFonts w:eastAsia="Times New Roman"/>
          <w:szCs w:val="22"/>
        </w:rPr>
        <w:t>rënda</w:t>
      </w:r>
      <w:r w:rsidRPr="00832C8F">
        <w:rPr>
          <w:rFonts w:eastAsia="Times New Roman"/>
          <w:spacing w:val="-2"/>
          <w:szCs w:val="22"/>
        </w:rPr>
        <w:t xml:space="preserve"> </w:t>
      </w:r>
      <w:r w:rsidRPr="00832C8F">
        <w:rPr>
          <w:rFonts w:eastAsia="Times New Roman"/>
          <w:szCs w:val="22"/>
        </w:rPr>
        <w:t>dhe</w:t>
      </w:r>
      <w:r w:rsidRPr="00832C8F">
        <w:rPr>
          <w:rFonts w:eastAsia="Times New Roman"/>
          <w:spacing w:val="-2"/>
          <w:szCs w:val="22"/>
        </w:rPr>
        <w:t xml:space="preserve"> </w:t>
      </w:r>
      <w:r w:rsidRPr="00832C8F">
        <w:rPr>
          <w:rFonts w:eastAsia="Times New Roman"/>
          <w:szCs w:val="22"/>
        </w:rPr>
        <w:t>të</w:t>
      </w:r>
      <w:r w:rsidRPr="00832C8F">
        <w:rPr>
          <w:rFonts w:eastAsia="Times New Roman"/>
          <w:spacing w:val="-3"/>
          <w:szCs w:val="22"/>
        </w:rPr>
        <w:t xml:space="preserve"> </w:t>
      </w:r>
      <w:r w:rsidRPr="00832C8F">
        <w:rPr>
          <w:rFonts w:eastAsia="Times New Roman"/>
          <w:szCs w:val="22"/>
        </w:rPr>
        <w:t>motivuara”</w:t>
      </w:r>
      <w:r w:rsidRPr="00832C8F">
        <w:rPr>
          <w:rFonts w:eastAsia="Times New Roman"/>
          <w:spacing w:val="3"/>
          <w:szCs w:val="22"/>
        </w:rPr>
        <w:t xml:space="preserve"> </w:t>
      </w:r>
      <w:r w:rsidRPr="00832C8F">
        <w:rPr>
          <w:rFonts w:eastAsia="Times New Roman"/>
          <w:szCs w:val="22"/>
        </w:rPr>
        <w:t>mund</w:t>
      </w:r>
      <w:r w:rsidRPr="00832C8F">
        <w:rPr>
          <w:rFonts w:eastAsia="Times New Roman"/>
          <w:spacing w:val="-2"/>
          <w:szCs w:val="22"/>
        </w:rPr>
        <w:t xml:space="preserve"> </w:t>
      </w:r>
      <w:r w:rsidRPr="00832C8F">
        <w:rPr>
          <w:rFonts w:eastAsia="Times New Roman"/>
          <w:szCs w:val="22"/>
        </w:rPr>
        <w:t>të</w:t>
      </w:r>
      <w:r w:rsidRPr="00832C8F">
        <w:rPr>
          <w:rFonts w:eastAsia="Times New Roman"/>
          <w:spacing w:val="-2"/>
          <w:szCs w:val="22"/>
        </w:rPr>
        <w:t xml:space="preserve"> </w:t>
      </w:r>
      <w:r w:rsidRPr="00832C8F">
        <w:rPr>
          <w:rFonts w:eastAsia="Times New Roman"/>
          <w:szCs w:val="22"/>
        </w:rPr>
        <w:t>jenë, pa</w:t>
      </w:r>
      <w:r w:rsidRPr="00832C8F">
        <w:rPr>
          <w:rFonts w:eastAsia="Times New Roman"/>
          <w:spacing w:val="-2"/>
          <w:szCs w:val="22"/>
        </w:rPr>
        <w:t xml:space="preserve"> </w:t>
      </w:r>
      <w:r w:rsidRPr="00832C8F">
        <w:rPr>
          <w:rFonts w:eastAsia="Times New Roman"/>
          <w:szCs w:val="22"/>
        </w:rPr>
        <w:t>u</w:t>
      </w:r>
      <w:r w:rsidRPr="00832C8F">
        <w:rPr>
          <w:rFonts w:eastAsia="Times New Roman"/>
          <w:spacing w:val="-1"/>
          <w:szCs w:val="22"/>
        </w:rPr>
        <w:t xml:space="preserve"> </w:t>
      </w:r>
      <w:r w:rsidRPr="00832C8F">
        <w:rPr>
          <w:rFonts w:eastAsia="Times New Roman"/>
          <w:szCs w:val="22"/>
        </w:rPr>
        <w:t>kufizuar: a)</w:t>
      </w:r>
      <w:r>
        <w:rPr>
          <w:rFonts w:eastAsia="Times New Roman"/>
          <w:szCs w:val="22"/>
        </w:rPr>
        <w:t xml:space="preserve"> </w:t>
      </w:r>
      <w:r w:rsidRPr="00832C8F">
        <w:rPr>
          <w:rFonts w:eastAsia="Times New Roman"/>
          <w:szCs w:val="22"/>
        </w:rPr>
        <w:t>pamundësia objektive e palës për të marrë pjesë në shqyrtimin e çështjes në një të</w:t>
      </w:r>
      <w:r w:rsidRPr="00832C8F">
        <w:rPr>
          <w:rFonts w:eastAsia="Times New Roman"/>
          <w:spacing w:val="1"/>
          <w:szCs w:val="22"/>
        </w:rPr>
        <w:t xml:space="preserve"> </w:t>
      </w:r>
      <w:r w:rsidRPr="00832C8F">
        <w:rPr>
          <w:rFonts w:eastAsia="Times New Roman"/>
          <w:szCs w:val="22"/>
        </w:rPr>
        <w:t>ardhme të caktuar, ndërsa ajo ka zgjedhur që mbrojtjen e interesave të saj në gjykim ta</w:t>
      </w:r>
      <w:r>
        <w:rPr>
          <w:rFonts w:eastAsia="Times New Roman"/>
          <w:szCs w:val="22"/>
        </w:rPr>
        <w:t xml:space="preserve"> </w:t>
      </w:r>
      <w:r w:rsidRPr="00832C8F">
        <w:rPr>
          <w:rFonts w:eastAsia="Times New Roman"/>
          <w:spacing w:val="-57"/>
          <w:szCs w:val="22"/>
        </w:rPr>
        <w:t xml:space="preserve"> </w:t>
      </w:r>
      <w:r>
        <w:rPr>
          <w:rFonts w:eastAsia="Times New Roman"/>
          <w:spacing w:val="-57"/>
          <w:szCs w:val="22"/>
        </w:rPr>
        <w:t xml:space="preserve">  </w:t>
      </w:r>
      <w:r w:rsidRPr="00832C8F">
        <w:rPr>
          <w:rFonts w:eastAsia="Times New Roman"/>
          <w:szCs w:val="22"/>
        </w:rPr>
        <w:t xml:space="preserve">realizojë personalisht </w:t>
      </w:r>
      <w:r>
        <w:rPr>
          <w:rFonts w:eastAsia="Times New Roman"/>
          <w:szCs w:val="22"/>
        </w:rPr>
        <w:t>ose</w:t>
      </w:r>
      <w:r w:rsidRPr="00832C8F">
        <w:rPr>
          <w:rFonts w:eastAsia="Times New Roman"/>
          <w:szCs w:val="22"/>
        </w:rPr>
        <w:t xml:space="preserve"> kur prania e saj në gjykim konsiderohet e qenësishme për</w:t>
      </w:r>
      <w:r w:rsidRPr="00832C8F">
        <w:rPr>
          <w:rFonts w:eastAsia="Times New Roman"/>
          <w:spacing w:val="1"/>
          <w:szCs w:val="22"/>
        </w:rPr>
        <w:t xml:space="preserve"> </w:t>
      </w:r>
      <w:r w:rsidRPr="00832C8F">
        <w:rPr>
          <w:rFonts w:eastAsia="Times New Roman"/>
          <w:szCs w:val="22"/>
        </w:rPr>
        <w:t>efekt</w:t>
      </w:r>
      <w:r w:rsidRPr="00832C8F">
        <w:rPr>
          <w:rFonts w:eastAsia="Times New Roman"/>
          <w:spacing w:val="1"/>
          <w:szCs w:val="22"/>
        </w:rPr>
        <w:t xml:space="preserve"> </w:t>
      </w:r>
      <w:r w:rsidRPr="00832C8F">
        <w:rPr>
          <w:rFonts w:eastAsia="Times New Roman"/>
          <w:szCs w:val="22"/>
        </w:rPr>
        <w:t>të</w:t>
      </w:r>
      <w:r w:rsidRPr="00832C8F">
        <w:rPr>
          <w:rFonts w:eastAsia="Times New Roman"/>
          <w:spacing w:val="1"/>
          <w:szCs w:val="22"/>
        </w:rPr>
        <w:t xml:space="preserve"> </w:t>
      </w:r>
      <w:r w:rsidRPr="00832C8F">
        <w:rPr>
          <w:rFonts w:eastAsia="Times New Roman"/>
          <w:szCs w:val="22"/>
        </w:rPr>
        <w:t>procesit</w:t>
      </w:r>
      <w:r w:rsidRPr="00832C8F">
        <w:rPr>
          <w:rFonts w:eastAsia="Times New Roman"/>
          <w:spacing w:val="7"/>
          <w:szCs w:val="22"/>
        </w:rPr>
        <w:t xml:space="preserve"> </w:t>
      </w:r>
      <w:r w:rsidRPr="00832C8F">
        <w:rPr>
          <w:rFonts w:eastAsia="Times New Roman"/>
          <w:szCs w:val="22"/>
        </w:rPr>
        <w:t>të</w:t>
      </w:r>
      <w:r w:rsidRPr="00832C8F">
        <w:rPr>
          <w:rFonts w:eastAsia="Times New Roman"/>
          <w:spacing w:val="-9"/>
          <w:szCs w:val="22"/>
        </w:rPr>
        <w:t xml:space="preserve"> </w:t>
      </w:r>
      <w:proofErr w:type="spellStart"/>
      <w:r w:rsidRPr="00832C8F">
        <w:rPr>
          <w:rFonts w:eastAsia="Times New Roman"/>
          <w:szCs w:val="22"/>
        </w:rPr>
        <w:t>të</w:t>
      </w:r>
      <w:proofErr w:type="spellEnd"/>
      <w:r w:rsidRPr="00832C8F">
        <w:rPr>
          <w:rFonts w:eastAsia="Times New Roman"/>
          <w:spacing w:val="1"/>
          <w:szCs w:val="22"/>
        </w:rPr>
        <w:t xml:space="preserve"> </w:t>
      </w:r>
      <w:r w:rsidRPr="00832C8F">
        <w:rPr>
          <w:rFonts w:eastAsia="Times New Roman"/>
          <w:szCs w:val="22"/>
        </w:rPr>
        <w:t xml:space="preserve">provuarit; b) gjendja shëndetësore e palës </w:t>
      </w:r>
      <w:r>
        <w:rPr>
          <w:rFonts w:eastAsia="Times New Roman"/>
          <w:szCs w:val="22"/>
        </w:rPr>
        <w:t>ose mosha e saj</w:t>
      </w:r>
      <w:r w:rsidRPr="00832C8F">
        <w:rPr>
          <w:rFonts w:eastAsia="Times New Roman"/>
          <w:szCs w:val="22"/>
        </w:rPr>
        <w:t xml:space="preserve"> është e tillë që mund të vërë në dyshim</w:t>
      </w:r>
      <w:r w:rsidRPr="00832C8F">
        <w:rPr>
          <w:rFonts w:eastAsia="Times New Roman"/>
          <w:spacing w:val="1"/>
          <w:szCs w:val="22"/>
        </w:rPr>
        <w:t xml:space="preserve"> </w:t>
      </w:r>
      <w:r w:rsidRPr="00832C8F">
        <w:rPr>
          <w:rFonts w:eastAsia="Times New Roman"/>
          <w:szCs w:val="22"/>
        </w:rPr>
        <w:t>pritshmërinë</w:t>
      </w:r>
      <w:r w:rsidRPr="00832C8F">
        <w:rPr>
          <w:rFonts w:eastAsia="Times New Roman"/>
          <w:spacing w:val="-1"/>
          <w:szCs w:val="22"/>
        </w:rPr>
        <w:t xml:space="preserve"> </w:t>
      </w:r>
      <w:r w:rsidRPr="00832C8F">
        <w:rPr>
          <w:rFonts w:eastAsia="Times New Roman"/>
          <w:szCs w:val="22"/>
        </w:rPr>
        <w:t>e</w:t>
      </w:r>
      <w:r w:rsidRPr="00832C8F">
        <w:rPr>
          <w:rFonts w:eastAsia="Times New Roman"/>
          <w:spacing w:val="-1"/>
          <w:szCs w:val="22"/>
        </w:rPr>
        <w:t xml:space="preserve"> </w:t>
      </w:r>
      <w:r w:rsidRPr="00832C8F">
        <w:rPr>
          <w:rFonts w:eastAsia="Times New Roman"/>
          <w:szCs w:val="22"/>
        </w:rPr>
        <w:t>saj</w:t>
      </w:r>
      <w:r w:rsidRPr="00832C8F">
        <w:rPr>
          <w:rFonts w:eastAsia="Times New Roman"/>
          <w:spacing w:val="-8"/>
          <w:szCs w:val="22"/>
        </w:rPr>
        <w:t xml:space="preserve"> </w:t>
      </w:r>
      <w:r w:rsidRPr="00832C8F">
        <w:rPr>
          <w:rFonts w:eastAsia="Times New Roman"/>
          <w:szCs w:val="22"/>
        </w:rPr>
        <w:t>për</w:t>
      </w:r>
      <w:r w:rsidRPr="00832C8F">
        <w:rPr>
          <w:rFonts w:eastAsia="Times New Roman"/>
          <w:spacing w:val="1"/>
          <w:szCs w:val="22"/>
        </w:rPr>
        <w:t xml:space="preserve"> </w:t>
      </w:r>
      <w:r w:rsidRPr="00832C8F">
        <w:rPr>
          <w:rFonts w:eastAsia="Times New Roman"/>
          <w:szCs w:val="22"/>
        </w:rPr>
        <w:t>një</w:t>
      </w:r>
      <w:r w:rsidRPr="00832C8F">
        <w:rPr>
          <w:rFonts w:eastAsia="Times New Roman"/>
          <w:spacing w:val="4"/>
          <w:szCs w:val="22"/>
        </w:rPr>
        <w:t xml:space="preserve"> </w:t>
      </w:r>
      <w:r w:rsidRPr="00832C8F">
        <w:rPr>
          <w:rFonts w:eastAsia="Times New Roman"/>
          <w:szCs w:val="22"/>
        </w:rPr>
        <w:t>vendim</w:t>
      </w:r>
      <w:r w:rsidRPr="00832C8F">
        <w:rPr>
          <w:rFonts w:eastAsia="Times New Roman"/>
          <w:spacing w:val="-8"/>
          <w:szCs w:val="22"/>
        </w:rPr>
        <w:t xml:space="preserve"> </w:t>
      </w:r>
      <w:r w:rsidRPr="00832C8F">
        <w:rPr>
          <w:rFonts w:eastAsia="Times New Roman"/>
          <w:szCs w:val="22"/>
        </w:rPr>
        <w:t>gjyqësor</w:t>
      </w:r>
      <w:r w:rsidRPr="00832C8F">
        <w:rPr>
          <w:rFonts w:eastAsia="Times New Roman"/>
          <w:spacing w:val="1"/>
          <w:szCs w:val="22"/>
        </w:rPr>
        <w:t xml:space="preserve"> </w:t>
      </w:r>
      <w:r w:rsidRPr="00832C8F">
        <w:rPr>
          <w:rFonts w:eastAsia="Times New Roman"/>
          <w:szCs w:val="22"/>
        </w:rPr>
        <w:t>që lidhet</w:t>
      </w:r>
      <w:r w:rsidRPr="00832C8F">
        <w:rPr>
          <w:rFonts w:eastAsia="Times New Roman"/>
          <w:spacing w:val="5"/>
          <w:szCs w:val="22"/>
        </w:rPr>
        <w:t xml:space="preserve"> </w:t>
      </w:r>
      <w:r w:rsidRPr="00832C8F">
        <w:rPr>
          <w:rFonts w:eastAsia="Times New Roman"/>
          <w:szCs w:val="22"/>
        </w:rPr>
        <w:t>me</w:t>
      </w:r>
      <w:r w:rsidRPr="00832C8F">
        <w:rPr>
          <w:rFonts w:eastAsia="Times New Roman"/>
          <w:spacing w:val="-1"/>
          <w:szCs w:val="22"/>
        </w:rPr>
        <w:t xml:space="preserve"> </w:t>
      </w:r>
      <w:r w:rsidRPr="00832C8F">
        <w:rPr>
          <w:rFonts w:eastAsia="Times New Roman"/>
          <w:szCs w:val="22"/>
        </w:rPr>
        <w:t>një të</w:t>
      </w:r>
      <w:r w:rsidRPr="00832C8F">
        <w:rPr>
          <w:rFonts w:eastAsia="Times New Roman"/>
          <w:spacing w:val="-1"/>
          <w:szCs w:val="22"/>
        </w:rPr>
        <w:t xml:space="preserve"> </w:t>
      </w:r>
      <w:r w:rsidRPr="00832C8F">
        <w:rPr>
          <w:rFonts w:eastAsia="Times New Roman"/>
          <w:szCs w:val="22"/>
        </w:rPr>
        <w:t>drejtë</w:t>
      </w:r>
      <w:r w:rsidRPr="00832C8F">
        <w:rPr>
          <w:rFonts w:eastAsia="Times New Roman"/>
          <w:spacing w:val="-1"/>
          <w:szCs w:val="22"/>
        </w:rPr>
        <w:t xml:space="preserve"> </w:t>
      </w:r>
      <w:r w:rsidRPr="00832C8F">
        <w:rPr>
          <w:rFonts w:eastAsia="Times New Roman"/>
          <w:szCs w:val="22"/>
        </w:rPr>
        <w:t>personale;</w:t>
      </w:r>
      <w:r>
        <w:rPr>
          <w:rFonts w:eastAsia="Times New Roman"/>
          <w:szCs w:val="22"/>
        </w:rPr>
        <w:t xml:space="preserve"> </w:t>
      </w:r>
      <w:r w:rsidRPr="00832C8F">
        <w:rPr>
          <w:rFonts w:eastAsia="Times New Roman"/>
          <w:szCs w:val="22"/>
        </w:rPr>
        <w:t>c) çështja</w:t>
      </w:r>
      <w:r w:rsidRPr="00832C8F">
        <w:rPr>
          <w:rFonts w:eastAsia="Times New Roman"/>
          <w:spacing w:val="-3"/>
          <w:szCs w:val="22"/>
        </w:rPr>
        <w:t xml:space="preserve"> </w:t>
      </w:r>
      <w:r w:rsidRPr="00832C8F">
        <w:rPr>
          <w:rFonts w:eastAsia="Times New Roman"/>
          <w:szCs w:val="22"/>
        </w:rPr>
        <w:t>ka</w:t>
      </w:r>
      <w:r w:rsidRPr="00832C8F">
        <w:rPr>
          <w:rFonts w:eastAsia="Times New Roman"/>
          <w:spacing w:val="-2"/>
          <w:szCs w:val="22"/>
        </w:rPr>
        <w:t xml:space="preserve"> </w:t>
      </w:r>
      <w:r w:rsidRPr="00832C8F">
        <w:rPr>
          <w:rFonts w:eastAsia="Times New Roman"/>
          <w:szCs w:val="22"/>
        </w:rPr>
        <w:t>përbërë</w:t>
      </w:r>
      <w:r w:rsidRPr="00832C8F">
        <w:rPr>
          <w:rFonts w:eastAsia="Times New Roman"/>
          <w:spacing w:val="-2"/>
          <w:szCs w:val="22"/>
        </w:rPr>
        <w:t xml:space="preserve"> </w:t>
      </w:r>
      <w:r w:rsidRPr="00832C8F">
        <w:rPr>
          <w:rFonts w:eastAsia="Times New Roman"/>
          <w:szCs w:val="22"/>
        </w:rPr>
        <w:t>shkak</w:t>
      </w:r>
      <w:r w:rsidRPr="00832C8F">
        <w:rPr>
          <w:rFonts w:eastAsia="Times New Roman"/>
          <w:spacing w:val="-1"/>
          <w:szCs w:val="22"/>
        </w:rPr>
        <w:t xml:space="preserve"> </w:t>
      </w:r>
      <w:r w:rsidRPr="00832C8F">
        <w:rPr>
          <w:rFonts w:eastAsia="Times New Roman"/>
          <w:szCs w:val="22"/>
        </w:rPr>
        <w:t>pezullimi</w:t>
      </w:r>
      <w:r w:rsidRPr="00832C8F">
        <w:rPr>
          <w:rFonts w:eastAsia="Times New Roman"/>
          <w:spacing w:val="-6"/>
          <w:szCs w:val="22"/>
        </w:rPr>
        <w:t xml:space="preserve"> </w:t>
      </w:r>
      <w:r w:rsidRPr="00832C8F">
        <w:rPr>
          <w:rFonts w:eastAsia="Times New Roman"/>
          <w:szCs w:val="22"/>
        </w:rPr>
        <w:t>për një</w:t>
      </w:r>
      <w:r w:rsidRPr="00832C8F">
        <w:rPr>
          <w:rFonts w:eastAsia="Times New Roman"/>
          <w:spacing w:val="-2"/>
          <w:szCs w:val="22"/>
        </w:rPr>
        <w:t xml:space="preserve"> </w:t>
      </w:r>
      <w:r w:rsidRPr="00832C8F">
        <w:rPr>
          <w:rFonts w:eastAsia="Times New Roman"/>
          <w:szCs w:val="22"/>
        </w:rPr>
        <w:t>çështje</w:t>
      </w:r>
      <w:r w:rsidRPr="00832C8F">
        <w:rPr>
          <w:rFonts w:eastAsia="Times New Roman"/>
          <w:spacing w:val="-2"/>
          <w:szCs w:val="22"/>
        </w:rPr>
        <w:t xml:space="preserve"> </w:t>
      </w:r>
      <w:r w:rsidRPr="00832C8F">
        <w:rPr>
          <w:rFonts w:eastAsia="Times New Roman"/>
          <w:szCs w:val="22"/>
        </w:rPr>
        <w:t>tjetër</w:t>
      </w:r>
      <w:r w:rsidRPr="00832C8F">
        <w:rPr>
          <w:rFonts w:eastAsia="Times New Roman"/>
          <w:spacing w:val="-1"/>
          <w:szCs w:val="22"/>
        </w:rPr>
        <w:t xml:space="preserve"> </w:t>
      </w:r>
      <w:r w:rsidRPr="00832C8F">
        <w:rPr>
          <w:rFonts w:eastAsia="Times New Roman"/>
          <w:szCs w:val="22"/>
        </w:rPr>
        <w:t>gjyqësore;</w:t>
      </w:r>
      <w:r>
        <w:rPr>
          <w:rFonts w:eastAsia="Times New Roman"/>
          <w:szCs w:val="22"/>
        </w:rPr>
        <w:t xml:space="preserve"> </w:t>
      </w:r>
      <w:r w:rsidRPr="00832C8F">
        <w:rPr>
          <w:rFonts w:eastAsia="Times New Roman"/>
        </w:rPr>
        <w:t>ç)</w:t>
      </w:r>
      <w:r w:rsidRPr="00832C8F">
        <w:rPr>
          <w:rFonts w:eastAsia="Times New Roman"/>
          <w:spacing w:val="67"/>
        </w:rPr>
        <w:t xml:space="preserve"> </w:t>
      </w:r>
      <w:r w:rsidRPr="00832C8F">
        <w:rPr>
          <w:rFonts w:eastAsia="Times New Roman"/>
        </w:rPr>
        <w:t>çështjet,</w:t>
      </w:r>
      <w:r w:rsidRPr="00832C8F">
        <w:rPr>
          <w:rFonts w:eastAsia="Times New Roman"/>
          <w:spacing w:val="3"/>
        </w:rPr>
        <w:t xml:space="preserve"> </w:t>
      </w:r>
      <w:r w:rsidRPr="00832C8F">
        <w:rPr>
          <w:rFonts w:eastAsia="Times New Roman"/>
        </w:rPr>
        <w:t>shqyrtimi</w:t>
      </w:r>
      <w:r w:rsidRPr="00832C8F">
        <w:rPr>
          <w:rFonts w:eastAsia="Times New Roman"/>
          <w:spacing w:val="1"/>
        </w:rPr>
        <w:t xml:space="preserve"> </w:t>
      </w:r>
      <w:r w:rsidRPr="00832C8F">
        <w:rPr>
          <w:rFonts w:eastAsia="Times New Roman"/>
        </w:rPr>
        <w:t>i</w:t>
      </w:r>
      <w:r w:rsidRPr="00832C8F">
        <w:rPr>
          <w:rFonts w:eastAsia="Times New Roman"/>
          <w:spacing w:val="-9"/>
        </w:rPr>
        <w:t xml:space="preserve"> </w:t>
      </w:r>
      <w:r w:rsidRPr="00832C8F">
        <w:rPr>
          <w:rFonts w:eastAsia="Times New Roman"/>
        </w:rPr>
        <w:t>të</w:t>
      </w:r>
      <w:r w:rsidRPr="00832C8F">
        <w:rPr>
          <w:rFonts w:eastAsia="Times New Roman"/>
          <w:spacing w:val="-1"/>
        </w:rPr>
        <w:t xml:space="preserve"> </w:t>
      </w:r>
      <w:r w:rsidRPr="00832C8F">
        <w:rPr>
          <w:rFonts w:eastAsia="Times New Roman"/>
        </w:rPr>
        <w:t>cilave</w:t>
      </w:r>
      <w:r w:rsidRPr="00832C8F">
        <w:rPr>
          <w:rFonts w:eastAsia="Times New Roman"/>
          <w:spacing w:val="3"/>
        </w:rPr>
        <w:t xml:space="preserve"> </w:t>
      </w:r>
      <w:r w:rsidRPr="00832C8F">
        <w:rPr>
          <w:rFonts w:eastAsia="Times New Roman"/>
        </w:rPr>
        <w:t>në</w:t>
      </w:r>
      <w:r w:rsidRPr="00832C8F">
        <w:rPr>
          <w:rFonts w:eastAsia="Times New Roman"/>
          <w:spacing w:val="-1"/>
        </w:rPr>
        <w:t xml:space="preserve"> </w:t>
      </w:r>
      <w:r w:rsidRPr="00832C8F">
        <w:rPr>
          <w:rFonts w:eastAsia="Times New Roman"/>
        </w:rPr>
        <w:t>gjykatën</w:t>
      </w:r>
      <w:r w:rsidRPr="00832C8F">
        <w:rPr>
          <w:rFonts w:eastAsia="Times New Roman"/>
          <w:spacing w:val="-5"/>
        </w:rPr>
        <w:t xml:space="preserve"> </w:t>
      </w:r>
      <w:r w:rsidRPr="00832C8F">
        <w:rPr>
          <w:rFonts w:eastAsia="Times New Roman"/>
        </w:rPr>
        <w:t>e</w:t>
      </w:r>
      <w:r w:rsidRPr="00832C8F">
        <w:rPr>
          <w:rFonts w:eastAsia="Times New Roman"/>
          <w:spacing w:val="-2"/>
        </w:rPr>
        <w:t xml:space="preserve"> </w:t>
      </w:r>
      <w:r w:rsidRPr="00832C8F">
        <w:rPr>
          <w:rFonts w:eastAsia="Times New Roman"/>
        </w:rPr>
        <w:t>shkallës</w:t>
      </w:r>
      <w:r w:rsidRPr="00832C8F">
        <w:rPr>
          <w:rFonts w:eastAsia="Times New Roman"/>
          <w:spacing w:val="-2"/>
        </w:rPr>
        <w:t xml:space="preserve"> </w:t>
      </w:r>
      <w:r w:rsidRPr="00832C8F">
        <w:rPr>
          <w:rFonts w:eastAsia="Times New Roman"/>
        </w:rPr>
        <w:t>së</w:t>
      </w:r>
      <w:r w:rsidRPr="00832C8F">
        <w:rPr>
          <w:rFonts w:eastAsia="Times New Roman"/>
          <w:spacing w:val="-1"/>
        </w:rPr>
        <w:t xml:space="preserve"> </w:t>
      </w:r>
      <w:r w:rsidRPr="00832C8F">
        <w:rPr>
          <w:rFonts w:eastAsia="Times New Roman"/>
        </w:rPr>
        <w:t>parë</w:t>
      </w:r>
      <w:r w:rsidRPr="00832C8F">
        <w:rPr>
          <w:rFonts w:eastAsia="Times New Roman"/>
          <w:spacing w:val="-2"/>
        </w:rPr>
        <w:t xml:space="preserve"> </w:t>
      </w:r>
      <w:r w:rsidRPr="00832C8F">
        <w:rPr>
          <w:rFonts w:eastAsia="Times New Roman"/>
        </w:rPr>
        <w:t>ka</w:t>
      </w:r>
      <w:r w:rsidRPr="00832C8F">
        <w:rPr>
          <w:rFonts w:eastAsia="Times New Roman"/>
          <w:spacing w:val="-1"/>
        </w:rPr>
        <w:t xml:space="preserve"> </w:t>
      </w:r>
      <w:r w:rsidRPr="00832C8F">
        <w:rPr>
          <w:rFonts w:eastAsia="Times New Roman"/>
        </w:rPr>
        <w:t>zgjatur</w:t>
      </w:r>
      <w:r w:rsidRPr="00832C8F">
        <w:rPr>
          <w:rFonts w:eastAsia="Times New Roman"/>
          <w:spacing w:val="1"/>
        </w:rPr>
        <w:t xml:space="preserve"> </w:t>
      </w:r>
      <w:r w:rsidRPr="00832C8F">
        <w:rPr>
          <w:rFonts w:eastAsia="Times New Roman"/>
        </w:rPr>
        <w:t>përmbi</w:t>
      </w:r>
      <w:r w:rsidRPr="00832C8F">
        <w:rPr>
          <w:rFonts w:eastAsia="Times New Roman"/>
          <w:spacing w:val="-6"/>
        </w:rPr>
        <w:t xml:space="preserve"> </w:t>
      </w:r>
      <w:r w:rsidRPr="00832C8F">
        <w:rPr>
          <w:rFonts w:eastAsia="Times New Roman"/>
        </w:rPr>
        <w:t xml:space="preserve">2 vjet; d) </w:t>
      </w:r>
      <w:r w:rsidRPr="00832C8F">
        <w:rPr>
          <w:rFonts w:eastAsia="Times New Roman"/>
          <w:szCs w:val="22"/>
        </w:rPr>
        <w:t xml:space="preserve">çështjet të cilat ligji i ka përcaktuar në juridiksionin fillestar </w:t>
      </w:r>
      <w:r w:rsidRPr="00C73C28">
        <w:rPr>
          <w:rFonts w:eastAsia="Times New Roman"/>
          <w:szCs w:val="22"/>
        </w:rPr>
        <w:t>gjyqësor të gjykatës së</w:t>
      </w:r>
      <w:r w:rsidRPr="00C73C28">
        <w:rPr>
          <w:rFonts w:eastAsia="Times New Roman"/>
          <w:spacing w:val="1"/>
          <w:szCs w:val="22"/>
        </w:rPr>
        <w:t xml:space="preserve"> </w:t>
      </w:r>
      <w:r w:rsidRPr="00C73C28">
        <w:rPr>
          <w:rFonts w:eastAsia="Times New Roman"/>
          <w:szCs w:val="22"/>
        </w:rPr>
        <w:t>apelit</w:t>
      </w:r>
      <w:r w:rsidRPr="00C73C28">
        <w:rPr>
          <w:rFonts w:eastAsia="Times New Roman"/>
          <w:spacing w:val="3"/>
          <w:szCs w:val="22"/>
        </w:rPr>
        <w:t xml:space="preserve"> </w:t>
      </w:r>
      <w:r w:rsidRPr="00C73C28">
        <w:rPr>
          <w:rFonts w:eastAsia="Times New Roman"/>
          <w:szCs w:val="22"/>
        </w:rPr>
        <w:t>dhe</w:t>
      </w:r>
      <w:r w:rsidRPr="00C73C28">
        <w:rPr>
          <w:rFonts w:eastAsia="Times New Roman"/>
          <w:spacing w:val="-3"/>
          <w:szCs w:val="22"/>
        </w:rPr>
        <w:t xml:space="preserve"> </w:t>
      </w:r>
      <w:r w:rsidRPr="00C73C28">
        <w:rPr>
          <w:rFonts w:eastAsia="Times New Roman"/>
          <w:szCs w:val="22"/>
        </w:rPr>
        <w:t>shqyrtimi</w:t>
      </w:r>
      <w:r w:rsidRPr="00C73C28">
        <w:rPr>
          <w:rFonts w:eastAsia="Times New Roman"/>
          <w:spacing w:val="-5"/>
          <w:szCs w:val="22"/>
        </w:rPr>
        <w:t xml:space="preserve"> </w:t>
      </w:r>
      <w:r w:rsidRPr="00C73C28">
        <w:rPr>
          <w:rFonts w:eastAsia="Times New Roman"/>
          <w:szCs w:val="22"/>
        </w:rPr>
        <w:t>i</w:t>
      </w:r>
      <w:r w:rsidRPr="00C73C28">
        <w:rPr>
          <w:rFonts w:eastAsia="Times New Roman"/>
          <w:spacing w:val="-6"/>
          <w:szCs w:val="22"/>
        </w:rPr>
        <w:t xml:space="preserve"> </w:t>
      </w:r>
      <w:r w:rsidRPr="00C73C28">
        <w:rPr>
          <w:rFonts w:eastAsia="Times New Roman"/>
          <w:szCs w:val="22"/>
        </w:rPr>
        <w:t>të</w:t>
      </w:r>
      <w:r w:rsidRPr="00C73C28">
        <w:rPr>
          <w:rFonts w:eastAsia="Times New Roman"/>
          <w:spacing w:val="-2"/>
          <w:szCs w:val="22"/>
        </w:rPr>
        <w:t xml:space="preserve"> </w:t>
      </w:r>
      <w:r w:rsidRPr="00C73C28">
        <w:rPr>
          <w:rFonts w:eastAsia="Times New Roman"/>
          <w:szCs w:val="22"/>
        </w:rPr>
        <w:t>cilave</w:t>
      </w:r>
      <w:r w:rsidRPr="00C73C28">
        <w:rPr>
          <w:rFonts w:eastAsia="Times New Roman"/>
          <w:spacing w:val="-3"/>
          <w:szCs w:val="22"/>
        </w:rPr>
        <w:t xml:space="preserve"> </w:t>
      </w:r>
      <w:r w:rsidRPr="00C73C28">
        <w:rPr>
          <w:rFonts w:eastAsia="Times New Roman"/>
          <w:szCs w:val="22"/>
        </w:rPr>
        <w:t>në</w:t>
      </w:r>
      <w:r w:rsidRPr="00C73C28">
        <w:rPr>
          <w:rFonts w:eastAsia="Times New Roman"/>
          <w:spacing w:val="3"/>
          <w:szCs w:val="22"/>
        </w:rPr>
        <w:t xml:space="preserve"> </w:t>
      </w:r>
      <w:r w:rsidRPr="00C73C28">
        <w:rPr>
          <w:rFonts w:eastAsia="Times New Roman"/>
          <w:szCs w:val="22"/>
        </w:rPr>
        <w:t>juridiksionin</w:t>
      </w:r>
      <w:r w:rsidRPr="00C73C28">
        <w:rPr>
          <w:rFonts w:eastAsia="Times New Roman"/>
          <w:spacing w:val="-2"/>
          <w:szCs w:val="22"/>
        </w:rPr>
        <w:t xml:space="preserve"> </w:t>
      </w:r>
      <w:r w:rsidRPr="00C73C28">
        <w:rPr>
          <w:rFonts w:eastAsia="Times New Roman"/>
          <w:szCs w:val="22"/>
        </w:rPr>
        <w:t>administrativ</w:t>
      </w:r>
      <w:r w:rsidRPr="00C73C28">
        <w:rPr>
          <w:rFonts w:eastAsia="Times New Roman"/>
          <w:spacing w:val="-6"/>
          <w:szCs w:val="22"/>
        </w:rPr>
        <w:t xml:space="preserve"> </w:t>
      </w:r>
      <w:r w:rsidRPr="00C73C28">
        <w:rPr>
          <w:rFonts w:eastAsia="Times New Roman"/>
          <w:szCs w:val="22"/>
        </w:rPr>
        <w:t>ka</w:t>
      </w:r>
      <w:r w:rsidRPr="00C73C28">
        <w:rPr>
          <w:rFonts w:eastAsia="Times New Roman"/>
          <w:spacing w:val="-2"/>
          <w:szCs w:val="22"/>
        </w:rPr>
        <w:t xml:space="preserve"> </w:t>
      </w:r>
      <w:r w:rsidRPr="00C73C28">
        <w:rPr>
          <w:rFonts w:eastAsia="Times New Roman"/>
          <w:szCs w:val="22"/>
        </w:rPr>
        <w:t>zgjatur përmbi</w:t>
      </w:r>
      <w:r w:rsidRPr="00C73C28">
        <w:rPr>
          <w:rFonts w:eastAsia="Times New Roman"/>
          <w:spacing w:val="-10"/>
          <w:szCs w:val="22"/>
        </w:rPr>
        <w:t xml:space="preserve"> </w:t>
      </w:r>
      <w:r w:rsidRPr="00C73C28">
        <w:rPr>
          <w:rFonts w:eastAsia="Times New Roman"/>
          <w:szCs w:val="22"/>
        </w:rPr>
        <w:t>2</w:t>
      </w:r>
      <w:r w:rsidRPr="00C73C28">
        <w:rPr>
          <w:rFonts w:eastAsia="Times New Roman"/>
          <w:spacing w:val="2"/>
          <w:szCs w:val="22"/>
        </w:rPr>
        <w:t xml:space="preserve"> </w:t>
      </w:r>
      <w:r w:rsidRPr="00C73C28">
        <w:rPr>
          <w:rFonts w:eastAsia="Times New Roman"/>
          <w:szCs w:val="22"/>
        </w:rPr>
        <w:t>vjet</w:t>
      </w:r>
      <w:r w:rsidRPr="00C73C28">
        <w:rPr>
          <w:rStyle w:val="markedcontent"/>
        </w:rPr>
        <w:t xml:space="preserve"> (shih pikat 4, 5 dhe 6</w:t>
      </w:r>
      <w:r>
        <w:rPr>
          <w:rStyle w:val="markedcontent"/>
        </w:rPr>
        <w:t>, Kreu II,</w:t>
      </w:r>
      <w:r w:rsidRPr="00C73C28">
        <w:rPr>
          <w:rStyle w:val="markedcontent"/>
        </w:rPr>
        <w:t xml:space="preserve"> të vendimit nr. 78</w:t>
      </w:r>
      <w:r>
        <w:rPr>
          <w:rStyle w:val="markedcontent"/>
        </w:rPr>
        <w:t>/</w:t>
      </w:r>
      <w:r w:rsidRPr="00C73C28">
        <w:rPr>
          <w:rStyle w:val="markedcontent"/>
        </w:rPr>
        <w:t>2019 të KLGJ-së).</w:t>
      </w:r>
    </w:p>
    <w:p w:rsidR="000414D1" w:rsidRPr="00932447" w:rsidRDefault="000414D1" w:rsidP="000414D1">
      <w:pPr>
        <w:pStyle w:val="ListParagraph"/>
        <w:numPr>
          <w:ilvl w:val="0"/>
          <w:numId w:val="17"/>
        </w:numPr>
        <w:tabs>
          <w:tab w:val="left" w:pos="1080"/>
        </w:tabs>
        <w:ind w:left="0" w:firstLine="720"/>
        <w:jc w:val="both"/>
      </w:pPr>
      <w:r>
        <w:rPr>
          <w:rStyle w:val="markedcontent"/>
        </w:rPr>
        <w:t>N</w:t>
      </w:r>
      <w:r w:rsidRPr="00357250">
        <w:rPr>
          <w:rStyle w:val="markedcontent"/>
        </w:rPr>
        <w:t>ë</w:t>
      </w:r>
      <w:r>
        <w:rPr>
          <w:rStyle w:val="markedcontent"/>
        </w:rPr>
        <w:t xml:space="preserve"> vijim, k</w:t>
      </w:r>
      <w:r w:rsidRPr="00932447">
        <w:rPr>
          <w:rStyle w:val="markedcontent"/>
        </w:rPr>
        <w:t>ur pala bën k</w:t>
      </w:r>
      <w:r w:rsidRPr="00DA4FCD">
        <w:rPr>
          <w:rStyle w:val="markedcontent"/>
        </w:rPr>
        <w:t>ë</w:t>
      </w:r>
      <w:r w:rsidRPr="00932447">
        <w:rPr>
          <w:rStyle w:val="markedcontent"/>
        </w:rPr>
        <w:t>rkesë për përshpejtim,</w:t>
      </w:r>
      <w:r w:rsidRPr="00932447">
        <w:t xml:space="preserve"> </w:t>
      </w:r>
      <w:r>
        <w:t>gjyqtari relator shqyrton kërkesën e palës për përshpejtimin e</w:t>
      </w:r>
      <w:r w:rsidRPr="00C86183">
        <w:rPr>
          <w:spacing w:val="1"/>
        </w:rPr>
        <w:t xml:space="preserve"> </w:t>
      </w:r>
      <w:r>
        <w:t>shqyrtimit</w:t>
      </w:r>
      <w:r w:rsidRPr="00C86183">
        <w:rPr>
          <w:spacing w:val="60"/>
        </w:rPr>
        <w:t xml:space="preserve"> </w:t>
      </w:r>
      <w:r>
        <w:t>të çështjes, jo</w:t>
      </w:r>
      <w:r w:rsidRPr="00C86183">
        <w:rPr>
          <w:spacing w:val="1"/>
        </w:rPr>
        <w:t xml:space="preserve"> </w:t>
      </w:r>
      <w:r>
        <w:t>më</w:t>
      </w:r>
      <w:r w:rsidRPr="00C86183">
        <w:rPr>
          <w:spacing w:val="5"/>
        </w:rPr>
        <w:t xml:space="preserve"> </w:t>
      </w:r>
      <w:r>
        <w:t>vonë</w:t>
      </w:r>
      <w:r w:rsidRPr="00C86183">
        <w:rPr>
          <w:spacing w:val="1"/>
        </w:rPr>
        <w:t xml:space="preserve"> </w:t>
      </w:r>
      <w:r>
        <w:t>se</w:t>
      </w:r>
      <w:r w:rsidRPr="00C86183">
        <w:rPr>
          <w:spacing w:val="1"/>
        </w:rPr>
        <w:t xml:space="preserve"> </w:t>
      </w:r>
      <w:r>
        <w:t>30</w:t>
      </w:r>
      <w:r w:rsidRPr="00C86183">
        <w:rPr>
          <w:spacing w:val="1"/>
        </w:rPr>
        <w:t xml:space="preserve"> </w:t>
      </w:r>
      <w:r>
        <w:t>ditë</w:t>
      </w:r>
      <w:r w:rsidRPr="00C86183">
        <w:rPr>
          <w:spacing w:val="1"/>
        </w:rPr>
        <w:t xml:space="preserve"> </w:t>
      </w:r>
      <w:r>
        <w:t>nga dita</w:t>
      </w:r>
      <w:r w:rsidRPr="00C86183">
        <w:rPr>
          <w:spacing w:val="1"/>
        </w:rPr>
        <w:t xml:space="preserve"> </w:t>
      </w:r>
      <w:r>
        <w:t>e dorëzimit</w:t>
      </w:r>
      <w:r w:rsidRPr="00C86183">
        <w:rPr>
          <w:spacing w:val="6"/>
        </w:rPr>
        <w:t xml:space="preserve"> </w:t>
      </w:r>
      <w:r>
        <w:t>të</w:t>
      </w:r>
      <w:r w:rsidRPr="00C86183">
        <w:rPr>
          <w:spacing w:val="1"/>
        </w:rPr>
        <w:t xml:space="preserve"> </w:t>
      </w:r>
      <w:r>
        <w:t>kërkesës. Kur</w:t>
      </w:r>
      <w:r w:rsidRPr="00C86183">
        <w:rPr>
          <w:spacing w:val="1"/>
        </w:rPr>
        <w:t xml:space="preserve"> </w:t>
      </w:r>
      <w:r>
        <w:t>kërkesa</w:t>
      </w:r>
      <w:r w:rsidRPr="00C86183">
        <w:rPr>
          <w:spacing w:val="1"/>
        </w:rPr>
        <w:t xml:space="preserve"> </w:t>
      </w:r>
      <w:r>
        <w:t>e</w:t>
      </w:r>
      <w:r w:rsidRPr="00C86183">
        <w:rPr>
          <w:spacing w:val="1"/>
        </w:rPr>
        <w:t xml:space="preserve"> </w:t>
      </w:r>
      <w:r>
        <w:t>palës</w:t>
      </w:r>
      <w:r w:rsidRPr="00C86183">
        <w:rPr>
          <w:spacing w:val="1"/>
        </w:rPr>
        <w:t xml:space="preserve"> </w:t>
      </w:r>
      <w:r>
        <w:t>për</w:t>
      </w:r>
      <w:r w:rsidRPr="00C86183">
        <w:rPr>
          <w:spacing w:val="1"/>
        </w:rPr>
        <w:t xml:space="preserve"> </w:t>
      </w:r>
      <w:r>
        <w:t>përshpejtimin</w:t>
      </w:r>
      <w:r w:rsidRPr="00C86183">
        <w:rPr>
          <w:spacing w:val="1"/>
        </w:rPr>
        <w:t xml:space="preserve"> </w:t>
      </w:r>
      <w:r>
        <w:t>e</w:t>
      </w:r>
      <w:r w:rsidRPr="00C86183">
        <w:rPr>
          <w:spacing w:val="1"/>
        </w:rPr>
        <w:t xml:space="preserve"> </w:t>
      </w:r>
      <w:r>
        <w:t>shqyrtimit</w:t>
      </w:r>
      <w:r w:rsidRPr="00C86183">
        <w:rPr>
          <w:spacing w:val="1"/>
        </w:rPr>
        <w:t xml:space="preserve"> </w:t>
      </w:r>
      <w:r>
        <w:t>të</w:t>
      </w:r>
      <w:r w:rsidRPr="00C86183">
        <w:rPr>
          <w:spacing w:val="1"/>
        </w:rPr>
        <w:t xml:space="preserve"> </w:t>
      </w:r>
      <w:r>
        <w:t>çështjes</w:t>
      </w:r>
      <w:r w:rsidRPr="00C86183">
        <w:rPr>
          <w:spacing w:val="1"/>
        </w:rPr>
        <w:t xml:space="preserve"> </w:t>
      </w:r>
      <w:r>
        <w:t>vlerësohet</w:t>
      </w:r>
      <w:r w:rsidRPr="00C86183">
        <w:rPr>
          <w:spacing w:val="1"/>
        </w:rPr>
        <w:t xml:space="preserve"> </w:t>
      </w:r>
      <w:r>
        <w:t>e</w:t>
      </w:r>
      <w:r w:rsidRPr="00C86183">
        <w:rPr>
          <w:spacing w:val="60"/>
        </w:rPr>
        <w:t xml:space="preserve"> </w:t>
      </w:r>
      <w:r>
        <w:t>bazuar,</w:t>
      </w:r>
      <w:r w:rsidRPr="00C86183">
        <w:rPr>
          <w:spacing w:val="1"/>
        </w:rPr>
        <w:t xml:space="preserve"> </w:t>
      </w:r>
      <w:r>
        <w:t>gjyqtari</w:t>
      </w:r>
      <w:r w:rsidRPr="00C86183">
        <w:rPr>
          <w:spacing w:val="1"/>
        </w:rPr>
        <w:t xml:space="preserve"> </w:t>
      </w:r>
      <w:r>
        <w:t>relator</w:t>
      </w:r>
      <w:r w:rsidRPr="00C86183">
        <w:rPr>
          <w:spacing w:val="1"/>
        </w:rPr>
        <w:t xml:space="preserve"> </w:t>
      </w:r>
      <w:r>
        <w:t>vendos</w:t>
      </w:r>
      <w:r w:rsidRPr="00C86183">
        <w:rPr>
          <w:spacing w:val="1"/>
        </w:rPr>
        <w:t xml:space="preserve"> </w:t>
      </w:r>
      <w:r>
        <w:t>pranimin</w:t>
      </w:r>
      <w:r w:rsidRPr="00C86183">
        <w:rPr>
          <w:spacing w:val="1"/>
        </w:rPr>
        <w:t xml:space="preserve"> </w:t>
      </w:r>
      <w:r>
        <w:t>e</w:t>
      </w:r>
      <w:r w:rsidRPr="00C86183">
        <w:rPr>
          <w:spacing w:val="1"/>
        </w:rPr>
        <w:t xml:space="preserve"> </w:t>
      </w:r>
      <w:r>
        <w:t>saj,</w:t>
      </w:r>
      <w:r w:rsidRPr="00C86183">
        <w:rPr>
          <w:spacing w:val="1"/>
        </w:rPr>
        <w:t xml:space="preserve"> </w:t>
      </w:r>
      <w:r>
        <w:t>duke</w:t>
      </w:r>
      <w:r w:rsidRPr="00C86183">
        <w:rPr>
          <w:spacing w:val="1"/>
        </w:rPr>
        <w:t xml:space="preserve"> </w:t>
      </w:r>
      <w:r>
        <w:t>parashtruar</w:t>
      </w:r>
      <w:r w:rsidRPr="00C86183">
        <w:rPr>
          <w:spacing w:val="1"/>
        </w:rPr>
        <w:t xml:space="preserve"> </w:t>
      </w:r>
      <w:r>
        <w:rPr>
          <w:spacing w:val="1"/>
        </w:rPr>
        <w:t>e</w:t>
      </w:r>
      <w:r>
        <w:t>dhe</w:t>
      </w:r>
      <w:r w:rsidRPr="00C86183">
        <w:rPr>
          <w:spacing w:val="1"/>
        </w:rPr>
        <w:t xml:space="preserve"> </w:t>
      </w:r>
      <w:r>
        <w:t>arsyet</w:t>
      </w:r>
      <w:r w:rsidRPr="00C86183">
        <w:rPr>
          <w:spacing w:val="1"/>
        </w:rPr>
        <w:t xml:space="preserve"> </w:t>
      </w:r>
      <w:r>
        <w:t>në</w:t>
      </w:r>
      <w:r w:rsidRPr="00C86183">
        <w:rPr>
          <w:spacing w:val="1"/>
        </w:rPr>
        <w:t xml:space="preserve"> </w:t>
      </w:r>
      <w:r>
        <w:t>lidhje</w:t>
      </w:r>
      <w:r w:rsidRPr="00C86183">
        <w:rPr>
          <w:spacing w:val="1"/>
        </w:rPr>
        <w:t xml:space="preserve"> </w:t>
      </w:r>
      <w:r>
        <w:t>me</w:t>
      </w:r>
      <w:r w:rsidRPr="00C86183">
        <w:rPr>
          <w:spacing w:val="1"/>
        </w:rPr>
        <w:t xml:space="preserve"> </w:t>
      </w:r>
      <w:r>
        <w:t>vlerësimin e tij, në këtë rast, në varësi të ngarkesës dhe të urgjencës së çështjes, edhe</w:t>
      </w:r>
      <w:r w:rsidRPr="00C86183">
        <w:rPr>
          <w:spacing w:val="1"/>
        </w:rPr>
        <w:t xml:space="preserve"> </w:t>
      </w:r>
      <w:r>
        <w:t>intervalin kohor brenda të cilit çështja do të planifikohet në kalendarin e shqyrtimit të</w:t>
      </w:r>
      <w:r w:rsidRPr="00C86183">
        <w:rPr>
          <w:spacing w:val="1"/>
        </w:rPr>
        <w:t xml:space="preserve"> </w:t>
      </w:r>
      <w:r>
        <w:t>çështjeve. Sekretari gjyqësor i gjyqtarit relator kujdeset për ndjekjen e planifikimit të</w:t>
      </w:r>
      <w:r w:rsidRPr="00C86183">
        <w:rPr>
          <w:spacing w:val="1"/>
        </w:rPr>
        <w:t xml:space="preserve"> </w:t>
      </w:r>
      <w:r>
        <w:t>çështjes</w:t>
      </w:r>
      <w:r w:rsidRPr="00C86183">
        <w:rPr>
          <w:spacing w:val="1"/>
        </w:rPr>
        <w:t xml:space="preserve"> </w:t>
      </w:r>
      <w:r>
        <w:t>në</w:t>
      </w:r>
      <w:r w:rsidRPr="00C86183">
        <w:rPr>
          <w:spacing w:val="1"/>
        </w:rPr>
        <w:t xml:space="preserve"> </w:t>
      </w:r>
      <w:r>
        <w:t>kalendarin e</w:t>
      </w:r>
      <w:r w:rsidRPr="00C86183">
        <w:rPr>
          <w:spacing w:val="1"/>
        </w:rPr>
        <w:t xml:space="preserve"> </w:t>
      </w:r>
      <w:r>
        <w:t>shqyrtimit</w:t>
      </w:r>
      <w:r w:rsidRPr="00C86183">
        <w:rPr>
          <w:spacing w:val="1"/>
        </w:rPr>
        <w:t xml:space="preserve"> </w:t>
      </w:r>
      <w:r>
        <w:t>të</w:t>
      </w:r>
      <w:r w:rsidRPr="00C86183">
        <w:rPr>
          <w:spacing w:val="1"/>
        </w:rPr>
        <w:t xml:space="preserve"> </w:t>
      </w:r>
      <w:r>
        <w:t>çështjeve</w:t>
      </w:r>
      <w:r w:rsidRPr="00C86183">
        <w:rPr>
          <w:spacing w:val="1"/>
        </w:rPr>
        <w:t xml:space="preserve"> </w:t>
      </w:r>
      <w:r>
        <w:t>sipas</w:t>
      </w:r>
      <w:r w:rsidRPr="00C86183">
        <w:rPr>
          <w:spacing w:val="1"/>
        </w:rPr>
        <w:t xml:space="preserve"> </w:t>
      </w:r>
      <w:r>
        <w:t>planifikimit</w:t>
      </w:r>
      <w:r w:rsidRPr="00C86183">
        <w:rPr>
          <w:spacing w:val="1"/>
        </w:rPr>
        <w:t xml:space="preserve"> </w:t>
      </w:r>
      <w:r>
        <w:t>paraprak</w:t>
      </w:r>
      <w:r w:rsidRPr="00C86183">
        <w:rPr>
          <w:spacing w:val="1"/>
        </w:rPr>
        <w:t xml:space="preserve"> </w:t>
      </w:r>
      <w:r>
        <w:t>në</w:t>
      </w:r>
      <w:r w:rsidRPr="00C86183">
        <w:rPr>
          <w:spacing w:val="1"/>
        </w:rPr>
        <w:t xml:space="preserve"> </w:t>
      </w:r>
      <w:r>
        <w:t>aktin</w:t>
      </w:r>
      <w:r w:rsidRPr="00C86183">
        <w:rPr>
          <w:spacing w:val="1"/>
        </w:rPr>
        <w:t xml:space="preserve"> </w:t>
      </w:r>
      <w:r>
        <w:t>përkatës</w:t>
      </w:r>
      <w:r w:rsidRPr="00C86183">
        <w:rPr>
          <w:spacing w:val="-6"/>
        </w:rPr>
        <w:t xml:space="preserve"> </w:t>
      </w:r>
      <w:r>
        <w:t>të</w:t>
      </w:r>
      <w:r w:rsidRPr="00C86183">
        <w:rPr>
          <w:spacing w:val="1"/>
        </w:rPr>
        <w:t xml:space="preserve"> </w:t>
      </w:r>
      <w:r>
        <w:t>gjyqtarit</w:t>
      </w:r>
      <w:r w:rsidRPr="00C86183">
        <w:rPr>
          <w:spacing w:val="7"/>
        </w:rPr>
        <w:t xml:space="preserve"> </w:t>
      </w:r>
      <w:r>
        <w:t>relator</w:t>
      </w:r>
      <w:r w:rsidRPr="00932447">
        <w:rPr>
          <w:rStyle w:val="markedcontent"/>
        </w:rPr>
        <w:t xml:space="preserve"> </w:t>
      </w:r>
      <w:r w:rsidRPr="00C86183">
        <w:rPr>
          <w:rStyle w:val="markedcontent"/>
        </w:rPr>
        <w:t>(</w:t>
      </w:r>
      <w:r>
        <w:rPr>
          <w:rStyle w:val="markedcontent"/>
        </w:rPr>
        <w:t xml:space="preserve">shih </w:t>
      </w:r>
      <w:r w:rsidRPr="00C86183">
        <w:rPr>
          <w:rStyle w:val="markedcontent"/>
        </w:rPr>
        <w:t>pika</w:t>
      </w:r>
      <w:r>
        <w:rPr>
          <w:rStyle w:val="markedcontent"/>
        </w:rPr>
        <w:t>t</w:t>
      </w:r>
      <w:r w:rsidRPr="00C86183">
        <w:rPr>
          <w:rStyle w:val="markedcontent"/>
        </w:rPr>
        <w:t xml:space="preserve"> 7 dhe 8</w:t>
      </w:r>
      <w:r>
        <w:rPr>
          <w:rStyle w:val="markedcontent"/>
        </w:rPr>
        <w:t>, Kreu III,</w:t>
      </w:r>
      <w:r w:rsidRPr="00C86183">
        <w:rPr>
          <w:rStyle w:val="markedcontent"/>
        </w:rPr>
        <w:t xml:space="preserve"> </w:t>
      </w:r>
      <w:r>
        <w:rPr>
          <w:rStyle w:val="markedcontent"/>
        </w:rPr>
        <w:t>të</w:t>
      </w:r>
      <w:r w:rsidRPr="00C86183">
        <w:rPr>
          <w:rStyle w:val="markedcontent"/>
        </w:rPr>
        <w:t xml:space="preserve"> </w:t>
      </w:r>
      <w:r w:rsidRPr="00C73C28">
        <w:rPr>
          <w:rStyle w:val="markedcontent"/>
        </w:rPr>
        <w:t>vendimit nr.</w:t>
      </w:r>
      <w:r>
        <w:rPr>
          <w:rStyle w:val="markedcontent"/>
        </w:rPr>
        <w:t xml:space="preserve"> </w:t>
      </w:r>
      <w:r w:rsidRPr="00C73C28">
        <w:rPr>
          <w:rStyle w:val="markedcontent"/>
        </w:rPr>
        <w:t>78/2019 të KLGJ-së).</w:t>
      </w:r>
    </w:p>
    <w:p w:rsidR="000414D1" w:rsidRDefault="000414D1" w:rsidP="000414D1">
      <w:pPr>
        <w:pStyle w:val="ListParagraph"/>
        <w:numPr>
          <w:ilvl w:val="0"/>
          <w:numId w:val="17"/>
        </w:numPr>
        <w:tabs>
          <w:tab w:val="left" w:pos="1080"/>
        </w:tabs>
        <w:ind w:left="0" w:firstLine="720"/>
        <w:jc w:val="both"/>
      </w:pPr>
      <w:r w:rsidRPr="00932447">
        <w:t xml:space="preserve">Për sa më lart, parimi i shpejtësisë së gjykimit dhe </w:t>
      </w:r>
      <w:r>
        <w:t xml:space="preserve">i </w:t>
      </w:r>
      <w:proofErr w:type="spellStart"/>
      <w:r w:rsidRPr="00932447">
        <w:t>prioritizimit</w:t>
      </w:r>
      <w:proofErr w:type="spellEnd"/>
      <w:r w:rsidRPr="00932447">
        <w:t>, jo duke u nisur vetëm nga periudha kohore e paraqitjes së kërkesës, padisë, ankim</w:t>
      </w:r>
      <w:r w:rsidRPr="00B26CB3">
        <w:t xml:space="preserve">it </w:t>
      </w:r>
      <w:r>
        <w:t>ose</w:t>
      </w:r>
      <w:r w:rsidRPr="00B26CB3">
        <w:t xml:space="preserve"> rekursit, mund të zbatohet për një numër të caktuar çështjesh dhe kalendari i tyre është caktuar nga KLGJ-ja</w:t>
      </w:r>
      <w:r>
        <w:t>,</w:t>
      </w:r>
      <w:r w:rsidRPr="00B26CB3">
        <w:t xml:space="preserve"> duke pasur parasysh standardet ndërkombëtare dhe kombëtare, por edhe situatën </w:t>
      </w:r>
      <w:r>
        <w:t>aktuale t</w:t>
      </w:r>
      <w:r w:rsidRPr="00BA6E11">
        <w:t>ë</w:t>
      </w:r>
      <w:r w:rsidRPr="00B26CB3">
        <w:t xml:space="preserve"> mbingarkesës. </w:t>
      </w:r>
    </w:p>
    <w:p w:rsidR="000414D1" w:rsidRDefault="000414D1" w:rsidP="000414D1">
      <w:pPr>
        <w:pStyle w:val="ListParagraph"/>
        <w:numPr>
          <w:ilvl w:val="0"/>
          <w:numId w:val="17"/>
        </w:numPr>
        <w:tabs>
          <w:tab w:val="left" w:pos="1080"/>
        </w:tabs>
        <w:ind w:left="0" w:firstLine="720"/>
        <w:jc w:val="both"/>
      </w:pPr>
      <w:r>
        <w:t>N</w:t>
      </w:r>
      <w:r w:rsidRPr="00BA6E11">
        <w:t>ë</w:t>
      </w:r>
      <w:r>
        <w:t xml:space="preserve"> v</w:t>
      </w:r>
      <w:r w:rsidRPr="00BA6E11">
        <w:t>ë</w:t>
      </w:r>
      <w:r>
        <w:t>shtrim t</w:t>
      </w:r>
      <w:r w:rsidRPr="00BA6E11">
        <w:t>ë</w:t>
      </w:r>
      <w:r>
        <w:t xml:space="preserve"> sa m</w:t>
      </w:r>
      <w:r w:rsidRPr="00BA6E11">
        <w:t>ë</w:t>
      </w:r>
      <w:r>
        <w:t xml:space="preserve"> lart, duke mos iu përmbajtur kritereve kushtetuese t</w:t>
      </w:r>
      <w:r w:rsidRPr="00BA6E11">
        <w:t>ë</w:t>
      </w:r>
      <w:r>
        <w:t xml:space="preserve"> v</w:t>
      </w:r>
      <w:r w:rsidRPr="00BA6E11">
        <w:t>ë</w:t>
      </w:r>
      <w:r>
        <w:t>na prej saj, me jurisprudenc</w:t>
      </w:r>
      <w:r w:rsidRPr="00BA6E11">
        <w:t>ë</w:t>
      </w:r>
      <w:r>
        <w:t>n nd</w:t>
      </w:r>
      <w:r w:rsidRPr="00BA6E11">
        <w:t>ë</w:t>
      </w:r>
      <w:r>
        <w:t>r vite dhe q</w:t>
      </w:r>
      <w:r w:rsidRPr="00BA6E11">
        <w:t>ë</w:t>
      </w:r>
      <w:r>
        <w:t xml:space="preserve"> </w:t>
      </w:r>
      <w:proofErr w:type="spellStart"/>
      <w:r>
        <w:t>prezumohet</w:t>
      </w:r>
      <w:proofErr w:type="spellEnd"/>
      <w:r>
        <w:t xml:space="preserve"> se ka gjetur pasqyrim edhe n</w:t>
      </w:r>
      <w:r w:rsidRPr="00BA6E11">
        <w:t>ë</w:t>
      </w:r>
      <w:r>
        <w:t xml:space="preserve"> kuadrin ligjor e n</w:t>
      </w:r>
      <w:r w:rsidRPr="00BA6E11">
        <w:t>ë</w:t>
      </w:r>
      <w:r>
        <w:t xml:space="preserve">nligjor, shumica ka ndërhyrë në kompetencat e gjykatave të juridiksionit të zakonshëm, në rastin konkret në kalendarin e shqyrtimit të çështjeve nga </w:t>
      </w:r>
      <w:proofErr w:type="spellStart"/>
      <w:r>
        <w:t>relatorja</w:t>
      </w:r>
      <w:proofErr w:type="spellEnd"/>
      <w:r>
        <w:t xml:space="preserve">, duke ndryshuar kështu kriteret për </w:t>
      </w:r>
      <w:proofErr w:type="spellStart"/>
      <w:r>
        <w:t>prioritizimin</w:t>
      </w:r>
      <w:proofErr w:type="spellEnd"/>
      <w:r>
        <w:t xml:space="preserve"> e çështjeve për shqyrtim para këtyre gjykatave, i cili merr parasysh edhe gjendjen aktuale të ngarkesës së gjyqësorit. </w:t>
      </w:r>
      <w:r w:rsidRPr="00B26CB3">
        <w:t xml:space="preserve"> </w:t>
      </w:r>
    </w:p>
    <w:p w:rsidR="000414D1" w:rsidRDefault="000414D1" w:rsidP="000414D1">
      <w:pPr>
        <w:pStyle w:val="ListParagraph"/>
        <w:tabs>
          <w:tab w:val="left" w:pos="1080"/>
        </w:tabs>
        <w:jc w:val="both"/>
      </w:pPr>
    </w:p>
    <w:p w:rsidR="000414D1" w:rsidRDefault="000414D1" w:rsidP="000414D1">
      <w:pPr>
        <w:pStyle w:val="ListParagraph"/>
        <w:tabs>
          <w:tab w:val="left" w:pos="1080"/>
        </w:tabs>
        <w:jc w:val="both"/>
        <w:rPr>
          <w:i/>
        </w:rPr>
      </w:pPr>
      <w:r w:rsidRPr="00562065">
        <w:rPr>
          <w:i/>
        </w:rPr>
        <w:t xml:space="preserve">C. </w:t>
      </w:r>
      <w:r>
        <w:rPr>
          <w:i/>
        </w:rPr>
        <w:t>Për</w:t>
      </w:r>
      <w:r w:rsidRPr="00B77366">
        <w:rPr>
          <w:i/>
        </w:rPr>
        <w:t xml:space="preserve"> zbatimin e standardeve në çështjen konkrete</w:t>
      </w:r>
    </w:p>
    <w:p w:rsidR="000414D1" w:rsidRPr="00E444B5" w:rsidRDefault="000414D1" w:rsidP="000414D1">
      <w:pPr>
        <w:pStyle w:val="BodyTextIndent3"/>
        <w:rPr>
          <w:i w:val="0"/>
        </w:rPr>
      </w:pPr>
      <w:r w:rsidRPr="00E444B5">
        <w:rPr>
          <w:i w:val="0"/>
        </w:rPr>
        <w:t>18. Në çështjen konkrete  do të analizoj vetëm ato kritere të kohëzgjatjes së arsyeshme të procesit,  ku ndahem me shumicën, për sa më poshtë:</w:t>
      </w:r>
    </w:p>
    <w:p w:rsidR="000414D1" w:rsidRPr="00E444B5" w:rsidRDefault="000414D1" w:rsidP="000414D1">
      <w:pPr>
        <w:tabs>
          <w:tab w:val="left" w:pos="1080"/>
        </w:tabs>
        <w:jc w:val="both"/>
      </w:pPr>
    </w:p>
    <w:p w:rsidR="000414D1" w:rsidRPr="00EE08A1" w:rsidRDefault="000414D1" w:rsidP="000414D1">
      <w:pPr>
        <w:pStyle w:val="ListParagraph"/>
        <w:tabs>
          <w:tab w:val="left" w:pos="1080"/>
        </w:tabs>
        <w:jc w:val="both"/>
        <w:rPr>
          <w:i/>
        </w:rPr>
      </w:pPr>
      <w:r w:rsidRPr="00562065">
        <w:rPr>
          <w:i/>
        </w:rPr>
        <w:t>C.1. Sjellja</w:t>
      </w:r>
      <w:r w:rsidRPr="0005201A">
        <w:rPr>
          <w:i/>
        </w:rPr>
        <w:t xml:space="preserve"> dhe interesi i kërkuesit/ çfarë ai rrezikon</w:t>
      </w:r>
      <w:r>
        <w:t xml:space="preserve"> </w:t>
      </w:r>
      <w:r w:rsidRPr="00EE08A1">
        <w:rPr>
          <w:i/>
        </w:rPr>
        <w:t>dhe pasojat që mund t</w:t>
      </w:r>
      <w:r>
        <w:rPr>
          <w:i/>
        </w:rPr>
        <w:t>’i</w:t>
      </w:r>
      <w:r w:rsidRPr="00EE08A1">
        <w:rPr>
          <w:i/>
        </w:rPr>
        <w:t xml:space="preserve"> vijnë nga </w:t>
      </w:r>
      <w:proofErr w:type="spellStart"/>
      <w:r w:rsidRPr="00EE08A1">
        <w:rPr>
          <w:i/>
        </w:rPr>
        <w:t>tejzgjatja</w:t>
      </w:r>
      <w:proofErr w:type="spellEnd"/>
    </w:p>
    <w:p w:rsidR="000414D1" w:rsidRPr="0005201A" w:rsidRDefault="000414D1" w:rsidP="000414D1">
      <w:pPr>
        <w:pStyle w:val="ListParagraph"/>
        <w:numPr>
          <w:ilvl w:val="0"/>
          <w:numId w:val="19"/>
        </w:numPr>
        <w:tabs>
          <w:tab w:val="left" w:pos="1080"/>
        </w:tabs>
        <w:ind w:left="0" w:firstLine="709"/>
        <w:jc w:val="both"/>
        <w:rPr>
          <w:rStyle w:val="s68f5eaef"/>
        </w:rPr>
      </w:pPr>
      <w:r>
        <w:rPr>
          <w:rStyle w:val="s68f5eaef"/>
          <w:color w:val="000000"/>
          <w:shd w:val="clear" w:color="auto" w:fill="FFFFFF"/>
        </w:rPr>
        <w:t xml:space="preserve">Rezulton se çështja për të cilën </w:t>
      </w:r>
      <w:r w:rsidRPr="00BB45DA">
        <w:rPr>
          <w:rStyle w:val="s68f5eaef"/>
          <w:color w:val="000000"/>
          <w:shd w:val="clear" w:color="auto" w:fill="FFFFFF"/>
        </w:rPr>
        <w:t>kërkuesi ka kërkuar përshpejtimin e gjykimit nga Gjykata Administrative e Apelit është administrative (konstatim i pavlefshmërisë absolute të akteve administrative), ndërsa pretendimet e tij, në thelb, kanë të bëjnë me të drejtat e pronësisë, të fituara me vendimin nr. 132/1996 të K</w:t>
      </w:r>
      <w:r>
        <w:rPr>
          <w:rStyle w:val="s68f5eaef"/>
          <w:color w:val="000000"/>
          <w:shd w:val="clear" w:color="auto" w:fill="FFFFFF"/>
        </w:rPr>
        <w:t>K</w:t>
      </w:r>
      <w:r w:rsidRPr="00BB45DA">
        <w:rPr>
          <w:rStyle w:val="s68f5eaef"/>
          <w:color w:val="000000"/>
          <w:shd w:val="clear" w:color="auto" w:fill="FFFFFF"/>
        </w:rPr>
        <w:t xml:space="preserve">PP-së, që i përkasin një gjykimi civil. </w:t>
      </w:r>
    </w:p>
    <w:p w:rsidR="000414D1" w:rsidRDefault="000414D1" w:rsidP="000414D1">
      <w:pPr>
        <w:pStyle w:val="ListParagraph"/>
        <w:numPr>
          <w:ilvl w:val="0"/>
          <w:numId w:val="19"/>
        </w:numPr>
        <w:tabs>
          <w:tab w:val="left" w:pos="1080"/>
        </w:tabs>
        <w:ind w:left="0" w:firstLine="720"/>
        <w:jc w:val="both"/>
      </w:pPr>
      <w:r w:rsidRPr="00B26CB3">
        <w:t>Gjykata</w:t>
      </w:r>
      <w:r w:rsidRPr="00065A5F">
        <w:t xml:space="preserve"> ka theksuar se për çështjet e lidhura me pensionin, kujdestarinë o</w:t>
      </w:r>
      <w:r>
        <w:t xml:space="preserve">se raste të tjera të ngjashme, </w:t>
      </w:r>
      <w:r w:rsidRPr="00065A5F">
        <w:t xml:space="preserve">duhet të tregohet një kujdes më i madh </w:t>
      </w:r>
      <w:r w:rsidRPr="00BB45DA">
        <w:rPr>
          <w:i/>
        </w:rPr>
        <w:t>(</w:t>
      </w:r>
      <w:r w:rsidRPr="00BB45DA">
        <w:rPr>
          <w:i/>
          <w:iCs/>
        </w:rPr>
        <w:t>shih vendimin nr. 35, datë 01.11.2021 të Gjykatës Kushtetuese)</w:t>
      </w:r>
      <w:r w:rsidRPr="00065A5F">
        <w:t xml:space="preserve">. </w:t>
      </w:r>
    </w:p>
    <w:p w:rsidR="000414D1" w:rsidRDefault="000414D1" w:rsidP="000414D1">
      <w:pPr>
        <w:pStyle w:val="ListParagraph"/>
        <w:numPr>
          <w:ilvl w:val="0"/>
          <w:numId w:val="19"/>
        </w:numPr>
        <w:tabs>
          <w:tab w:val="left" w:pos="1080"/>
        </w:tabs>
        <w:ind w:left="0" w:firstLine="720"/>
        <w:jc w:val="both"/>
      </w:pPr>
      <w:r w:rsidRPr="00BB45DA">
        <w:rPr>
          <w:rStyle w:val="s68f5eaef"/>
          <w:color w:val="000000"/>
          <w:shd w:val="clear" w:color="auto" w:fill="FFFFFF"/>
        </w:rPr>
        <w:t xml:space="preserve">Për rrjedhojë, në drejtim të </w:t>
      </w:r>
      <w:r w:rsidRPr="00BB45DA">
        <w:rPr>
          <w:iCs/>
        </w:rPr>
        <w:t xml:space="preserve">rrezikut që </w:t>
      </w:r>
      <w:proofErr w:type="spellStart"/>
      <w:r w:rsidRPr="00BB45DA">
        <w:rPr>
          <w:iCs/>
        </w:rPr>
        <w:t>passjell</w:t>
      </w:r>
      <w:proofErr w:type="spellEnd"/>
      <w:r w:rsidRPr="00BB45DA">
        <w:rPr>
          <w:iCs/>
        </w:rPr>
        <w:t xml:space="preserve"> për kërkuesin </w:t>
      </w:r>
      <w:proofErr w:type="spellStart"/>
      <w:r w:rsidRPr="00BB45DA">
        <w:rPr>
          <w:iCs/>
        </w:rPr>
        <w:t>tejzgjatja</w:t>
      </w:r>
      <w:proofErr w:type="spellEnd"/>
      <w:r w:rsidRPr="00BB45DA">
        <w:rPr>
          <w:iCs/>
        </w:rPr>
        <w:t xml:space="preserve"> e procedurave</w:t>
      </w:r>
      <w:r w:rsidRPr="00BB45DA">
        <w:rPr>
          <w:rStyle w:val="s68f5eaef"/>
          <w:color w:val="000000"/>
          <w:shd w:val="clear" w:color="auto" w:fill="FFFFFF"/>
        </w:rPr>
        <w:t xml:space="preserve">, vlerësoj se, në thelb, kjo </w:t>
      </w:r>
      <w:r w:rsidRPr="00B26CB3">
        <w:t xml:space="preserve">çështje </w:t>
      </w:r>
      <w:r>
        <w:t>nuk rezulton të jetë e tillë që për shkak të natyrës së saj</w:t>
      </w:r>
      <w:r w:rsidRPr="00B26CB3">
        <w:t xml:space="preserve"> të ketë përparësi në radhën e shqyrtimit, pasi ajo çfarë kërkuesi rrezikon në këtë konflikt gjyqë</w:t>
      </w:r>
      <w:r>
        <w:t>sor nuk përfshihet në të drejta</w:t>
      </w:r>
      <w:r w:rsidRPr="00B26CB3">
        <w:t xml:space="preserve"> dhe interesa të natyrës veçanërisht serioze. </w:t>
      </w:r>
      <w:r>
        <w:t>Duke konsideruar dhe analizuar m</w:t>
      </w:r>
      <w:r w:rsidRPr="00BA6E11">
        <w:t>ë</w:t>
      </w:r>
      <w:r>
        <w:t xml:space="preserve"> n</w:t>
      </w:r>
      <w:r w:rsidRPr="00BA6E11">
        <w:t>ë</w:t>
      </w:r>
      <w:r>
        <w:t xml:space="preserve"> thell</w:t>
      </w:r>
      <w:r w:rsidRPr="00BA6E11">
        <w:t>ë</w:t>
      </w:r>
      <w:r>
        <w:t>si se çfarë pasoje ose rreziku sjell p</w:t>
      </w:r>
      <w:r w:rsidRPr="00BA6E11">
        <w:t>ë</w:t>
      </w:r>
      <w:r>
        <w:t>r k</w:t>
      </w:r>
      <w:r w:rsidRPr="00BA6E11">
        <w:t>ë</w:t>
      </w:r>
      <w:r>
        <w:t xml:space="preserve">rkuesin </w:t>
      </w:r>
      <w:proofErr w:type="spellStart"/>
      <w:r>
        <w:t>tejzgjatja</w:t>
      </w:r>
      <w:proofErr w:type="spellEnd"/>
      <w:r>
        <w:t xml:space="preserve"> e procesit, </w:t>
      </w:r>
      <w:r w:rsidRPr="002D0594">
        <w:t>ç</w:t>
      </w:r>
      <w:r>
        <w:t>moj se shumica duhej t</w:t>
      </w:r>
      <w:r w:rsidRPr="00BA6E11">
        <w:t>ë</w:t>
      </w:r>
      <w:r>
        <w:t xml:space="preserve"> kishte dal</w:t>
      </w:r>
      <w:r w:rsidRPr="00BA6E11">
        <w:t>ë</w:t>
      </w:r>
      <w:r>
        <w:t xml:space="preserve"> n</w:t>
      </w:r>
      <w:r w:rsidRPr="00BA6E11">
        <w:t>ë</w:t>
      </w:r>
      <w:r>
        <w:t xml:space="preserve"> konkluzion t</w:t>
      </w:r>
      <w:r w:rsidRPr="00BA6E11">
        <w:t>ë</w:t>
      </w:r>
      <w:r>
        <w:t xml:space="preserve"> ndrysh</w:t>
      </w:r>
      <w:r w:rsidRPr="00BA6E11">
        <w:t>ë</w:t>
      </w:r>
      <w:r>
        <w:t>m p</w:t>
      </w:r>
      <w:r w:rsidRPr="00BA6E11">
        <w:t>ë</w:t>
      </w:r>
      <w:r>
        <w:t xml:space="preserve">r </w:t>
      </w:r>
      <w:r w:rsidRPr="002D0594">
        <w:t>ç</w:t>
      </w:r>
      <w:r w:rsidRPr="00BA6E11">
        <w:t>ë</w:t>
      </w:r>
      <w:r>
        <w:t xml:space="preserve">shtjen. </w:t>
      </w:r>
    </w:p>
    <w:p w:rsidR="000414D1" w:rsidRPr="00065A5F" w:rsidRDefault="000414D1" w:rsidP="000414D1">
      <w:pPr>
        <w:pStyle w:val="ListParagraph"/>
        <w:numPr>
          <w:ilvl w:val="0"/>
          <w:numId w:val="19"/>
        </w:numPr>
        <w:tabs>
          <w:tab w:val="left" w:pos="1080"/>
        </w:tabs>
        <w:ind w:left="0" w:firstLine="720"/>
        <w:jc w:val="both"/>
      </w:pPr>
      <w:r>
        <w:rPr>
          <w:rStyle w:val="s68f5eaef"/>
          <w:color w:val="000000"/>
          <w:shd w:val="clear" w:color="auto" w:fill="FFFFFF"/>
        </w:rPr>
        <w:t xml:space="preserve">Çështjet </w:t>
      </w:r>
      <w:r w:rsidRPr="00BB45DA">
        <w:rPr>
          <w:rStyle w:val="s68f5eaef"/>
          <w:color w:val="000000"/>
          <w:shd w:val="clear" w:color="auto" w:fill="FFFFFF"/>
        </w:rPr>
        <w:t>me bazë konflikte pronësie</w:t>
      </w:r>
      <w:r>
        <w:rPr>
          <w:rStyle w:val="s68f5eaef"/>
          <w:color w:val="000000"/>
          <w:shd w:val="clear" w:color="auto" w:fill="FFFFFF"/>
        </w:rPr>
        <w:t xml:space="preserve"> p</w:t>
      </w:r>
      <w:r w:rsidRPr="00BB45DA">
        <w:rPr>
          <w:rStyle w:val="s68f5eaef"/>
          <w:color w:val="000000"/>
          <w:shd w:val="clear" w:color="auto" w:fill="FFFFFF"/>
        </w:rPr>
        <w:t>ë</w:t>
      </w:r>
      <w:r>
        <w:rPr>
          <w:rStyle w:val="s68f5eaef"/>
          <w:color w:val="000000"/>
          <w:shd w:val="clear" w:color="auto" w:fill="FFFFFF"/>
        </w:rPr>
        <w:t>r</w:t>
      </w:r>
      <w:r w:rsidRPr="00BB45DA">
        <w:rPr>
          <w:rStyle w:val="s68f5eaef"/>
          <w:color w:val="000000"/>
          <w:shd w:val="clear" w:color="auto" w:fill="FFFFFF"/>
        </w:rPr>
        <w:t xml:space="preserve"> kate</w:t>
      </w:r>
      <w:r>
        <w:rPr>
          <w:rStyle w:val="s68f5eaef"/>
          <w:color w:val="000000"/>
          <w:shd w:val="clear" w:color="auto" w:fill="FFFFFF"/>
        </w:rPr>
        <w:t>gorinë e ish-pronarëve kan</w:t>
      </w:r>
      <w:r w:rsidRPr="006000C4">
        <w:rPr>
          <w:rStyle w:val="s68f5eaef"/>
          <w:color w:val="000000"/>
          <w:shd w:val="clear" w:color="auto" w:fill="FFFFFF"/>
        </w:rPr>
        <w:t>ë</w:t>
      </w:r>
      <w:r>
        <w:rPr>
          <w:rStyle w:val="s68f5eaef"/>
          <w:color w:val="000000"/>
          <w:shd w:val="clear" w:color="auto" w:fill="FFFFFF"/>
        </w:rPr>
        <w:t xml:space="preserve"> r</w:t>
      </w:r>
      <w:r w:rsidRPr="006000C4">
        <w:rPr>
          <w:rStyle w:val="s68f5eaef"/>
          <w:color w:val="000000"/>
          <w:shd w:val="clear" w:color="auto" w:fill="FFFFFF"/>
        </w:rPr>
        <w:t>ë</w:t>
      </w:r>
      <w:r>
        <w:rPr>
          <w:rStyle w:val="s68f5eaef"/>
          <w:color w:val="000000"/>
          <w:shd w:val="clear" w:color="auto" w:fill="FFFFFF"/>
        </w:rPr>
        <w:t>nd</w:t>
      </w:r>
      <w:r w:rsidRPr="006000C4">
        <w:rPr>
          <w:rStyle w:val="s68f5eaef"/>
          <w:color w:val="000000"/>
          <w:shd w:val="clear" w:color="auto" w:fill="FFFFFF"/>
        </w:rPr>
        <w:t>ë</w:t>
      </w:r>
      <w:r>
        <w:rPr>
          <w:rStyle w:val="s68f5eaef"/>
          <w:color w:val="000000"/>
          <w:shd w:val="clear" w:color="auto" w:fill="FFFFFF"/>
        </w:rPr>
        <w:t>si, pasi e drejta e pron</w:t>
      </w:r>
      <w:r w:rsidRPr="006000C4">
        <w:rPr>
          <w:rStyle w:val="s68f5eaef"/>
          <w:color w:val="000000"/>
          <w:shd w:val="clear" w:color="auto" w:fill="FFFFFF"/>
        </w:rPr>
        <w:t>ë</w:t>
      </w:r>
      <w:r>
        <w:rPr>
          <w:rStyle w:val="s68f5eaef"/>
          <w:color w:val="000000"/>
          <w:shd w:val="clear" w:color="auto" w:fill="FFFFFF"/>
        </w:rPr>
        <w:t xml:space="preserve">s </w:t>
      </w:r>
      <w:r w:rsidRPr="006000C4">
        <w:rPr>
          <w:rStyle w:val="s68f5eaef"/>
          <w:color w:val="000000"/>
          <w:shd w:val="clear" w:color="auto" w:fill="FFFFFF"/>
        </w:rPr>
        <w:t>ë</w:t>
      </w:r>
      <w:r>
        <w:rPr>
          <w:rStyle w:val="s68f5eaef"/>
          <w:color w:val="000000"/>
          <w:shd w:val="clear" w:color="auto" w:fill="FFFFFF"/>
        </w:rPr>
        <w:t>sht</w:t>
      </w:r>
      <w:r w:rsidRPr="006000C4">
        <w:rPr>
          <w:rStyle w:val="s68f5eaef"/>
          <w:color w:val="000000"/>
          <w:shd w:val="clear" w:color="auto" w:fill="FFFFFF"/>
        </w:rPr>
        <w:t>ë</w:t>
      </w:r>
      <w:r>
        <w:rPr>
          <w:rStyle w:val="s68f5eaef"/>
          <w:color w:val="000000"/>
          <w:shd w:val="clear" w:color="auto" w:fill="FFFFFF"/>
        </w:rPr>
        <w:t xml:space="preserve"> shqet</w:t>
      </w:r>
      <w:r w:rsidRPr="006000C4">
        <w:rPr>
          <w:rStyle w:val="s68f5eaef"/>
          <w:color w:val="000000"/>
          <w:shd w:val="clear" w:color="auto" w:fill="FFFFFF"/>
        </w:rPr>
        <w:t>ë</w:t>
      </w:r>
      <w:r>
        <w:rPr>
          <w:rStyle w:val="s68f5eaef"/>
          <w:color w:val="000000"/>
          <w:shd w:val="clear" w:color="auto" w:fill="FFFFFF"/>
        </w:rPr>
        <w:t>sim serioz p</w:t>
      </w:r>
      <w:r w:rsidRPr="006000C4">
        <w:rPr>
          <w:rStyle w:val="s68f5eaef"/>
          <w:color w:val="000000"/>
          <w:shd w:val="clear" w:color="auto" w:fill="FFFFFF"/>
        </w:rPr>
        <w:t>ë</w:t>
      </w:r>
      <w:r>
        <w:rPr>
          <w:rStyle w:val="s68f5eaef"/>
          <w:color w:val="000000"/>
          <w:shd w:val="clear" w:color="auto" w:fill="FFFFFF"/>
        </w:rPr>
        <w:t>r k</w:t>
      </w:r>
      <w:r w:rsidRPr="006000C4">
        <w:rPr>
          <w:rStyle w:val="s68f5eaef"/>
          <w:color w:val="000000"/>
          <w:shd w:val="clear" w:color="auto" w:fill="FFFFFF"/>
        </w:rPr>
        <w:t>ë</w:t>
      </w:r>
      <w:r>
        <w:rPr>
          <w:rStyle w:val="s68f5eaef"/>
          <w:color w:val="000000"/>
          <w:shd w:val="clear" w:color="auto" w:fill="FFFFFF"/>
        </w:rPr>
        <w:t>t</w:t>
      </w:r>
      <w:r w:rsidRPr="006000C4">
        <w:rPr>
          <w:rStyle w:val="s68f5eaef"/>
          <w:color w:val="000000"/>
          <w:shd w:val="clear" w:color="auto" w:fill="FFFFFF"/>
        </w:rPr>
        <w:t>ë</w:t>
      </w:r>
      <w:r>
        <w:rPr>
          <w:rStyle w:val="s68f5eaef"/>
          <w:color w:val="000000"/>
          <w:shd w:val="clear" w:color="auto" w:fill="FFFFFF"/>
        </w:rPr>
        <w:t xml:space="preserve"> kategori subjektesh, por e</w:t>
      </w:r>
      <w:r w:rsidRPr="00BB45DA">
        <w:rPr>
          <w:rStyle w:val="s68f5eaef"/>
          <w:color w:val="000000"/>
          <w:shd w:val="clear" w:color="auto" w:fill="FFFFFF"/>
        </w:rPr>
        <w:t xml:space="preserve">dhe fakti i të qenit objekt gjykimi një konflikt prone, nuk do </w:t>
      </w:r>
      <w:r>
        <w:rPr>
          <w:rStyle w:val="s68f5eaef"/>
          <w:color w:val="000000"/>
          <w:shd w:val="clear" w:color="auto" w:fill="FFFFFF"/>
        </w:rPr>
        <w:t>t’</w:t>
      </w:r>
      <w:r w:rsidRPr="00BB45DA">
        <w:rPr>
          <w:rStyle w:val="s68f5eaef"/>
          <w:color w:val="000000"/>
          <w:shd w:val="clear" w:color="auto" w:fill="FFFFFF"/>
        </w:rPr>
        <w:t xml:space="preserve">i jepte prioritet kësaj kategorie nga gjykatat </w:t>
      </w:r>
      <w:r>
        <w:rPr>
          <w:rStyle w:val="s68f5eaef"/>
          <w:color w:val="000000"/>
          <w:shd w:val="clear" w:color="auto" w:fill="FFFFFF"/>
        </w:rPr>
        <w:t xml:space="preserve">aktualisht, </w:t>
      </w:r>
      <w:r w:rsidRPr="00BB45DA">
        <w:rPr>
          <w:rStyle w:val="s68f5eaef"/>
          <w:color w:val="000000"/>
          <w:shd w:val="clear" w:color="auto" w:fill="FFFFFF"/>
        </w:rPr>
        <w:t xml:space="preserve">pasi referuar situatës </w:t>
      </w:r>
      <w:r>
        <w:rPr>
          <w:rStyle w:val="s68f5eaef"/>
          <w:color w:val="000000"/>
          <w:shd w:val="clear" w:color="auto" w:fill="FFFFFF"/>
        </w:rPr>
        <w:t xml:space="preserve">post </w:t>
      </w:r>
      <w:r w:rsidRPr="00BB45DA">
        <w:rPr>
          <w:rStyle w:val="s68f5eaef"/>
          <w:color w:val="000000"/>
          <w:shd w:val="clear" w:color="auto" w:fill="FFFFFF"/>
        </w:rPr>
        <w:t xml:space="preserve">reformë, e cila orienton dhe </w:t>
      </w:r>
      <w:proofErr w:type="spellStart"/>
      <w:r w:rsidRPr="00BB45DA">
        <w:rPr>
          <w:rStyle w:val="s68f5eaef"/>
          <w:color w:val="000000"/>
          <w:shd w:val="clear" w:color="auto" w:fill="FFFFFF"/>
        </w:rPr>
        <w:t>presupozohet</w:t>
      </w:r>
      <w:proofErr w:type="spellEnd"/>
      <w:r w:rsidRPr="00BB45DA">
        <w:rPr>
          <w:rStyle w:val="s68f5eaef"/>
          <w:color w:val="000000"/>
          <w:shd w:val="clear" w:color="auto" w:fill="FFFFFF"/>
        </w:rPr>
        <w:t xml:space="preserve"> që ka gjetur një balancë mes përcaktimit të çështjeve </w:t>
      </w:r>
      <w:proofErr w:type="spellStart"/>
      <w:r w:rsidRPr="00BB45DA">
        <w:rPr>
          <w:rStyle w:val="s68f5eaef"/>
          <w:color w:val="000000"/>
          <w:shd w:val="clear" w:color="auto" w:fill="FFFFFF"/>
        </w:rPr>
        <w:t>prioritare</w:t>
      </w:r>
      <w:proofErr w:type="spellEnd"/>
      <w:r w:rsidRPr="00BB45DA">
        <w:rPr>
          <w:rStyle w:val="s68f5eaef"/>
          <w:color w:val="000000"/>
          <w:shd w:val="clear" w:color="auto" w:fill="FFFFFF"/>
        </w:rPr>
        <w:t xml:space="preserve"> dhe situatës së rënduar me mbingarkesë </w:t>
      </w:r>
      <w:r w:rsidRPr="005F54E9">
        <w:rPr>
          <w:rStyle w:val="s68f5eaef"/>
          <w:color w:val="000000"/>
          <w:shd w:val="clear" w:color="auto" w:fill="FFFFFF"/>
        </w:rPr>
        <w:t xml:space="preserve">çështjesh gjyqësore, tashmë janë përcaktuar </w:t>
      </w:r>
      <w:r>
        <w:rPr>
          <w:rStyle w:val="s68f5eaef"/>
          <w:color w:val="000000"/>
          <w:shd w:val="clear" w:color="auto" w:fill="FFFFFF"/>
        </w:rPr>
        <w:t xml:space="preserve">çështjet të cilat </w:t>
      </w:r>
      <w:r w:rsidRPr="005F54E9">
        <w:rPr>
          <w:rStyle w:val="s68f5eaef"/>
          <w:color w:val="000000"/>
          <w:shd w:val="clear" w:color="auto" w:fill="FFFFFF"/>
        </w:rPr>
        <w:t xml:space="preserve">do </w:t>
      </w:r>
      <w:r>
        <w:rPr>
          <w:rStyle w:val="s68f5eaef"/>
          <w:color w:val="000000"/>
          <w:shd w:val="clear" w:color="auto" w:fill="FFFFFF"/>
        </w:rPr>
        <w:t xml:space="preserve">të </w:t>
      </w:r>
      <w:r w:rsidRPr="005F54E9">
        <w:rPr>
          <w:rStyle w:val="s68f5eaef"/>
          <w:color w:val="000000"/>
          <w:shd w:val="clear" w:color="auto" w:fill="FFFFFF"/>
        </w:rPr>
        <w:t xml:space="preserve">jenë </w:t>
      </w:r>
      <w:proofErr w:type="spellStart"/>
      <w:r w:rsidRPr="005F54E9">
        <w:rPr>
          <w:rStyle w:val="s68f5eaef"/>
          <w:color w:val="000000"/>
          <w:shd w:val="clear" w:color="auto" w:fill="FFFFFF"/>
        </w:rPr>
        <w:t>prioritare</w:t>
      </w:r>
      <w:proofErr w:type="spellEnd"/>
      <w:r w:rsidRPr="005F54E9">
        <w:rPr>
          <w:rStyle w:val="s68f5eaef"/>
          <w:color w:val="000000"/>
          <w:shd w:val="clear" w:color="auto" w:fill="FFFFFF"/>
        </w:rPr>
        <w:t xml:space="preserve"> (</w:t>
      </w:r>
      <w:r w:rsidRPr="005F54E9">
        <w:rPr>
          <w:rStyle w:val="s68f5eaef"/>
          <w:i/>
          <w:color w:val="000000"/>
          <w:shd w:val="clear" w:color="auto" w:fill="FFFFFF"/>
        </w:rPr>
        <w:t>shih paragrafët 13-1</w:t>
      </w:r>
      <w:r>
        <w:rPr>
          <w:rStyle w:val="s68f5eaef"/>
          <w:i/>
          <w:color w:val="000000"/>
          <w:shd w:val="clear" w:color="auto" w:fill="FFFFFF"/>
        </w:rPr>
        <w:t>4</w:t>
      </w:r>
      <w:r w:rsidRPr="005F54E9">
        <w:rPr>
          <w:rStyle w:val="s68f5eaef"/>
          <w:i/>
          <w:color w:val="000000"/>
          <w:shd w:val="clear" w:color="auto" w:fill="FFFFFF"/>
        </w:rPr>
        <w:t xml:space="preserve"> të kësaj pakice</w:t>
      </w:r>
      <w:r w:rsidRPr="005F54E9">
        <w:rPr>
          <w:rStyle w:val="s68f5eaef"/>
          <w:color w:val="000000"/>
          <w:shd w:val="clear" w:color="auto" w:fill="FFFFFF"/>
        </w:rPr>
        <w:t>).</w:t>
      </w:r>
      <w:r w:rsidRPr="00BB45DA">
        <w:rPr>
          <w:rStyle w:val="s68f5eaef"/>
          <w:color w:val="000000"/>
          <w:shd w:val="clear" w:color="auto" w:fill="FFFFFF"/>
        </w:rPr>
        <w:t xml:space="preserve"> </w:t>
      </w:r>
    </w:p>
    <w:p w:rsidR="000414D1" w:rsidRDefault="000414D1" w:rsidP="000414D1">
      <w:pPr>
        <w:pStyle w:val="ListParagraph"/>
        <w:numPr>
          <w:ilvl w:val="0"/>
          <w:numId w:val="19"/>
        </w:numPr>
        <w:tabs>
          <w:tab w:val="left" w:pos="1080"/>
        </w:tabs>
        <w:ind w:left="0" w:firstLine="720"/>
        <w:jc w:val="both"/>
      </w:pPr>
      <w:r>
        <w:t>Për m</w:t>
      </w:r>
      <w:r w:rsidRPr="00BA6E11">
        <w:t>ë</w:t>
      </w:r>
      <w:r>
        <w:t xml:space="preserve"> tep</w:t>
      </w:r>
      <w:r w:rsidRPr="00BA6E11">
        <w:t>ë</w:t>
      </w:r>
      <w:r>
        <w:t>r, vler</w:t>
      </w:r>
      <w:r w:rsidRPr="00BA6E11">
        <w:t>ë</w:t>
      </w:r>
      <w:r>
        <w:t>soj se për sa i përket sjelljes së kërkuesit, ai mund t</w:t>
      </w:r>
      <w:r w:rsidRPr="00BA6E11">
        <w:t>ë</w:t>
      </w:r>
      <w:r>
        <w:t xml:space="preserve"> kishte marrë edhe masa t</w:t>
      </w:r>
      <w:r w:rsidRPr="00BA6E11">
        <w:t>ë</w:t>
      </w:r>
      <w:r>
        <w:t xml:space="preserve"> tjera për garantimin e së drejtës së tij të pronësisë, në kushtet kur në vendimin   </w:t>
      </w:r>
      <w:r w:rsidRPr="008706E8">
        <w:t>nr. 447, datë 31.03.2016</w:t>
      </w:r>
      <w:r>
        <w:t>, Gjykata</w:t>
      </w:r>
      <w:r w:rsidRPr="008706E8">
        <w:t xml:space="preserve"> Administrative </w:t>
      </w:r>
      <w:r>
        <w:t>e</w:t>
      </w:r>
      <w:r w:rsidRPr="008706E8">
        <w:t xml:space="preserve"> Shkallës së Parë Vlorë</w:t>
      </w:r>
      <w:r>
        <w:t xml:space="preserve"> ka arsyetuar, ndër të tjera, se duke qenë se pretendimet e tij, në thelb, i përkisnin një gjykimi civil dhe jo atij administrativ, </w:t>
      </w:r>
      <w:r>
        <w:rPr>
          <w:rStyle w:val="s68f5eaef"/>
          <w:color w:val="000000"/>
          <w:shd w:val="clear" w:color="auto" w:fill="FFFFFF"/>
        </w:rPr>
        <w:t>kërkuesi</w:t>
      </w:r>
      <w:r w:rsidRPr="00192FA1">
        <w:rPr>
          <w:rStyle w:val="s68f5eaef"/>
          <w:color w:val="000000"/>
          <w:shd w:val="clear" w:color="auto" w:fill="FFFFFF"/>
        </w:rPr>
        <w:t xml:space="preserve"> duhej të godiste për pavlefshmëri titullin e pronësisë së personit të</w:t>
      </w:r>
      <w:r>
        <w:rPr>
          <w:rStyle w:val="s68f5eaef"/>
          <w:color w:val="000000"/>
          <w:shd w:val="clear" w:color="auto" w:fill="FFFFFF"/>
        </w:rPr>
        <w:t xml:space="preserve"> tretë dhe më pas të kërkonte ç</w:t>
      </w:r>
      <w:r w:rsidRPr="00192FA1">
        <w:rPr>
          <w:rStyle w:val="s68f5eaef"/>
          <w:color w:val="000000"/>
          <w:shd w:val="clear" w:color="auto" w:fill="FFFFFF"/>
        </w:rPr>
        <w:t>regjistrimin e pronës nga pala e paditur ZVRPP-ja</w:t>
      </w:r>
      <w:r>
        <w:rPr>
          <w:rStyle w:val="s68f5eaef"/>
          <w:color w:val="000000"/>
          <w:shd w:val="clear" w:color="auto" w:fill="FFFFFF"/>
        </w:rPr>
        <w:t>,</w:t>
      </w:r>
      <w:r w:rsidRPr="00192FA1">
        <w:rPr>
          <w:rStyle w:val="s68f5eaef"/>
          <w:color w:val="000000"/>
          <w:shd w:val="clear" w:color="auto" w:fill="FFFFFF"/>
        </w:rPr>
        <w:t xml:space="preserve"> Fier dhe regjistrimin e saj, nëse plotësonte kriteret ligjore, në emrin e tij</w:t>
      </w:r>
      <w:r>
        <w:rPr>
          <w:rStyle w:val="s68f5eaef"/>
          <w:color w:val="000000"/>
          <w:shd w:val="clear" w:color="auto" w:fill="FFFFFF"/>
        </w:rPr>
        <w:t xml:space="preserve"> </w:t>
      </w:r>
      <w:r>
        <w:rPr>
          <w:rStyle w:val="s68f5eaef"/>
          <w:i/>
          <w:color w:val="000000"/>
          <w:shd w:val="clear" w:color="auto" w:fill="FFFFFF"/>
        </w:rPr>
        <w:t>(shih faqen 5 të vendimit të Gjykatës Administrative të Shkallës së Parë Vlorë)</w:t>
      </w:r>
      <w:r>
        <w:rPr>
          <w:rStyle w:val="s68f5eaef"/>
          <w:color w:val="000000"/>
          <w:shd w:val="clear" w:color="auto" w:fill="FFFFFF"/>
        </w:rPr>
        <w:t>.</w:t>
      </w:r>
      <w:r w:rsidRPr="000D2DF9">
        <w:t xml:space="preserve"> </w:t>
      </w:r>
      <w:r>
        <w:t xml:space="preserve"> </w:t>
      </w:r>
    </w:p>
    <w:p w:rsidR="000414D1" w:rsidRDefault="000414D1" w:rsidP="000414D1">
      <w:pPr>
        <w:tabs>
          <w:tab w:val="left" w:pos="1080"/>
        </w:tabs>
        <w:jc w:val="both"/>
        <w:rPr>
          <w:rStyle w:val="s68f5eaef"/>
        </w:rPr>
      </w:pPr>
    </w:p>
    <w:p w:rsidR="000414D1" w:rsidRPr="00D75321" w:rsidRDefault="000414D1" w:rsidP="000414D1">
      <w:pPr>
        <w:tabs>
          <w:tab w:val="left" w:pos="810"/>
        </w:tabs>
        <w:ind w:firstLine="720"/>
        <w:jc w:val="both"/>
        <w:rPr>
          <w:rStyle w:val="s68f5eaef"/>
        </w:rPr>
      </w:pPr>
      <w:r>
        <w:rPr>
          <w:rStyle w:val="s68f5eaef"/>
        </w:rPr>
        <w:tab/>
      </w:r>
      <w:r w:rsidRPr="00562065">
        <w:rPr>
          <w:rStyle w:val="s68f5eaef"/>
          <w:i/>
        </w:rPr>
        <w:t>C.2.</w:t>
      </w:r>
      <w:r>
        <w:rPr>
          <w:rStyle w:val="s68f5eaef"/>
        </w:rPr>
        <w:t xml:space="preserve"> </w:t>
      </w:r>
      <w:r w:rsidRPr="0005201A">
        <w:rPr>
          <w:rStyle w:val="s68f5eaef"/>
          <w:i/>
        </w:rPr>
        <w:t>S</w:t>
      </w:r>
      <w:r>
        <w:rPr>
          <w:rStyle w:val="s68f5eaef"/>
          <w:i/>
        </w:rPr>
        <w:t>jellja e autoritet</w:t>
      </w:r>
      <w:r w:rsidRPr="0005201A">
        <w:rPr>
          <w:rStyle w:val="s68f5eaef"/>
          <w:i/>
        </w:rPr>
        <w:t>eve</w:t>
      </w:r>
    </w:p>
    <w:p w:rsidR="000414D1" w:rsidRDefault="000414D1" w:rsidP="000414D1">
      <w:pPr>
        <w:pStyle w:val="ListParagraph"/>
        <w:numPr>
          <w:ilvl w:val="0"/>
          <w:numId w:val="19"/>
        </w:numPr>
        <w:tabs>
          <w:tab w:val="left" w:pos="1080"/>
        </w:tabs>
        <w:ind w:left="0" w:firstLine="720"/>
        <w:jc w:val="both"/>
      </w:pPr>
      <w:r>
        <w:t>Për sa i p</w:t>
      </w:r>
      <w:r w:rsidRPr="00BA6E11">
        <w:t>ë</w:t>
      </w:r>
      <w:r>
        <w:t>rket sjelljes së autoriteteve,  shumica ka pranuar ekzistencën e një volumi të lartë të çështjeve për shqyrtim në Gjykatën Administrative të Apelit, si dhe numrin e reduktuar të gjyqtarëve aktualë në këtë gjykatë, megjithat</w:t>
      </w:r>
      <w:r w:rsidRPr="00BA6E11">
        <w:t>ë</w:t>
      </w:r>
      <w:r>
        <w:t xml:space="preserve"> ka vlerësuar se në rastin e kërkuesit ka pasur shkelje të standardit të gjykimit brenda një afati të arsyeshëm, pasi kjo </w:t>
      </w:r>
      <w:r w:rsidRPr="002D0594">
        <w:t>ç</w:t>
      </w:r>
      <w:r w:rsidRPr="00BA6E11">
        <w:t>ë</w:t>
      </w:r>
      <w:r>
        <w:t xml:space="preserve">shtje </w:t>
      </w:r>
      <w:r w:rsidRPr="00BA6E11">
        <w:t>ë</w:t>
      </w:r>
      <w:r>
        <w:t>sht</w:t>
      </w:r>
      <w:r w:rsidRPr="00BA6E11">
        <w:t>ë</w:t>
      </w:r>
      <w:r>
        <w:t xml:space="preserve"> regjistruar n</w:t>
      </w:r>
      <w:r w:rsidRPr="00BA6E11">
        <w:t>ë</w:t>
      </w:r>
      <w:r>
        <w:t xml:space="preserve"> shtator të citit 2016 dhe sipas radh</w:t>
      </w:r>
      <w:r w:rsidRPr="00BA6E11">
        <w:t>ë</w:t>
      </w:r>
      <w:r>
        <w:t>s kohore duhet t</w:t>
      </w:r>
      <w:r w:rsidRPr="00BA6E11">
        <w:t>ë</w:t>
      </w:r>
      <w:r>
        <w:t xml:space="preserve"> ishte shqyrtuar </w:t>
      </w:r>
      <w:r w:rsidRPr="001511CC">
        <w:rPr>
          <w:i/>
        </w:rPr>
        <w:t>(shih paragrafin 54 të vendimit)</w:t>
      </w:r>
      <w:r w:rsidRPr="001511CC">
        <w:t>.</w:t>
      </w:r>
      <w:r>
        <w:t xml:space="preserve"> </w:t>
      </w:r>
    </w:p>
    <w:p w:rsidR="000414D1" w:rsidRDefault="000414D1" w:rsidP="000414D1">
      <w:pPr>
        <w:pStyle w:val="ListParagraph"/>
        <w:numPr>
          <w:ilvl w:val="0"/>
          <w:numId w:val="19"/>
        </w:numPr>
        <w:tabs>
          <w:tab w:val="left" w:pos="1080"/>
        </w:tabs>
        <w:ind w:left="0" w:firstLine="720"/>
        <w:jc w:val="both"/>
      </w:pPr>
      <w:r>
        <w:t>Nd</w:t>
      </w:r>
      <w:r w:rsidRPr="00BA6E11">
        <w:t>ë</w:t>
      </w:r>
      <w:r>
        <w:t>r vite nga kjo Gjykat</w:t>
      </w:r>
      <w:r w:rsidRPr="00BA6E11">
        <w:t>ë</w:t>
      </w:r>
      <w:r>
        <w:t xml:space="preserve"> </w:t>
      </w:r>
      <w:r w:rsidRPr="00BA6E11">
        <w:t>ë</w:t>
      </w:r>
      <w:r>
        <w:t>sht</w:t>
      </w:r>
      <w:r w:rsidRPr="00BA6E11">
        <w:t>ë</w:t>
      </w:r>
      <w:r>
        <w:t xml:space="preserve"> analizuar se sjellja e autoriteteve nuk i atribuohet vet</w:t>
      </w:r>
      <w:r w:rsidRPr="00BA6E11">
        <w:t>ë</w:t>
      </w:r>
      <w:r>
        <w:t>m gjyqtarit, por t</w:t>
      </w:r>
      <w:r w:rsidRPr="00BA6E11">
        <w:t>ë</w:t>
      </w:r>
      <w:r>
        <w:t xml:space="preserve"> gjithë sistemit dhe aktor</w:t>
      </w:r>
      <w:r w:rsidRPr="00BA6E11">
        <w:t>ë</w:t>
      </w:r>
      <w:r>
        <w:t>ve institucional</w:t>
      </w:r>
      <w:r w:rsidRPr="00BA6E11">
        <w:t>ë</w:t>
      </w:r>
      <w:r>
        <w:t>, t</w:t>
      </w:r>
      <w:r w:rsidRPr="00BA6E11">
        <w:t>ë</w:t>
      </w:r>
      <w:r>
        <w:t xml:space="preserve"> cil</w:t>
      </w:r>
      <w:r w:rsidRPr="00BA6E11">
        <w:t>ë</w:t>
      </w:r>
      <w:r>
        <w:t>t kan</w:t>
      </w:r>
      <w:r w:rsidRPr="00BA6E11">
        <w:t>ë</w:t>
      </w:r>
      <w:r>
        <w:t xml:space="preserve"> detyrimet përkat</w:t>
      </w:r>
      <w:r w:rsidRPr="00BA6E11">
        <w:t>ë</w:t>
      </w:r>
      <w:r>
        <w:t>se p</w:t>
      </w:r>
      <w:r w:rsidRPr="00BA6E11">
        <w:t>ë</w:t>
      </w:r>
      <w:r>
        <w:t>r marrjen e masave t</w:t>
      </w:r>
      <w:r w:rsidRPr="00BA6E11">
        <w:t>ë</w:t>
      </w:r>
      <w:r>
        <w:t xml:space="preserve"> nevojshme.</w:t>
      </w:r>
      <w:r w:rsidRPr="00546064">
        <w:t xml:space="preserve"> </w:t>
      </w:r>
      <w:r>
        <w:t>Edhe s</w:t>
      </w:r>
      <w:r w:rsidRPr="00BA6E11">
        <w:t>ë</w:t>
      </w:r>
      <w:r>
        <w:t xml:space="preserve"> fundmi, sipas Gjykat</w:t>
      </w:r>
      <w:r w:rsidRPr="00BA6E11">
        <w:t>ë</w:t>
      </w:r>
      <w:r>
        <w:t>s,</w:t>
      </w:r>
      <w:r w:rsidRPr="004B519C">
        <w:t xml:space="preserve"> </w:t>
      </w:r>
      <w:r w:rsidRPr="001211D1">
        <w:t xml:space="preserve">në vlerësimin e kohëzgjatjes së përgjithshme të procedurave, </w:t>
      </w:r>
      <w:r>
        <w:t xml:space="preserve">ajo </w:t>
      </w:r>
      <w:r w:rsidRPr="001211D1">
        <w:t>vlerëson të tregojë një qasje më të kujdesshme, duke pasur parasysh ndryshimet që solli reforma në sistemin e drejtësisë në vendin tonë dhe efektet e saj, veçanërisht lidhur me plotësimin e numrit të gjyqtarëve në gjykata dhe numri</w:t>
      </w:r>
      <w:r>
        <w:t>n e</w:t>
      </w:r>
      <w:r w:rsidRPr="001211D1">
        <w:t xml:space="preserve"> madh të çështjeve në pritje për t’u shqyrtuar. Në këtë situatë, Gjykata, ashtu sikundër GJEDNJ-ja,</w:t>
      </w:r>
      <w:r>
        <w:t xml:space="preserve"> merr në konsideratë </w:t>
      </w:r>
      <w:r w:rsidRPr="001211D1">
        <w:t>dhe njeh faktin se një vend i vogël</w:t>
      </w:r>
      <w:r>
        <w:t xml:space="preserve"> si ky yni</w:t>
      </w:r>
      <w:r w:rsidRPr="001211D1">
        <w:t xml:space="preserve"> ka vështirësi në plotësimin me burime njerëzore t</w:t>
      </w:r>
      <w:r>
        <w:t>ë nevojshme dhe të mjaftueshme t</w:t>
      </w:r>
      <w:r w:rsidRPr="001211D1">
        <w:t>ë gjykata</w:t>
      </w:r>
      <w:r>
        <w:t>ve të</w:t>
      </w:r>
      <w:r w:rsidRPr="001211D1">
        <w:t xml:space="preserve"> juridiksionit të zakonshëm</w:t>
      </w:r>
      <w:r w:rsidRPr="005324E3">
        <w:rPr>
          <w:i/>
        </w:rPr>
        <w:t xml:space="preserve"> </w:t>
      </w:r>
      <w:r w:rsidRPr="005324E3">
        <w:rPr>
          <w:i/>
          <w:iCs/>
        </w:rPr>
        <w:t>(shih vendimin nr. 33, datë 01.11.2021 të Gjykatës Kushtetuese</w:t>
      </w:r>
      <w:r w:rsidRPr="003358AA">
        <w:t>).</w:t>
      </w:r>
      <w:r>
        <w:t xml:space="preserve"> </w:t>
      </w:r>
      <w:r w:rsidRPr="005324E3">
        <w:rPr>
          <w:i/>
        </w:rPr>
        <w:t xml:space="preserve"> </w:t>
      </w:r>
    </w:p>
    <w:p w:rsidR="000414D1" w:rsidRPr="00546064" w:rsidRDefault="000414D1" w:rsidP="000414D1">
      <w:pPr>
        <w:pStyle w:val="ListParagraph"/>
        <w:numPr>
          <w:ilvl w:val="0"/>
          <w:numId w:val="19"/>
        </w:numPr>
        <w:tabs>
          <w:tab w:val="left" w:pos="1080"/>
        </w:tabs>
        <w:ind w:left="0" w:firstLine="720"/>
        <w:jc w:val="both"/>
      </w:pPr>
      <w:r w:rsidRPr="005324E3">
        <w:t xml:space="preserve">Po në këtë drejtim, </w:t>
      </w:r>
      <w:r w:rsidRPr="005324E3">
        <w:rPr>
          <w:rFonts w:eastAsia="MS Mincho"/>
        </w:rPr>
        <w:t>GJEDNJ</w:t>
      </w:r>
      <w:r w:rsidRPr="001211D1">
        <w:rPr>
          <w:rFonts w:eastAsia="MS Mincho"/>
        </w:rPr>
        <w:t>-ja në jurisprudencën e saj ka mbajtur qëndrimin se</w:t>
      </w:r>
      <w:r w:rsidRPr="001211D1">
        <w:t xml:space="preserve"> akumulimi i përkohshëm i çështjeve nuk e ngarkon shtetin me përgjegjësi, me kusht që ky i fundit të ketë ndërmarrë veprime të menjëhershme që synojnë përmirësimin e situatës për të zgjidhur një situatë të jashtëzakonshme të këtij lloji </w:t>
      </w:r>
      <w:r w:rsidRPr="001211D1">
        <w:rPr>
          <w:i/>
        </w:rPr>
        <w:t xml:space="preserve">(shih </w:t>
      </w:r>
      <w:proofErr w:type="spellStart"/>
      <w:r w:rsidRPr="001211D1">
        <w:rPr>
          <w:i/>
        </w:rPr>
        <w:t>Buchholz</w:t>
      </w:r>
      <w:proofErr w:type="spellEnd"/>
      <w:r w:rsidRPr="001211D1">
        <w:rPr>
          <w:i/>
        </w:rPr>
        <w:t xml:space="preserve"> kundër Gjermanisë, 6 maj 1981, </w:t>
      </w:r>
      <w:r w:rsidRPr="0087209D">
        <w:rPr>
          <w:i/>
        </w:rPr>
        <w:t>§ 51).</w:t>
      </w:r>
      <w:r w:rsidRPr="001211D1">
        <w:t xml:space="preserve"> Metodat që mund të nxisin përkohësisht përshpejtimin janë ato kur për gjykimin e çështjeve ndiqet një radhë e caktuar e bazuar jo vetëm </w:t>
      </w:r>
      <w:r>
        <w:t xml:space="preserve">në datën e </w:t>
      </w:r>
      <w:r w:rsidRPr="001211D1">
        <w:t xml:space="preserve">depozitimit të tyre, </w:t>
      </w:r>
      <w:r w:rsidRPr="009F7B74">
        <w:rPr>
          <w:i/>
          <w:u w:val="single"/>
        </w:rPr>
        <w:t>por edhe në nivelin e urgjencës dhe rëndësisë së tyre, dhe, në veçanti, të vlerësimit të asaj që përbën rrezik për personat në fjalë.</w:t>
      </w:r>
      <w:r w:rsidRPr="001211D1">
        <w:t xml:space="preserve"> Megjithatë, nëse një zgjidhje e këtij lloji rezulton në </w:t>
      </w:r>
      <w:proofErr w:type="spellStart"/>
      <w:r w:rsidRPr="001211D1">
        <w:t>tejzgjatje</w:t>
      </w:r>
      <w:proofErr w:type="spellEnd"/>
      <w:r w:rsidRPr="001211D1">
        <w:t xml:space="preserve"> dhe kthehet në një problem të organizimit strukturor, atëherë këto metoda nuk janë më të mjaftueshme dhe shteti duhet të sigurojë miratimin e masave më efektive </w:t>
      </w:r>
      <w:r w:rsidRPr="001211D1">
        <w:rPr>
          <w:i/>
        </w:rPr>
        <w:t xml:space="preserve">(shih </w:t>
      </w:r>
      <w:proofErr w:type="spellStart"/>
      <w:r w:rsidRPr="001211D1">
        <w:rPr>
          <w:i/>
        </w:rPr>
        <w:t>Guincho</w:t>
      </w:r>
      <w:proofErr w:type="spellEnd"/>
      <w:r w:rsidRPr="001211D1">
        <w:rPr>
          <w:i/>
        </w:rPr>
        <w:t xml:space="preserve"> kundër Portugalisë, 10 korrik 1984, § 40; </w:t>
      </w:r>
      <w:proofErr w:type="spellStart"/>
      <w:r w:rsidRPr="001211D1">
        <w:rPr>
          <w:i/>
        </w:rPr>
        <w:t>Zimmermann</w:t>
      </w:r>
      <w:proofErr w:type="spellEnd"/>
      <w:r w:rsidRPr="001211D1">
        <w:rPr>
          <w:i/>
        </w:rPr>
        <w:t xml:space="preserve"> dhe </w:t>
      </w:r>
      <w:proofErr w:type="spellStart"/>
      <w:r w:rsidRPr="001211D1">
        <w:rPr>
          <w:i/>
        </w:rPr>
        <w:t>Steiner</w:t>
      </w:r>
      <w:proofErr w:type="spellEnd"/>
      <w:r w:rsidRPr="001211D1">
        <w:rPr>
          <w:i/>
        </w:rPr>
        <w:t xml:space="preserve"> kundër Zvicrës, 13 korrik 1983, § 29).</w:t>
      </w:r>
      <w:r w:rsidRPr="001211D1">
        <w:t xml:space="preserve"> </w:t>
      </w:r>
    </w:p>
    <w:p w:rsidR="000414D1" w:rsidRDefault="000414D1" w:rsidP="000414D1">
      <w:pPr>
        <w:pStyle w:val="ListParagraph"/>
        <w:numPr>
          <w:ilvl w:val="0"/>
          <w:numId w:val="19"/>
        </w:numPr>
        <w:tabs>
          <w:tab w:val="left" w:pos="1080"/>
        </w:tabs>
        <w:ind w:left="0" w:firstLine="720"/>
        <w:jc w:val="both"/>
      </w:pPr>
      <w:r>
        <w:t>N</w:t>
      </w:r>
      <w:r w:rsidRPr="00BA6E11">
        <w:t>ë</w:t>
      </w:r>
      <w:r>
        <w:t xml:space="preserve"> v</w:t>
      </w:r>
      <w:r w:rsidRPr="00BA6E11">
        <w:t>ë</w:t>
      </w:r>
      <w:r>
        <w:t>shtrim t</w:t>
      </w:r>
      <w:r w:rsidRPr="00BA6E11">
        <w:t>ë</w:t>
      </w:r>
      <w:r>
        <w:t xml:space="preserve"> sa m</w:t>
      </w:r>
      <w:r w:rsidRPr="00BA6E11">
        <w:t>ë</w:t>
      </w:r>
      <w:r>
        <w:t xml:space="preserve"> lart, duke iu referuar rastit konkret, ndryshe nga shumica, e cila te</w:t>
      </w:r>
      <w:r w:rsidRPr="005F54E9">
        <w:t xml:space="preserve"> ky kriter, ka analizuar detyrimet e autoriteteve përtej gjyqësorit </w:t>
      </w:r>
      <w:r w:rsidRPr="005F54E9">
        <w:rPr>
          <w:i/>
        </w:rPr>
        <w:t>(shih paragrafin 56 të vendimit)</w:t>
      </w:r>
      <w:r w:rsidRPr="005F54E9">
        <w:t>,  vlerë</w:t>
      </w:r>
      <w:r>
        <w:t>soj të ndalem te</w:t>
      </w:r>
      <w:r w:rsidRPr="005F54E9">
        <w:t xml:space="preserve"> rrethanat specifike të kësaj çështje</w:t>
      </w:r>
      <w:r>
        <w:t>je</w:t>
      </w:r>
      <w:r w:rsidRPr="005F54E9">
        <w:t xml:space="preserve">, në drejtim të veprimeve të </w:t>
      </w:r>
      <w:proofErr w:type="spellStart"/>
      <w:r w:rsidRPr="005F54E9">
        <w:t>relatores</w:t>
      </w:r>
      <w:proofErr w:type="spellEnd"/>
      <w:r>
        <w:t>,</w:t>
      </w:r>
      <w:r w:rsidRPr="005F54E9">
        <w:t xml:space="preserve"> si dhe ngarkesës</w:t>
      </w:r>
      <w:r>
        <w:t xml:space="preserve"> s</w:t>
      </w:r>
      <w:r w:rsidRPr="00BA6E11">
        <w:t>ë</w:t>
      </w:r>
      <w:r>
        <w:t xml:space="preserve"> saj, si nj</w:t>
      </w:r>
      <w:r w:rsidRPr="00BA6E11">
        <w:t>ë</w:t>
      </w:r>
      <w:r>
        <w:t xml:space="preserve"> element thelb</w:t>
      </w:r>
      <w:r w:rsidRPr="00BA6E11">
        <w:t>ë</w:t>
      </w:r>
      <w:r>
        <w:t>sor n</w:t>
      </w:r>
      <w:r w:rsidRPr="00BA6E11">
        <w:t>ë</w:t>
      </w:r>
      <w:r>
        <w:t xml:space="preserve"> t</w:t>
      </w:r>
      <w:r w:rsidRPr="00BA6E11">
        <w:t>ë</w:t>
      </w:r>
      <w:r>
        <w:t>r</w:t>
      </w:r>
      <w:r w:rsidRPr="00BA6E11">
        <w:t>ë</w:t>
      </w:r>
      <w:r>
        <w:t>sin</w:t>
      </w:r>
      <w:r w:rsidRPr="00BA6E11">
        <w:t>ë</w:t>
      </w:r>
      <w:r>
        <w:t xml:space="preserve"> e kriterit “sjellja e autoriteteve”. </w:t>
      </w:r>
    </w:p>
    <w:p w:rsidR="000414D1" w:rsidRDefault="000414D1" w:rsidP="000414D1">
      <w:pPr>
        <w:pStyle w:val="ListParagraph"/>
        <w:numPr>
          <w:ilvl w:val="0"/>
          <w:numId w:val="19"/>
        </w:numPr>
        <w:tabs>
          <w:tab w:val="left" w:pos="1080"/>
        </w:tabs>
        <w:ind w:left="0" w:firstLine="720"/>
        <w:jc w:val="both"/>
      </w:pPr>
      <w:r>
        <w:t xml:space="preserve">Duke iu referuar informacionit të ardhur për çështjen nga Gjykata Administrative e Apelit, rezulton se </w:t>
      </w:r>
      <w:proofErr w:type="spellStart"/>
      <w:r>
        <w:t>relatorja</w:t>
      </w:r>
      <w:proofErr w:type="spellEnd"/>
      <w:r>
        <w:t xml:space="preserve"> aktuale për çështjen e kërkuesit është caktuar, përmes shortit, në datën 16.12.2021. Po sipas këtij informacioni, kjo gjyqtare ka aktualisht një ngarkesë prej </w:t>
      </w:r>
      <w:r w:rsidRPr="00BA2606">
        <w:rPr>
          <w:i/>
          <w:u w:val="single"/>
        </w:rPr>
        <w:t>4378 çështjesh</w:t>
      </w:r>
      <w:r>
        <w:t xml:space="preserve"> dhe çështja e kërkuesit i ka kaluar për shqyrtim veç në </w:t>
      </w:r>
      <w:r w:rsidRPr="00BA2606">
        <w:rPr>
          <w:i/>
          <w:u w:val="single"/>
        </w:rPr>
        <w:t>dhjetor 2021</w:t>
      </w:r>
      <w:r>
        <w:t xml:space="preserve">. </w:t>
      </w:r>
    </w:p>
    <w:p w:rsidR="000414D1" w:rsidRPr="00AA1258" w:rsidRDefault="000414D1" w:rsidP="000414D1">
      <w:pPr>
        <w:pStyle w:val="ListParagraph"/>
        <w:numPr>
          <w:ilvl w:val="0"/>
          <w:numId w:val="19"/>
        </w:numPr>
        <w:tabs>
          <w:tab w:val="left" w:pos="1080"/>
        </w:tabs>
        <w:ind w:left="0" w:firstLine="720"/>
        <w:jc w:val="both"/>
      </w:pPr>
      <w:r>
        <w:t>Bazuar n</w:t>
      </w:r>
      <w:r w:rsidRPr="00BA6E11">
        <w:t>ë</w:t>
      </w:r>
      <w:r>
        <w:t xml:space="preserve"> k</w:t>
      </w:r>
      <w:r w:rsidRPr="00BA6E11">
        <w:t>ë</w:t>
      </w:r>
      <w:r>
        <w:t>to t</w:t>
      </w:r>
      <w:r w:rsidRPr="00BA6E11">
        <w:t>ë</w:t>
      </w:r>
      <w:r>
        <w:t xml:space="preserve"> dh</w:t>
      </w:r>
      <w:r w:rsidRPr="00BA6E11">
        <w:t>ë</w:t>
      </w:r>
      <w:r>
        <w:t>na t</w:t>
      </w:r>
      <w:r w:rsidRPr="00BA6E11">
        <w:t>ë</w:t>
      </w:r>
      <w:r>
        <w:t xml:space="preserve"> natyr</w:t>
      </w:r>
      <w:r w:rsidRPr="00BA6E11">
        <w:t>ë</w:t>
      </w:r>
      <w:r>
        <w:t xml:space="preserve">s faktike, vlerësoj se vonesat në shqyrtimin e çështjes, haptazi nuk mund t’i atribuohen </w:t>
      </w:r>
      <w:proofErr w:type="spellStart"/>
      <w:r>
        <w:t>relatores</w:t>
      </w:r>
      <w:proofErr w:type="spellEnd"/>
      <w:r>
        <w:t>. P</w:t>
      </w:r>
      <w:r w:rsidRPr="00BA6E11">
        <w:t>ë</w:t>
      </w:r>
      <w:r>
        <w:t>r m</w:t>
      </w:r>
      <w:r w:rsidRPr="00BA6E11">
        <w:t>ë</w:t>
      </w:r>
      <w:r>
        <w:t xml:space="preserve"> tep</w:t>
      </w:r>
      <w:r w:rsidRPr="00BA6E11">
        <w:t>ë</w:t>
      </w:r>
      <w:r>
        <w:t>r, e gjith</w:t>
      </w:r>
      <w:r w:rsidRPr="00BA6E11">
        <w:t>ë</w:t>
      </w:r>
      <w:r>
        <w:t xml:space="preserve"> kjo ngarkes</w:t>
      </w:r>
      <w:r w:rsidRPr="00BA6E11">
        <w:t>ë</w:t>
      </w:r>
      <w:r>
        <w:t xml:space="preserve"> jo vetëm nuk duhet t’u atribuohet gjyqtarëve, por kërkon marrjen e masave konkrete afatgjata nga institucionet përgjegjëse, përtej atyre që jan</w:t>
      </w:r>
      <w:r w:rsidRPr="00BA6E11">
        <w:t>ë</w:t>
      </w:r>
      <w:r>
        <w:t xml:space="preserve"> marr</w:t>
      </w:r>
      <w:r w:rsidRPr="00BA6E11">
        <w:t>ë</w:t>
      </w:r>
      <w:r>
        <w:t xml:space="preserve"> deri tani, ose dhe atyre q</w:t>
      </w:r>
      <w:r w:rsidRPr="00BA6E11">
        <w:t>ë</w:t>
      </w:r>
      <w:r>
        <w:t xml:space="preserve"> kanë të bëjnë me përcaktimin e çështjeve </w:t>
      </w:r>
      <w:proofErr w:type="spellStart"/>
      <w:r>
        <w:t>prioritare</w:t>
      </w:r>
      <w:proofErr w:type="spellEnd"/>
      <w:r>
        <w:t xml:space="preserve"> për shqyrtim nga gjykatat, bazuar në natyrën dhe karakterin e veçantë të çështjes, masa t</w:t>
      </w:r>
      <w:r w:rsidRPr="00BA6E11">
        <w:t>ë</w:t>
      </w:r>
      <w:r>
        <w:t xml:space="preserve"> cilat dhe kjo Gjykat</w:t>
      </w:r>
      <w:r w:rsidRPr="00BA6E11">
        <w:t>ë</w:t>
      </w:r>
      <w:r>
        <w:t xml:space="preserve"> ka theksuar q</w:t>
      </w:r>
      <w:r w:rsidRPr="00BA6E11">
        <w:t>ë</w:t>
      </w:r>
      <w:r>
        <w:t xml:space="preserve"> nuk jan</w:t>
      </w:r>
      <w:r w:rsidRPr="00BA6E11">
        <w:t>ë</w:t>
      </w:r>
      <w:r>
        <w:t xml:space="preserve"> t</w:t>
      </w:r>
      <w:r w:rsidRPr="00BA6E11">
        <w:t>ë</w:t>
      </w:r>
      <w:r>
        <w:t xml:space="preserve"> mjaftueshme. </w:t>
      </w:r>
      <w:r w:rsidRPr="00D8547B">
        <w:rPr>
          <w:rFonts w:eastAsia="Calibri"/>
          <w:i/>
        </w:rPr>
        <w:t>(shih vendimet nr. 33, datë 01.11.2021; nr. 34, datë 01.11.2021; nr. 35, datë 01.11.2021 të Gjykatës Kushtetuese)</w:t>
      </w:r>
      <w:r w:rsidRPr="00D8547B">
        <w:rPr>
          <w:rFonts w:eastAsia="Calibri"/>
        </w:rPr>
        <w:t>.</w:t>
      </w:r>
    </w:p>
    <w:p w:rsidR="000414D1" w:rsidRDefault="000414D1" w:rsidP="000414D1">
      <w:pPr>
        <w:tabs>
          <w:tab w:val="left" w:pos="1080"/>
        </w:tabs>
        <w:jc w:val="both"/>
      </w:pPr>
    </w:p>
    <w:p w:rsidR="000414D1" w:rsidRDefault="000414D1" w:rsidP="000414D1">
      <w:pPr>
        <w:pStyle w:val="ListParagraph"/>
        <w:tabs>
          <w:tab w:val="left" w:pos="1080"/>
        </w:tabs>
        <w:jc w:val="both"/>
      </w:pPr>
      <w:r w:rsidRPr="00562065">
        <w:rPr>
          <w:i/>
        </w:rPr>
        <w:t>D.</w:t>
      </w:r>
      <w:r>
        <w:t xml:space="preserve"> </w:t>
      </w:r>
      <w:r w:rsidRPr="00016B5B">
        <w:rPr>
          <w:i/>
        </w:rPr>
        <w:t xml:space="preserve">Në lidhje me </w:t>
      </w:r>
      <w:proofErr w:type="spellStart"/>
      <w:r w:rsidRPr="00016B5B">
        <w:rPr>
          <w:i/>
        </w:rPr>
        <w:t>dispozitivin</w:t>
      </w:r>
      <w:proofErr w:type="spellEnd"/>
      <w:r w:rsidRPr="00016B5B">
        <w:rPr>
          <w:i/>
        </w:rPr>
        <w:t xml:space="preserve"> e vendimit</w:t>
      </w:r>
    </w:p>
    <w:p w:rsidR="000414D1" w:rsidRPr="00E672CF" w:rsidRDefault="000414D1" w:rsidP="000414D1">
      <w:pPr>
        <w:pStyle w:val="ListParagraph"/>
        <w:numPr>
          <w:ilvl w:val="0"/>
          <w:numId w:val="19"/>
        </w:numPr>
        <w:tabs>
          <w:tab w:val="left" w:pos="1080"/>
        </w:tabs>
        <w:ind w:left="0" w:firstLine="709"/>
        <w:jc w:val="both"/>
      </w:pPr>
      <w:r>
        <w:t>Në përfundim, në arsyetimin e saj shumica shprehet se: “</w:t>
      </w:r>
      <w:r w:rsidRPr="003358AA">
        <w:t>Gjykata thekson</w:t>
      </w:r>
      <w:r>
        <w:t>,</w:t>
      </w:r>
      <w:r w:rsidRPr="003358AA">
        <w:t xml:space="preserve"> gjithashtu</w:t>
      </w:r>
      <w:r>
        <w:t xml:space="preserve">, domosdoshmërinë </w:t>
      </w:r>
      <w:r w:rsidRPr="009E0AE7">
        <w:t xml:space="preserve">përshpejtimit të procedurës së gjykimit të </w:t>
      </w:r>
      <w:r>
        <w:t xml:space="preserve">çështjes së themelit </w:t>
      </w:r>
      <w:r w:rsidRPr="009E0AE7">
        <w:t>të kërkuesi</w:t>
      </w:r>
      <w:r>
        <w:t xml:space="preserve">t dhe, për këtë qëllim, </w:t>
      </w:r>
      <w:r w:rsidRPr="009E0AE7">
        <w:t>bazuar në nenin 81, pika 3, të ligjit nr. 8577/2000</w:t>
      </w:r>
      <w:r>
        <w:t>, ajo do të caktojë në pjesën urdhëruese të këtij vendimi edhe afatin brenda të cilit duhet të veprojë Gjykata Administrative e Apelit. Në vlerësimin e Gjykatës, ky afat konsiderohet i arsyeshëm dhe u</w:t>
      </w:r>
      <w:r w:rsidRPr="009E0AE7">
        <w:t xml:space="preserve"> përgjigjet kushteve dhe mundësive të </w:t>
      </w:r>
      <w:r>
        <w:t xml:space="preserve">Gjykatës Administrative të Apelit </w:t>
      </w:r>
      <w:r w:rsidRPr="009E0AE7">
        <w:t xml:space="preserve">për </w:t>
      </w:r>
      <w:r>
        <w:t xml:space="preserve">të </w:t>
      </w:r>
      <w:r w:rsidRPr="009E0AE7">
        <w:t>vepruar</w:t>
      </w:r>
      <w:r>
        <w:t xml:space="preserve"> në çështjen e kërkuesit, </w:t>
      </w:r>
      <w:r w:rsidRPr="008D4765">
        <w:t xml:space="preserve">e cila është duke shqyrtuar çështjet e regjistruara në periudhën shtator 2016 – shkurt </w:t>
      </w:r>
      <w:r w:rsidRPr="005F54E9">
        <w:t xml:space="preserve">2017  </w:t>
      </w:r>
      <w:r w:rsidRPr="005F54E9">
        <w:rPr>
          <w:i/>
        </w:rPr>
        <w:t xml:space="preserve">(shih paragrafin 58 të vendimit). </w:t>
      </w:r>
      <w:r w:rsidRPr="005F54E9">
        <w:t>Sipas</w:t>
      </w:r>
      <w:r>
        <w:t xml:space="preserve"> </w:t>
      </w:r>
      <w:proofErr w:type="spellStart"/>
      <w:r>
        <w:t>dispozitivit</w:t>
      </w:r>
      <w:proofErr w:type="spellEnd"/>
      <w:r>
        <w:t>, ur</w:t>
      </w:r>
      <w:r w:rsidRPr="00E672CF">
        <w:t>d</w:t>
      </w:r>
      <w:r>
        <w:t>h</w:t>
      </w:r>
      <w:r w:rsidRPr="00BA6E11">
        <w:t>ë</w:t>
      </w:r>
      <w:r w:rsidRPr="00E672CF">
        <w:t>rohet gjykata t</w:t>
      </w:r>
      <w:r>
        <w:t>ë</w:t>
      </w:r>
      <w:r w:rsidRPr="00E672CF">
        <w:t xml:space="preserve"> sh</w:t>
      </w:r>
      <w:r>
        <w:t>q</w:t>
      </w:r>
      <w:r w:rsidRPr="00E672CF">
        <w:t>yrtojë ç</w:t>
      </w:r>
      <w:r w:rsidRPr="00BA6E11">
        <w:t>ë</w:t>
      </w:r>
      <w:r w:rsidRPr="00E672CF">
        <w:t>shtjen brenda 6 muajve</w:t>
      </w:r>
      <w:r>
        <w:t>, nga hyrja n</w:t>
      </w:r>
      <w:r w:rsidRPr="00BA6E11">
        <w:t>ë</w:t>
      </w:r>
      <w:r>
        <w:t xml:space="preserve"> fuqi e vendimit t</w:t>
      </w:r>
      <w:r w:rsidRPr="00BA6E11">
        <w:t>ë</w:t>
      </w:r>
      <w:r>
        <w:t xml:space="preserve"> Gjykat</w:t>
      </w:r>
      <w:r w:rsidRPr="00BA6E11">
        <w:t>ë</w:t>
      </w:r>
      <w:r>
        <w:t>s Kushtetuese</w:t>
      </w:r>
      <w:r w:rsidRPr="00E672CF">
        <w:t>.</w:t>
      </w:r>
    </w:p>
    <w:p w:rsidR="000414D1" w:rsidRPr="00FA7B6C" w:rsidRDefault="000414D1" w:rsidP="000414D1">
      <w:pPr>
        <w:pStyle w:val="BodyTextIndent3"/>
        <w:rPr>
          <w:i w:val="0"/>
        </w:rPr>
      </w:pPr>
      <w:r w:rsidRPr="00FA7B6C">
        <w:rPr>
          <w:i w:val="0"/>
        </w:rPr>
        <w:t>31. Për sa më lart, duke pranuar se ka shkelje të kohëzgjatjes së arsyeshme dhe duke vendosur detyrim për Gjykatën Administrative të Apelit, që brenda 6 muajve të shqyrtojë themelin e çështjes, shumica nuk ka reflektuar qasjen e duhur as mbi efektivitetin e vendimeve të saj, të cilat rrezikojnë të mbeten të pazbatuara, dhe as në pamundësinë ose mundësinë e kësaj gjykate për të shqyrtuar këtë çështje. Në këtë drejtim, ajo nuk ka qartësuar se mbi çfarë kriteresh e konsideron afatin 6-mujor të arsyeshëm dhe që u përgjigjet kushteve e mundësive të Gjykatës Administrative të Apelit (</w:t>
      </w:r>
      <w:proofErr w:type="spellStart"/>
      <w:r w:rsidRPr="00FA7B6C">
        <w:rPr>
          <w:i w:val="0"/>
        </w:rPr>
        <w:t>relatores</w:t>
      </w:r>
      <w:proofErr w:type="spellEnd"/>
      <w:r w:rsidRPr="00FA7B6C">
        <w:rPr>
          <w:i w:val="0"/>
        </w:rPr>
        <w:t>) për të vepruar në çështjen e kërkuesit. Argumenti i shumicës “sipas periudhës kohore”, i ka ardhur koha, nuk është i mjaftueshëm për të dalë në konkluzionin se, për këtë arsye, Gjykata e Apelit Administrativ ka mundësi ta shqyrtojë brenda 6-muajve.</w:t>
      </w:r>
    </w:p>
    <w:p w:rsidR="000414D1" w:rsidRPr="00D34603" w:rsidRDefault="000414D1" w:rsidP="00D34603">
      <w:pPr>
        <w:pStyle w:val="ListParagraph"/>
        <w:numPr>
          <w:ilvl w:val="0"/>
          <w:numId w:val="20"/>
        </w:numPr>
        <w:tabs>
          <w:tab w:val="left" w:pos="1080"/>
        </w:tabs>
        <w:ind w:left="0" w:firstLine="709"/>
        <w:jc w:val="both"/>
        <w:rPr>
          <w:i/>
        </w:rPr>
      </w:pPr>
      <w:r>
        <w:t>Nga ana tjet</w:t>
      </w:r>
      <w:r w:rsidRPr="00BA6E11">
        <w:t>ë</w:t>
      </w:r>
      <w:r>
        <w:t>r, vendimi nr. 78/2019 i KLGJ-s</w:t>
      </w:r>
      <w:r w:rsidRPr="00BA6E11">
        <w:t>ë</w:t>
      </w:r>
      <w:r>
        <w:t xml:space="preserve">, </w:t>
      </w:r>
      <w:r w:rsidRPr="00932447">
        <w:t xml:space="preserve">për sa i përket kategorisë, </w:t>
      </w:r>
      <w:r>
        <w:t xml:space="preserve">ka parashikuar se </w:t>
      </w:r>
      <w:r w:rsidRPr="00932447">
        <w:t>kërkojnë</w:t>
      </w:r>
      <w:r>
        <w:t>,</w:t>
      </w:r>
      <w:r w:rsidRPr="00932447">
        <w:t xml:space="preserve"> gjithashtu</w:t>
      </w:r>
      <w:r>
        <w:t>,</w:t>
      </w:r>
      <w:r w:rsidRPr="00932447">
        <w:t xml:space="preserve"> përparësi në përshpejtim</w:t>
      </w:r>
      <w:r w:rsidRPr="00932447">
        <w:rPr>
          <w:i/>
        </w:rPr>
        <w:t xml:space="preserve"> </w:t>
      </w:r>
      <w:r w:rsidRPr="00932447">
        <w:t xml:space="preserve">çështjet që duhen shqyrtuar për shkak të vendimeve të </w:t>
      </w:r>
      <w:r w:rsidRPr="006F66E8">
        <w:t xml:space="preserve">Gjykatës </w:t>
      </w:r>
      <w:r w:rsidRPr="005F54E9">
        <w:t xml:space="preserve">Kushtetuese </w:t>
      </w:r>
      <w:r w:rsidRPr="005F54E9">
        <w:rPr>
          <w:i/>
        </w:rPr>
        <w:t>(shih pikën 3.2</w:t>
      </w:r>
      <w:r>
        <w:rPr>
          <w:i/>
        </w:rPr>
        <w:t>, Kreu II,</w:t>
      </w:r>
      <w:r w:rsidRPr="005F54E9">
        <w:rPr>
          <w:i/>
        </w:rPr>
        <w:t xml:space="preserve"> të</w:t>
      </w:r>
      <w:r w:rsidRPr="006F66E8">
        <w:rPr>
          <w:i/>
        </w:rPr>
        <w:t xml:space="preserve"> vendimit nr. 78/2019 të KLGJ-së)</w:t>
      </w:r>
      <w:r w:rsidRPr="006F66E8">
        <w:t>, një arsye më tepër për t</w:t>
      </w:r>
      <w:r>
        <w:t>ë pas</w:t>
      </w:r>
      <w:r w:rsidRPr="006F66E8">
        <w:t>ur kujdes në vënien e afateve, që mund të krijojnë përplasje me kalendarin e ç</w:t>
      </w:r>
      <w:r w:rsidRPr="00BA6E11">
        <w:t>ë</w:t>
      </w:r>
      <w:r w:rsidRPr="006F66E8">
        <w:t>shtjeve, ku mund t</w:t>
      </w:r>
      <w:r>
        <w:t>ë</w:t>
      </w:r>
      <w:r w:rsidRPr="006F66E8">
        <w:t xml:space="preserve"> ket</w:t>
      </w:r>
      <w:r w:rsidRPr="00BA6E11">
        <w:t>ë</w:t>
      </w:r>
      <w:r w:rsidRPr="006F66E8">
        <w:t xml:space="preserve"> ç</w:t>
      </w:r>
      <w:r w:rsidRPr="00BA6E11">
        <w:t>ë</w:t>
      </w:r>
      <w:r w:rsidRPr="006F66E8">
        <w:t xml:space="preserve">shtje më </w:t>
      </w:r>
      <w:proofErr w:type="spellStart"/>
      <w:r>
        <w:t>prioritare</w:t>
      </w:r>
      <w:proofErr w:type="spellEnd"/>
      <w:r w:rsidRPr="006F66E8">
        <w:t xml:space="preserve"> </w:t>
      </w:r>
      <w:r>
        <w:rPr>
          <w:i/>
        </w:rPr>
        <w:t>(shih paragrafët 13-14</w:t>
      </w:r>
      <w:r w:rsidRPr="006F66E8">
        <w:rPr>
          <w:i/>
        </w:rPr>
        <w:t xml:space="preserve"> të kësaj pakice). </w:t>
      </w:r>
    </w:p>
    <w:p w:rsidR="000414D1" w:rsidRDefault="000414D1" w:rsidP="000414D1">
      <w:pPr>
        <w:pStyle w:val="ListParagraph"/>
        <w:tabs>
          <w:tab w:val="left" w:pos="1080"/>
        </w:tabs>
        <w:jc w:val="both"/>
        <w:rPr>
          <w:i/>
        </w:rPr>
      </w:pPr>
    </w:p>
    <w:p w:rsidR="000414D1" w:rsidRPr="00114690" w:rsidRDefault="000414D1" w:rsidP="000414D1">
      <w:pPr>
        <w:pStyle w:val="ListParagraph"/>
        <w:tabs>
          <w:tab w:val="left" w:pos="1080"/>
        </w:tabs>
        <w:jc w:val="both"/>
        <w:rPr>
          <w:i/>
        </w:rPr>
      </w:pPr>
      <w:r w:rsidRPr="00114690">
        <w:rPr>
          <w:i/>
        </w:rPr>
        <w:t xml:space="preserve"> E. Konkluzione </w:t>
      </w:r>
    </w:p>
    <w:p w:rsidR="000414D1" w:rsidRDefault="000414D1" w:rsidP="000414D1">
      <w:pPr>
        <w:pStyle w:val="ListParagraph"/>
        <w:numPr>
          <w:ilvl w:val="0"/>
          <w:numId w:val="20"/>
        </w:numPr>
        <w:tabs>
          <w:tab w:val="left" w:pos="1080"/>
        </w:tabs>
        <w:ind w:left="0" w:firstLine="720"/>
        <w:jc w:val="both"/>
      </w:pPr>
      <w:r>
        <w:t>Në vështrim t</w:t>
      </w:r>
      <w:r w:rsidRPr="00BA6E11">
        <w:t>ë</w:t>
      </w:r>
      <w:r>
        <w:t xml:space="preserve"> </w:t>
      </w:r>
      <w:proofErr w:type="spellStart"/>
      <w:r>
        <w:t>të</w:t>
      </w:r>
      <w:proofErr w:type="spellEnd"/>
      <w:r>
        <w:t xml:space="preserve"> gjitha sa më sipër, </w:t>
      </w:r>
      <w:r w:rsidRPr="0092693B">
        <w:t xml:space="preserve">mendoj </w:t>
      </w:r>
      <w:r>
        <w:t xml:space="preserve">se qëndrimi i shumicës është </w:t>
      </w:r>
      <w:r w:rsidRPr="0092693B">
        <w:t xml:space="preserve">një vlerësim </w:t>
      </w:r>
      <w:r>
        <w:t>i</w:t>
      </w:r>
      <w:r w:rsidRPr="0092693B">
        <w:t xml:space="preserve"> nxituar</w:t>
      </w:r>
      <w:r>
        <w:t xml:space="preserve"> dhe</w:t>
      </w:r>
      <w:r w:rsidRPr="0092693B">
        <w:t xml:space="preserve"> </w:t>
      </w:r>
      <w:r>
        <w:t>i</w:t>
      </w:r>
      <w:r w:rsidRPr="0092693B">
        <w:t xml:space="preserve"> shkëputur nga realiteti</w:t>
      </w:r>
      <w:r>
        <w:t xml:space="preserve"> kompleks i organizimit dhe funksionit të gjyqësorit aktualisht, edhe pse shkresa  e d</w:t>
      </w:r>
      <w:r w:rsidRPr="00BA6E11">
        <w:t>ë</w:t>
      </w:r>
      <w:r>
        <w:t>rguar nga Gjykata Administrative e Apelit e pasqyron m</w:t>
      </w:r>
      <w:r w:rsidRPr="00BA6E11">
        <w:t>ë</w:t>
      </w:r>
      <w:r>
        <w:t xml:space="preserve"> s</w:t>
      </w:r>
      <w:r w:rsidRPr="00BA6E11">
        <w:t>ë</w:t>
      </w:r>
      <w:r>
        <w:t xml:space="preserve"> miri k</w:t>
      </w:r>
      <w:r w:rsidRPr="00BA6E11">
        <w:t>ë</w:t>
      </w:r>
      <w:r>
        <w:t>t</w:t>
      </w:r>
      <w:r w:rsidRPr="00BA6E11">
        <w:t>ë</w:t>
      </w:r>
      <w:r>
        <w:t xml:space="preserve"> realitet me mbingarkes</w:t>
      </w:r>
      <w:r w:rsidRPr="00BA6E11">
        <w:t>ë</w:t>
      </w:r>
      <w:r>
        <w:t xml:space="preserve"> </w:t>
      </w:r>
      <w:r w:rsidRPr="002D0594">
        <w:t>ç</w:t>
      </w:r>
      <w:r w:rsidRPr="00BA6E11">
        <w:t>ë</w:t>
      </w:r>
      <w:r>
        <w:t>shtjesh gjyq</w:t>
      </w:r>
      <w:r w:rsidRPr="00BA6E11">
        <w:t>ë</w:t>
      </w:r>
      <w:r>
        <w:t xml:space="preserve">sore. </w:t>
      </w:r>
    </w:p>
    <w:p w:rsidR="000414D1" w:rsidRDefault="000414D1" w:rsidP="000414D1">
      <w:pPr>
        <w:pStyle w:val="ListParagraph"/>
        <w:numPr>
          <w:ilvl w:val="0"/>
          <w:numId w:val="20"/>
        </w:numPr>
        <w:tabs>
          <w:tab w:val="left" w:pos="1080"/>
        </w:tabs>
        <w:ind w:left="0" w:firstLine="720"/>
        <w:jc w:val="both"/>
      </w:pPr>
      <w:r>
        <w:t>Ky q</w:t>
      </w:r>
      <w:r w:rsidRPr="00BA6E11">
        <w:t>ë</w:t>
      </w:r>
      <w:r>
        <w:t>ndrim i pakic</w:t>
      </w:r>
      <w:r w:rsidRPr="00BA6E11">
        <w:t>ë</w:t>
      </w:r>
      <w:r>
        <w:t>s nuk nënkupton në asnjë rast që sistemi gjyq</w:t>
      </w:r>
      <w:r w:rsidRPr="00BA6E11">
        <w:t>ë</w:t>
      </w:r>
      <w:r>
        <w:t>sor nuk duhet të jetë në përputhje me parimin e drejtësisë efektive, megjithat</w:t>
      </w:r>
      <w:r w:rsidRPr="00BA6E11">
        <w:t>ë</w:t>
      </w:r>
      <w:r>
        <w:t xml:space="preserve"> kjo Gjykat</w:t>
      </w:r>
      <w:r w:rsidRPr="00BA6E11">
        <w:t>ë</w:t>
      </w:r>
      <w:r>
        <w:t xml:space="preserve">, krahas </w:t>
      </w:r>
      <w:r w:rsidRPr="0092693B">
        <w:t>sigur</w:t>
      </w:r>
      <w:r>
        <w:t>imit të</w:t>
      </w:r>
      <w:r w:rsidRPr="0092693B">
        <w:t xml:space="preserve"> njëtrajtshmëri</w:t>
      </w:r>
      <w:r>
        <w:t>së s</w:t>
      </w:r>
      <w:r w:rsidRPr="0092693B">
        <w:t>ë jurisprudencës kushtetuese</w:t>
      </w:r>
      <w:r>
        <w:t>,</w:t>
      </w:r>
      <w:r w:rsidRPr="0092693B">
        <w:t xml:space="preserve"> </w:t>
      </w:r>
      <w:r>
        <w:t xml:space="preserve">për </w:t>
      </w:r>
      <w:r w:rsidRPr="0092693B">
        <w:t xml:space="preserve">sa i takon </w:t>
      </w:r>
      <w:r>
        <w:t>vlerësimit të faktorëve që duhet t</w:t>
      </w:r>
      <w:r w:rsidRPr="00BA6E11">
        <w:t>ë</w:t>
      </w:r>
      <w:r>
        <w:t xml:space="preserve"> garantojnë</w:t>
      </w:r>
      <w:r w:rsidRPr="0092693B">
        <w:t xml:space="preserve"> standardet e së drejtës për një proces të rregullt ligjor</w:t>
      </w:r>
      <w:r>
        <w:t>,</w:t>
      </w:r>
      <w:r w:rsidRPr="0092693B">
        <w:t xml:space="preserve"> </w:t>
      </w:r>
      <w:r>
        <w:t>duhet edhe t</w:t>
      </w:r>
      <w:r w:rsidRPr="00BA6E11">
        <w:t>ë</w:t>
      </w:r>
      <w:r>
        <w:t xml:space="preserve"> </w:t>
      </w:r>
      <w:proofErr w:type="spellStart"/>
      <w:r>
        <w:t>konstitucionalizoj</w:t>
      </w:r>
      <w:r w:rsidRPr="00BA6E11">
        <w:t>ë</w:t>
      </w:r>
      <w:proofErr w:type="spellEnd"/>
      <w:r w:rsidRPr="0092693B">
        <w:t xml:space="preserve"> </w:t>
      </w:r>
      <w:r>
        <w:t>gjyqësorin e</w:t>
      </w:r>
      <w:r w:rsidRPr="0092693B">
        <w:t xml:space="preserve"> zakonshëm përmes vendimeve të </w:t>
      </w:r>
      <w:r>
        <w:t>saj. N</w:t>
      </w:r>
      <w:r w:rsidRPr="00BA6E11">
        <w:t>ë</w:t>
      </w:r>
      <w:r>
        <w:t xml:space="preserve"> rastin konkret, vler</w:t>
      </w:r>
      <w:r w:rsidRPr="00BA6E11">
        <w:t>ë</w:t>
      </w:r>
      <w:r>
        <w:t>soj se  Gjykata, duke mos p</w:t>
      </w:r>
      <w:r w:rsidRPr="00BA6E11">
        <w:t>ë</w:t>
      </w:r>
      <w:r>
        <w:t>rcaktuar kritere t</w:t>
      </w:r>
      <w:r w:rsidRPr="00BA6E11">
        <w:t>ë</w:t>
      </w:r>
      <w:r>
        <w:t xml:space="preserve"> sakta dhe t</w:t>
      </w:r>
      <w:r w:rsidRPr="00BA6E11">
        <w:t>ë</w:t>
      </w:r>
      <w:r>
        <w:t xml:space="preserve"> qarta, po i orienton k</w:t>
      </w:r>
      <w:r w:rsidRPr="00BA6E11">
        <w:t>ë</w:t>
      </w:r>
      <w:r>
        <w:t xml:space="preserve">to lloj procesesh </w:t>
      </w:r>
      <w:r w:rsidRPr="0092693B">
        <w:t xml:space="preserve">gjyqësore </w:t>
      </w:r>
      <w:r>
        <w:t>n</w:t>
      </w:r>
      <w:r w:rsidRPr="00BA6E11">
        <w:t>ë</w:t>
      </w:r>
      <w:r>
        <w:t xml:space="preserve"> </w:t>
      </w:r>
      <w:r w:rsidRPr="00EE5161">
        <w:t>subjektivizëm, duke sjellë pasoja edhe për gjyqësorin e zakonshëm, i cili</w:t>
      </w:r>
      <w:r>
        <w:t>,</w:t>
      </w:r>
      <w:r w:rsidRPr="00EE5161">
        <w:t xml:space="preserve"> përveç kritereve të </w:t>
      </w:r>
      <w:r w:rsidRPr="005F54E9">
        <w:t xml:space="preserve">sipërcituara </w:t>
      </w:r>
      <w:r w:rsidRPr="005F54E9">
        <w:rPr>
          <w:i/>
        </w:rPr>
        <w:t>(shih paragrafët 13-14 të kësaj pakice)</w:t>
      </w:r>
      <w:r w:rsidRPr="005F54E9">
        <w:t>, do</w:t>
      </w:r>
      <w:r w:rsidRPr="00EE5161">
        <w:t xml:space="preserve"> </w:t>
      </w:r>
      <w:r>
        <w:t xml:space="preserve">të </w:t>
      </w:r>
      <w:r w:rsidRPr="00EE5161">
        <w:t>duhet të orientohet drejt zhvillimit të proceseve gjyqësore, sipas kritereve (në fakt, mungesës</w:t>
      </w:r>
      <w:r>
        <w:t xml:space="preserve"> s</w:t>
      </w:r>
      <w:r w:rsidRPr="00BA6E11">
        <w:t>ë</w:t>
      </w:r>
      <w:r>
        <w:t xml:space="preserve"> kritereve t</w:t>
      </w:r>
      <w:r w:rsidRPr="00BA6E11">
        <w:t>ë</w:t>
      </w:r>
      <w:r>
        <w:t xml:space="preserve"> qarta), t</w:t>
      </w:r>
      <w:r w:rsidRPr="00BA6E11">
        <w:t>ë</w:t>
      </w:r>
      <w:r>
        <w:t xml:space="preserve"> v</w:t>
      </w:r>
      <w:r w:rsidRPr="00BA6E11">
        <w:t>ë</w:t>
      </w:r>
      <w:r>
        <w:t>na prej saj.</w:t>
      </w:r>
    </w:p>
    <w:p w:rsidR="000414D1" w:rsidRDefault="000414D1" w:rsidP="000414D1">
      <w:pPr>
        <w:pStyle w:val="ListParagraph"/>
        <w:numPr>
          <w:ilvl w:val="0"/>
          <w:numId w:val="20"/>
        </w:numPr>
        <w:tabs>
          <w:tab w:val="left" w:pos="1080"/>
        </w:tabs>
        <w:ind w:left="0" w:firstLine="720"/>
        <w:jc w:val="both"/>
      </w:pPr>
      <w:r>
        <w:t>Si p</w:t>
      </w:r>
      <w:r w:rsidRPr="00BA6E11">
        <w:t>ë</w:t>
      </w:r>
      <w:r>
        <w:t>rfundim, vlerësoj se kërkesa e kërkuesit duhej të rrëzohej, duke marr</w:t>
      </w:r>
      <w:r w:rsidRPr="00BA6E11">
        <w:t>ë</w:t>
      </w:r>
      <w:r>
        <w:t xml:space="preserve"> n</w:t>
      </w:r>
      <w:r w:rsidRPr="00BA6E11">
        <w:t>ë</w:t>
      </w:r>
      <w:r>
        <w:t xml:space="preserve"> konsiderat</w:t>
      </w:r>
      <w:r w:rsidRPr="00BA6E11">
        <w:t>ë</w:t>
      </w:r>
      <w:r>
        <w:t xml:space="preserve"> kriterin e interesit/</w:t>
      </w:r>
      <w:r w:rsidRPr="00BB45DA">
        <w:rPr>
          <w:iCs/>
        </w:rPr>
        <w:t xml:space="preserve">rrezikut që </w:t>
      </w:r>
      <w:proofErr w:type="spellStart"/>
      <w:r w:rsidRPr="00BB45DA">
        <w:rPr>
          <w:iCs/>
        </w:rPr>
        <w:t>passjell</w:t>
      </w:r>
      <w:proofErr w:type="spellEnd"/>
      <w:r w:rsidRPr="00BB45DA">
        <w:rPr>
          <w:iCs/>
        </w:rPr>
        <w:t xml:space="preserve"> për kërkuesin </w:t>
      </w:r>
      <w:proofErr w:type="spellStart"/>
      <w:r w:rsidRPr="00BB45DA">
        <w:rPr>
          <w:iCs/>
        </w:rPr>
        <w:t>tejzgjatja</w:t>
      </w:r>
      <w:proofErr w:type="spellEnd"/>
      <w:r w:rsidRPr="00BB45DA">
        <w:rPr>
          <w:iCs/>
        </w:rPr>
        <w:t xml:space="preserve"> e procedurave</w:t>
      </w:r>
      <w:r>
        <w:t>, si dhe kriterin e sjelljes s</w:t>
      </w:r>
      <w:r w:rsidRPr="00BA6E11">
        <w:t>ë</w:t>
      </w:r>
      <w:r>
        <w:t xml:space="preserve"> autoriteteve dhe, m</w:t>
      </w:r>
      <w:r w:rsidRPr="00BA6E11">
        <w:t>ë</w:t>
      </w:r>
      <w:r>
        <w:t xml:space="preserve"> konkretisht, nj</w:t>
      </w:r>
      <w:r w:rsidRPr="00BA6E11">
        <w:t>ë</w:t>
      </w:r>
      <w:r>
        <w:t xml:space="preserve"> faktori q</w:t>
      </w:r>
      <w:r w:rsidRPr="00BA6E11">
        <w:t>ë</w:t>
      </w:r>
      <w:r>
        <w:t xml:space="preserve"> q</w:t>
      </w:r>
      <w:r w:rsidRPr="00BA6E11">
        <w:t>ë</w:t>
      </w:r>
      <w:r>
        <w:t>ndron brenda kriterit t</w:t>
      </w:r>
      <w:r w:rsidRPr="00BA6E11">
        <w:t>ë</w:t>
      </w:r>
      <w:r>
        <w:t xml:space="preserve"> sjelljes s</w:t>
      </w:r>
      <w:r w:rsidRPr="00BA6E11">
        <w:t>ë</w:t>
      </w:r>
      <w:r>
        <w:t xml:space="preserve"> autoriteteve, </w:t>
      </w:r>
      <w:proofErr w:type="spellStart"/>
      <w:r>
        <w:t>specifikisht</w:t>
      </w:r>
      <w:proofErr w:type="spellEnd"/>
      <w:r>
        <w:t xml:space="preserve"> referuar mosveprimeve ose veprimeve t</w:t>
      </w:r>
      <w:r w:rsidRPr="00BA6E11">
        <w:t>ë</w:t>
      </w:r>
      <w:r>
        <w:t xml:space="preserve"> </w:t>
      </w:r>
      <w:proofErr w:type="spellStart"/>
      <w:r>
        <w:t>relatores</w:t>
      </w:r>
      <w:proofErr w:type="spellEnd"/>
      <w:r>
        <w:t xml:space="preserve"> s</w:t>
      </w:r>
      <w:r w:rsidRPr="00BA6E11">
        <w:t>ë</w:t>
      </w:r>
      <w:r>
        <w:t xml:space="preserve"> </w:t>
      </w:r>
      <w:r w:rsidRPr="002D0594">
        <w:t>ç</w:t>
      </w:r>
      <w:r w:rsidRPr="00BA6E11">
        <w:t>ë</w:t>
      </w:r>
      <w:r>
        <w:t>shtjes, t</w:t>
      </w:r>
      <w:r w:rsidRPr="00BA6E11">
        <w:t>ë</w:t>
      </w:r>
      <w:r>
        <w:t xml:space="preserve"> tilla q</w:t>
      </w:r>
      <w:r w:rsidRPr="00BA6E11">
        <w:t>ë</w:t>
      </w:r>
      <w:r>
        <w:t xml:space="preserve"> t</w:t>
      </w:r>
      <w:r w:rsidRPr="00BA6E11">
        <w:t>ë</w:t>
      </w:r>
      <w:r>
        <w:t xml:space="preserve"> ken</w:t>
      </w:r>
      <w:r w:rsidRPr="00BA6E11">
        <w:t>ë</w:t>
      </w:r>
      <w:r>
        <w:t xml:space="preserve"> ndikuar n</w:t>
      </w:r>
      <w:r w:rsidRPr="00BA6E11">
        <w:t>ë</w:t>
      </w:r>
      <w:r>
        <w:t xml:space="preserve"> vonesat e </w:t>
      </w:r>
      <w:r w:rsidRPr="002D0594">
        <w:t>ç</w:t>
      </w:r>
      <w:r w:rsidRPr="00BA6E11">
        <w:t>ë</w:t>
      </w:r>
      <w:r>
        <w:t xml:space="preserve">shtjes. </w:t>
      </w:r>
    </w:p>
    <w:p w:rsidR="000414D1" w:rsidRDefault="000414D1" w:rsidP="000414D1">
      <w:pPr>
        <w:pStyle w:val="ListParagraph"/>
        <w:tabs>
          <w:tab w:val="left" w:pos="1080"/>
        </w:tabs>
        <w:jc w:val="both"/>
        <w:rPr>
          <w:b/>
        </w:rPr>
      </w:pPr>
    </w:p>
    <w:p w:rsidR="00161A91" w:rsidRDefault="00161A91" w:rsidP="00161A91">
      <w:pPr>
        <w:tabs>
          <w:tab w:val="left" w:pos="1080"/>
        </w:tabs>
        <w:jc w:val="both"/>
      </w:pPr>
      <w:r w:rsidRPr="00161A91">
        <w:rPr>
          <w:b/>
        </w:rPr>
        <w:t>An</w:t>
      </w:r>
      <w:r w:rsidRPr="00161A91">
        <w:rPr>
          <w:b/>
        </w:rPr>
        <w:t>ë</w:t>
      </w:r>
      <w:r w:rsidRPr="00161A91">
        <w:rPr>
          <w:b/>
        </w:rPr>
        <w:t xml:space="preserve">tare: </w:t>
      </w:r>
      <w:proofErr w:type="spellStart"/>
      <w:r w:rsidRPr="00161A91">
        <w:rPr>
          <w:b/>
        </w:rPr>
        <w:t>Elsa</w:t>
      </w:r>
      <w:proofErr w:type="spellEnd"/>
      <w:r w:rsidRPr="00161A91">
        <w:rPr>
          <w:b/>
        </w:rPr>
        <w:t xml:space="preserve"> Toska</w:t>
      </w:r>
    </w:p>
    <w:p w:rsidR="000414D1" w:rsidRPr="00D1522E" w:rsidRDefault="000414D1" w:rsidP="00D1522E">
      <w:pPr>
        <w:pStyle w:val="ListParagraph"/>
        <w:tabs>
          <w:tab w:val="left" w:pos="1080"/>
        </w:tabs>
        <w:jc w:val="both"/>
        <w:rPr>
          <w:b/>
        </w:rPr>
      </w:pPr>
      <w:r>
        <w:rPr>
          <w:b/>
        </w:rPr>
        <w:tab/>
      </w:r>
      <w:r>
        <w:rPr>
          <w:b/>
        </w:rPr>
        <w:tab/>
      </w:r>
      <w:r>
        <w:rPr>
          <w:b/>
        </w:rPr>
        <w:tab/>
      </w:r>
      <w:r>
        <w:rPr>
          <w:b/>
        </w:rPr>
        <w:tab/>
      </w:r>
      <w:r>
        <w:rPr>
          <w:b/>
        </w:rPr>
        <w:tab/>
      </w:r>
      <w:r>
        <w:rPr>
          <w:b/>
        </w:rPr>
        <w:tab/>
      </w:r>
      <w:r>
        <w:rPr>
          <w:b/>
        </w:rPr>
        <w:tab/>
      </w:r>
      <w:r>
        <w:rPr>
          <w:b/>
        </w:rPr>
        <w:tab/>
      </w:r>
      <w:r>
        <w:rPr>
          <w:b/>
        </w:rPr>
        <w:tab/>
      </w:r>
    </w:p>
    <w:p w:rsidR="000414D1" w:rsidRDefault="00161A91" w:rsidP="000414D1">
      <w:pPr>
        <w:pStyle w:val="ListParagraph"/>
        <w:tabs>
          <w:tab w:val="left" w:pos="1080"/>
        </w:tabs>
        <w:jc w:val="both"/>
        <w:rPr>
          <w:b/>
        </w:rPr>
      </w:pPr>
      <w:r>
        <w:rPr>
          <w:b/>
        </w:rPr>
        <w:tab/>
      </w:r>
      <w:r>
        <w:rPr>
          <w:b/>
        </w:rPr>
        <w:tab/>
      </w:r>
      <w:r>
        <w:rPr>
          <w:b/>
        </w:rPr>
        <w:tab/>
      </w:r>
      <w:r>
        <w:rPr>
          <w:b/>
        </w:rPr>
        <w:tab/>
      </w:r>
      <w:r>
        <w:rPr>
          <w:b/>
        </w:rPr>
        <w:tab/>
      </w:r>
      <w:r>
        <w:rPr>
          <w:b/>
        </w:rPr>
        <w:tab/>
      </w:r>
      <w:r>
        <w:rPr>
          <w:b/>
        </w:rPr>
        <w:tab/>
      </w:r>
      <w:r>
        <w:rPr>
          <w:b/>
        </w:rPr>
        <w:tab/>
      </w:r>
      <w:r>
        <w:rPr>
          <w:b/>
        </w:rPr>
        <w:tab/>
      </w:r>
    </w:p>
    <w:p w:rsidR="000414D1" w:rsidRPr="00213D69" w:rsidRDefault="000414D1" w:rsidP="000414D1"/>
    <w:p w:rsidR="000414D1" w:rsidRDefault="000414D1" w:rsidP="000414D1"/>
    <w:p w:rsidR="00D1522E" w:rsidRDefault="00D1522E" w:rsidP="00D1522E">
      <w:pPr>
        <w:rPr>
          <w:rFonts w:eastAsia="Times New Roman"/>
          <w:b/>
        </w:rPr>
      </w:pPr>
    </w:p>
    <w:p w:rsidR="00D1522E" w:rsidRDefault="00D1522E" w:rsidP="00D1522E">
      <w:pPr>
        <w:rPr>
          <w:rFonts w:eastAsia="Times New Roman"/>
          <w:b/>
        </w:rPr>
      </w:pPr>
    </w:p>
    <w:sectPr w:rsidR="00D1522E" w:rsidSect="00BE5FCF">
      <w:footerReference w:type="default" r:id="rId8"/>
      <w:pgSz w:w="11906" w:h="16838"/>
      <w:pgMar w:top="1530" w:right="1286" w:bottom="1800" w:left="1440" w:header="720" w:footer="675"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8FE9A" w16cex:dateUtc="2022-02-05T12:48:00Z"/>
  <w16cex:commentExtensible w16cex:durableId="25A8FECB" w16cex:dateUtc="2022-02-05T12:48:00Z"/>
  <w16cex:commentExtensible w16cex:durableId="25A9026A" w16cex:dateUtc="2022-02-05T13:04:00Z"/>
  <w16cex:commentExtensible w16cex:durableId="25A900D8" w16cex:dateUtc="2022-02-05T12:57:00Z"/>
  <w16cex:commentExtensible w16cex:durableId="25A9009D" w16cex:dateUtc="2022-02-05T12:56:00Z"/>
  <w16cex:commentExtensible w16cex:durableId="25A9015C" w16cex:dateUtc="2022-02-05T12:59:00Z"/>
  <w16cex:commentExtensible w16cex:durableId="25A901BD" w16cex:dateUtc="2022-02-05T13:0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710" w:rsidRDefault="00523710" w:rsidP="007B78ED">
      <w:pPr>
        <w:spacing w:line="240" w:lineRule="auto"/>
      </w:pPr>
      <w:r>
        <w:separator/>
      </w:r>
    </w:p>
  </w:endnote>
  <w:endnote w:type="continuationSeparator" w:id="0">
    <w:p w:rsidR="00523710" w:rsidRDefault="00523710" w:rsidP="007B7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89" w:rsidRDefault="00CA3F89" w:rsidP="000D4417">
    <w:pPr>
      <w:pStyle w:val="Footer"/>
      <w:pBdr>
        <w:top w:val="thinThickSmallGap" w:sz="24" w:space="1" w:color="622423"/>
      </w:pBdr>
      <w:spacing w:line="240" w:lineRule="auto"/>
      <w:rPr>
        <w:rFonts w:ascii="Cambria" w:hAnsi="Cambria"/>
      </w:rPr>
    </w:pPr>
    <w:r w:rsidRPr="00B262AF">
      <w:rPr>
        <w:rFonts w:ascii="Cambria" w:hAnsi="Cambria"/>
      </w:rPr>
      <w:t xml:space="preserve">Vendim i </w:t>
    </w:r>
    <w:r>
      <w:rPr>
        <w:rFonts w:ascii="Cambria" w:hAnsi="Cambria"/>
      </w:rPr>
      <w:t>Gjykatës Kushtetuese</w:t>
    </w:r>
  </w:p>
  <w:p w:rsidR="00CA3F89" w:rsidRPr="00B262AF" w:rsidRDefault="00CA3F89" w:rsidP="000D4417">
    <w:pPr>
      <w:pStyle w:val="Footer"/>
      <w:pBdr>
        <w:top w:val="thinThickSmallGap" w:sz="24" w:space="1" w:color="622423"/>
      </w:pBdr>
      <w:tabs>
        <w:tab w:val="clear" w:pos="4680"/>
      </w:tabs>
      <w:spacing w:line="240" w:lineRule="auto"/>
      <w:rPr>
        <w:rFonts w:ascii="Cambria" w:hAnsi="Cambria"/>
      </w:rPr>
    </w:pPr>
    <w:r w:rsidRPr="00B262AF">
      <w:rPr>
        <w:rFonts w:ascii="Cambria" w:hAnsi="Cambria"/>
      </w:rPr>
      <w:t xml:space="preserve">Kërkues: </w:t>
    </w:r>
    <w:proofErr w:type="spellStart"/>
    <w:r>
      <w:rPr>
        <w:rFonts w:ascii="Cambria" w:hAnsi="Cambria"/>
      </w:rPr>
      <w:t>Laert</w:t>
    </w:r>
    <w:proofErr w:type="spellEnd"/>
    <w:r>
      <w:rPr>
        <w:rFonts w:ascii="Cambria" w:hAnsi="Cambria"/>
      </w:rPr>
      <w:t xml:space="preserve"> </w:t>
    </w:r>
    <w:proofErr w:type="spellStart"/>
    <w:r>
      <w:rPr>
        <w:rFonts w:ascii="Cambria" w:hAnsi="Cambria"/>
      </w:rPr>
      <w:t>Kola</w:t>
    </w:r>
    <w:proofErr w:type="spellEnd"/>
    <w:r w:rsidRPr="00B262AF">
      <w:rPr>
        <w:rFonts w:ascii="Cambria" w:hAnsi="Cambria"/>
      </w:rPr>
      <w:tab/>
      <w:t xml:space="preserve">Faqe </w:t>
    </w:r>
    <w:r>
      <w:fldChar w:fldCharType="begin"/>
    </w:r>
    <w:r>
      <w:instrText xml:space="preserve"> PAGE   \* MERGEFORMAT </w:instrText>
    </w:r>
    <w:r>
      <w:fldChar w:fldCharType="separate"/>
    </w:r>
    <w:r w:rsidR="006E3534" w:rsidRPr="006E3534">
      <w:rPr>
        <w:rFonts w:ascii="Cambria" w:hAnsi="Cambria"/>
        <w:noProof/>
      </w:rPr>
      <w:t>21</w:t>
    </w:r>
    <w:r>
      <w:fldChar w:fldCharType="end"/>
    </w:r>
  </w:p>
  <w:p w:rsidR="00CA3F89" w:rsidRDefault="00CA3F89" w:rsidP="000D4417">
    <w:pPr>
      <w:pStyle w:val="Footer"/>
      <w:spacing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710" w:rsidRDefault="00523710" w:rsidP="007B78ED">
      <w:pPr>
        <w:spacing w:line="240" w:lineRule="auto"/>
      </w:pPr>
      <w:r>
        <w:separator/>
      </w:r>
    </w:p>
  </w:footnote>
  <w:footnote w:type="continuationSeparator" w:id="0">
    <w:p w:rsidR="00523710" w:rsidRDefault="00523710" w:rsidP="007B78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17DF"/>
    <w:multiLevelType w:val="hybridMultilevel"/>
    <w:tmpl w:val="1B0027FA"/>
    <w:lvl w:ilvl="0" w:tplc="4FE69B3E">
      <w:start w:val="31"/>
      <w:numFmt w:val="decimal"/>
      <w:lvlText w:val="%1."/>
      <w:lvlJc w:val="left"/>
      <w:pPr>
        <w:ind w:left="1069"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75FDA"/>
    <w:multiLevelType w:val="hybridMultilevel"/>
    <w:tmpl w:val="CC686E72"/>
    <w:lvl w:ilvl="0" w:tplc="7D8AB45A">
      <w:start w:val="1"/>
      <w:numFmt w:val="lowerLetter"/>
      <w:lvlText w:val="%1."/>
      <w:lvlJc w:val="left"/>
      <w:pPr>
        <w:ind w:left="821" w:hanging="361"/>
      </w:pPr>
      <w:rPr>
        <w:rFonts w:ascii="Times New Roman" w:eastAsia="Times New Roman" w:hAnsi="Times New Roman" w:cs="Times New Roman" w:hint="default"/>
        <w:spacing w:val="-1"/>
        <w:w w:val="100"/>
        <w:sz w:val="24"/>
        <w:szCs w:val="24"/>
        <w:lang w:val="sq-AL" w:eastAsia="en-US" w:bidi="ar-SA"/>
      </w:rPr>
    </w:lvl>
    <w:lvl w:ilvl="1" w:tplc="747AC658">
      <w:numFmt w:val="bullet"/>
      <w:lvlText w:val="•"/>
      <w:lvlJc w:val="left"/>
      <w:pPr>
        <w:ind w:left="1662" w:hanging="361"/>
      </w:pPr>
      <w:rPr>
        <w:rFonts w:hint="default"/>
        <w:lang w:val="sq-AL" w:eastAsia="en-US" w:bidi="ar-SA"/>
      </w:rPr>
    </w:lvl>
    <w:lvl w:ilvl="2" w:tplc="98B852CE">
      <w:numFmt w:val="bullet"/>
      <w:lvlText w:val="•"/>
      <w:lvlJc w:val="left"/>
      <w:pPr>
        <w:ind w:left="2504" w:hanging="361"/>
      </w:pPr>
      <w:rPr>
        <w:rFonts w:hint="default"/>
        <w:lang w:val="sq-AL" w:eastAsia="en-US" w:bidi="ar-SA"/>
      </w:rPr>
    </w:lvl>
    <w:lvl w:ilvl="3" w:tplc="14AEA452">
      <w:numFmt w:val="bullet"/>
      <w:lvlText w:val="•"/>
      <w:lvlJc w:val="left"/>
      <w:pPr>
        <w:ind w:left="3347" w:hanging="361"/>
      </w:pPr>
      <w:rPr>
        <w:rFonts w:hint="default"/>
        <w:lang w:val="sq-AL" w:eastAsia="en-US" w:bidi="ar-SA"/>
      </w:rPr>
    </w:lvl>
    <w:lvl w:ilvl="4" w:tplc="5E9263A0">
      <w:numFmt w:val="bullet"/>
      <w:lvlText w:val="•"/>
      <w:lvlJc w:val="left"/>
      <w:pPr>
        <w:ind w:left="4189" w:hanging="361"/>
      </w:pPr>
      <w:rPr>
        <w:rFonts w:hint="default"/>
        <w:lang w:val="sq-AL" w:eastAsia="en-US" w:bidi="ar-SA"/>
      </w:rPr>
    </w:lvl>
    <w:lvl w:ilvl="5" w:tplc="5D8887E2">
      <w:numFmt w:val="bullet"/>
      <w:lvlText w:val="•"/>
      <w:lvlJc w:val="left"/>
      <w:pPr>
        <w:ind w:left="5032" w:hanging="361"/>
      </w:pPr>
      <w:rPr>
        <w:rFonts w:hint="default"/>
        <w:lang w:val="sq-AL" w:eastAsia="en-US" w:bidi="ar-SA"/>
      </w:rPr>
    </w:lvl>
    <w:lvl w:ilvl="6" w:tplc="5F26CD52">
      <w:numFmt w:val="bullet"/>
      <w:lvlText w:val="•"/>
      <w:lvlJc w:val="left"/>
      <w:pPr>
        <w:ind w:left="5874" w:hanging="361"/>
      </w:pPr>
      <w:rPr>
        <w:rFonts w:hint="default"/>
        <w:lang w:val="sq-AL" w:eastAsia="en-US" w:bidi="ar-SA"/>
      </w:rPr>
    </w:lvl>
    <w:lvl w:ilvl="7" w:tplc="628C0458">
      <w:numFmt w:val="bullet"/>
      <w:lvlText w:val="•"/>
      <w:lvlJc w:val="left"/>
      <w:pPr>
        <w:ind w:left="6716" w:hanging="361"/>
      </w:pPr>
      <w:rPr>
        <w:rFonts w:hint="default"/>
        <w:lang w:val="sq-AL" w:eastAsia="en-US" w:bidi="ar-SA"/>
      </w:rPr>
    </w:lvl>
    <w:lvl w:ilvl="8" w:tplc="23D27060">
      <w:numFmt w:val="bullet"/>
      <w:lvlText w:val="•"/>
      <w:lvlJc w:val="left"/>
      <w:pPr>
        <w:ind w:left="7559" w:hanging="361"/>
      </w:pPr>
      <w:rPr>
        <w:rFonts w:hint="default"/>
        <w:lang w:val="sq-AL" w:eastAsia="en-US" w:bidi="ar-SA"/>
      </w:rPr>
    </w:lvl>
  </w:abstractNum>
  <w:abstractNum w:abstractNumId="2">
    <w:nsid w:val="21E16AD9"/>
    <w:multiLevelType w:val="hybridMultilevel"/>
    <w:tmpl w:val="92B238EC"/>
    <w:lvl w:ilvl="0" w:tplc="0C00C2F6">
      <w:start w:val="1"/>
      <w:numFmt w:val="decimal"/>
      <w:lvlText w:val="%1."/>
      <w:lvlJc w:val="left"/>
      <w:pPr>
        <w:ind w:left="460" w:hanging="361"/>
      </w:pPr>
      <w:rPr>
        <w:rFonts w:ascii="Times New Roman" w:eastAsia="Times New Roman" w:hAnsi="Times New Roman" w:cs="Times New Roman" w:hint="default"/>
        <w:w w:val="100"/>
        <w:sz w:val="24"/>
        <w:szCs w:val="24"/>
        <w:lang w:val="sq-AL" w:eastAsia="en-US" w:bidi="ar-SA"/>
      </w:rPr>
    </w:lvl>
    <w:lvl w:ilvl="1" w:tplc="D7928450">
      <w:numFmt w:val="bullet"/>
      <w:lvlText w:val="•"/>
      <w:lvlJc w:val="left"/>
      <w:pPr>
        <w:ind w:left="1338" w:hanging="361"/>
      </w:pPr>
      <w:rPr>
        <w:rFonts w:hint="default"/>
        <w:lang w:val="sq-AL" w:eastAsia="en-US" w:bidi="ar-SA"/>
      </w:rPr>
    </w:lvl>
    <w:lvl w:ilvl="2" w:tplc="665C2DF4">
      <w:numFmt w:val="bullet"/>
      <w:lvlText w:val="•"/>
      <w:lvlJc w:val="left"/>
      <w:pPr>
        <w:ind w:left="2216" w:hanging="361"/>
      </w:pPr>
      <w:rPr>
        <w:rFonts w:hint="default"/>
        <w:lang w:val="sq-AL" w:eastAsia="en-US" w:bidi="ar-SA"/>
      </w:rPr>
    </w:lvl>
    <w:lvl w:ilvl="3" w:tplc="70D86F4A">
      <w:numFmt w:val="bullet"/>
      <w:lvlText w:val="•"/>
      <w:lvlJc w:val="left"/>
      <w:pPr>
        <w:ind w:left="3095" w:hanging="361"/>
      </w:pPr>
      <w:rPr>
        <w:rFonts w:hint="default"/>
        <w:lang w:val="sq-AL" w:eastAsia="en-US" w:bidi="ar-SA"/>
      </w:rPr>
    </w:lvl>
    <w:lvl w:ilvl="4" w:tplc="CD9673FA">
      <w:numFmt w:val="bullet"/>
      <w:lvlText w:val="•"/>
      <w:lvlJc w:val="left"/>
      <w:pPr>
        <w:ind w:left="3973" w:hanging="361"/>
      </w:pPr>
      <w:rPr>
        <w:rFonts w:hint="default"/>
        <w:lang w:val="sq-AL" w:eastAsia="en-US" w:bidi="ar-SA"/>
      </w:rPr>
    </w:lvl>
    <w:lvl w:ilvl="5" w:tplc="9E7C9718">
      <w:numFmt w:val="bullet"/>
      <w:lvlText w:val="•"/>
      <w:lvlJc w:val="left"/>
      <w:pPr>
        <w:ind w:left="4852" w:hanging="361"/>
      </w:pPr>
      <w:rPr>
        <w:rFonts w:hint="default"/>
        <w:lang w:val="sq-AL" w:eastAsia="en-US" w:bidi="ar-SA"/>
      </w:rPr>
    </w:lvl>
    <w:lvl w:ilvl="6" w:tplc="FDF8D5BA">
      <w:numFmt w:val="bullet"/>
      <w:lvlText w:val="•"/>
      <w:lvlJc w:val="left"/>
      <w:pPr>
        <w:ind w:left="5730" w:hanging="361"/>
      </w:pPr>
      <w:rPr>
        <w:rFonts w:hint="default"/>
        <w:lang w:val="sq-AL" w:eastAsia="en-US" w:bidi="ar-SA"/>
      </w:rPr>
    </w:lvl>
    <w:lvl w:ilvl="7" w:tplc="EA321132">
      <w:numFmt w:val="bullet"/>
      <w:lvlText w:val="•"/>
      <w:lvlJc w:val="left"/>
      <w:pPr>
        <w:ind w:left="6608" w:hanging="361"/>
      </w:pPr>
      <w:rPr>
        <w:rFonts w:hint="default"/>
        <w:lang w:val="sq-AL" w:eastAsia="en-US" w:bidi="ar-SA"/>
      </w:rPr>
    </w:lvl>
    <w:lvl w:ilvl="8" w:tplc="1CB6C828">
      <w:numFmt w:val="bullet"/>
      <w:lvlText w:val="•"/>
      <w:lvlJc w:val="left"/>
      <w:pPr>
        <w:ind w:left="7487" w:hanging="361"/>
      </w:pPr>
      <w:rPr>
        <w:rFonts w:hint="default"/>
        <w:lang w:val="sq-AL" w:eastAsia="en-US" w:bidi="ar-SA"/>
      </w:rPr>
    </w:lvl>
  </w:abstractNum>
  <w:abstractNum w:abstractNumId="3">
    <w:nsid w:val="30100EA6"/>
    <w:multiLevelType w:val="hybridMultilevel"/>
    <w:tmpl w:val="636CC16E"/>
    <w:lvl w:ilvl="0" w:tplc="5E6A9158">
      <w:start w:val="12"/>
      <w:numFmt w:val="decimal"/>
      <w:lvlText w:val="%1."/>
      <w:lvlJc w:val="left"/>
      <w:pPr>
        <w:ind w:left="1069"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A625ED"/>
    <w:multiLevelType w:val="hybridMultilevel"/>
    <w:tmpl w:val="FE5A6D6C"/>
    <w:lvl w:ilvl="0" w:tplc="56DE15D8">
      <w:start w:val="1"/>
      <w:numFmt w:val="decimal"/>
      <w:lvlText w:val="%1."/>
      <w:lvlJc w:val="left"/>
      <w:pPr>
        <w:ind w:left="720" w:hanging="360"/>
      </w:pPr>
      <w:rPr>
        <w:rFonts w:ascii="Times New Roman" w:eastAsia="MS Mincho"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A6A25"/>
    <w:multiLevelType w:val="multilevel"/>
    <w:tmpl w:val="4E88406A"/>
    <w:lvl w:ilvl="0">
      <w:start w:val="1"/>
      <w:numFmt w:val="decimal"/>
      <w:lvlText w:val="%1."/>
      <w:lvlJc w:val="left"/>
      <w:pPr>
        <w:ind w:left="460" w:hanging="361"/>
      </w:pPr>
      <w:rPr>
        <w:rFonts w:ascii="Times New Roman" w:eastAsia="Times New Roman" w:hAnsi="Times New Roman" w:cs="Times New Roman" w:hint="default"/>
        <w:w w:val="100"/>
        <w:sz w:val="24"/>
        <w:szCs w:val="24"/>
        <w:lang w:val="sq-AL" w:eastAsia="en-US" w:bidi="ar-SA"/>
      </w:rPr>
    </w:lvl>
    <w:lvl w:ilvl="1">
      <w:start w:val="1"/>
      <w:numFmt w:val="decimal"/>
      <w:lvlText w:val="%1.%2"/>
      <w:lvlJc w:val="left"/>
      <w:pPr>
        <w:ind w:left="464" w:hanging="365"/>
      </w:pPr>
      <w:rPr>
        <w:rFonts w:ascii="Times New Roman" w:eastAsia="Times New Roman" w:hAnsi="Times New Roman" w:cs="Times New Roman" w:hint="default"/>
        <w:w w:val="100"/>
        <w:sz w:val="24"/>
        <w:szCs w:val="24"/>
        <w:lang w:val="sq-AL" w:eastAsia="en-US" w:bidi="ar-SA"/>
      </w:rPr>
    </w:lvl>
    <w:lvl w:ilvl="2">
      <w:start w:val="1"/>
      <w:numFmt w:val="lowerLetter"/>
      <w:lvlText w:val="%3."/>
      <w:lvlJc w:val="left"/>
      <w:pPr>
        <w:ind w:left="821" w:hanging="361"/>
      </w:pPr>
      <w:rPr>
        <w:rFonts w:ascii="Times New Roman" w:eastAsia="Times New Roman" w:hAnsi="Times New Roman" w:cs="Times New Roman" w:hint="default"/>
        <w:spacing w:val="-1"/>
        <w:w w:val="100"/>
        <w:sz w:val="24"/>
        <w:szCs w:val="24"/>
        <w:lang w:val="sq-AL" w:eastAsia="en-US" w:bidi="ar-SA"/>
      </w:rPr>
    </w:lvl>
    <w:lvl w:ilvl="3">
      <w:numFmt w:val="bullet"/>
      <w:lvlText w:val="•"/>
      <w:lvlJc w:val="left"/>
      <w:pPr>
        <w:ind w:left="2692" w:hanging="361"/>
      </w:pPr>
      <w:rPr>
        <w:rFonts w:hint="default"/>
        <w:lang w:val="sq-AL" w:eastAsia="en-US" w:bidi="ar-SA"/>
      </w:rPr>
    </w:lvl>
    <w:lvl w:ilvl="4">
      <w:numFmt w:val="bullet"/>
      <w:lvlText w:val="•"/>
      <w:lvlJc w:val="left"/>
      <w:pPr>
        <w:ind w:left="3628" w:hanging="361"/>
      </w:pPr>
      <w:rPr>
        <w:rFonts w:hint="default"/>
        <w:lang w:val="sq-AL" w:eastAsia="en-US" w:bidi="ar-SA"/>
      </w:rPr>
    </w:lvl>
    <w:lvl w:ilvl="5">
      <w:numFmt w:val="bullet"/>
      <w:lvlText w:val="•"/>
      <w:lvlJc w:val="left"/>
      <w:pPr>
        <w:ind w:left="4564" w:hanging="361"/>
      </w:pPr>
      <w:rPr>
        <w:rFonts w:hint="default"/>
        <w:lang w:val="sq-AL" w:eastAsia="en-US" w:bidi="ar-SA"/>
      </w:rPr>
    </w:lvl>
    <w:lvl w:ilvl="6">
      <w:numFmt w:val="bullet"/>
      <w:lvlText w:val="•"/>
      <w:lvlJc w:val="left"/>
      <w:pPr>
        <w:ind w:left="5500" w:hanging="361"/>
      </w:pPr>
      <w:rPr>
        <w:rFonts w:hint="default"/>
        <w:lang w:val="sq-AL" w:eastAsia="en-US" w:bidi="ar-SA"/>
      </w:rPr>
    </w:lvl>
    <w:lvl w:ilvl="7">
      <w:numFmt w:val="bullet"/>
      <w:lvlText w:val="•"/>
      <w:lvlJc w:val="left"/>
      <w:pPr>
        <w:ind w:left="6436" w:hanging="361"/>
      </w:pPr>
      <w:rPr>
        <w:rFonts w:hint="default"/>
        <w:lang w:val="sq-AL" w:eastAsia="en-US" w:bidi="ar-SA"/>
      </w:rPr>
    </w:lvl>
    <w:lvl w:ilvl="8">
      <w:numFmt w:val="bullet"/>
      <w:lvlText w:val="•"/>
      <w:lvlJc w:val="left"/>
      <w:pPr>
        <w:ind w:left="7372" w:hanging="361"/>
      </w:pPr>
      <w:rPr>
        <w:rFonts w:hint="default"/>
        <w:lang w:val="sq-AL" w:eastAsia="en-US" w:bidi="ar-SA"/>
      </w:rPr>
    </w:lvl>
  </w:abstractNum>
  <w:abstractNum w:abstractNumId="6">
    <w:nsid w:val="40C17E0D"/>
    <w:multiLevelType w:val="hybridMultilevel"/>
    <w:tmpl w:val="13E6DEB2"/>
    <w:lvl w:ilvl="0" w:tplc="FB50C43C">
      <w:start w:val="1"/>
      <w:numFmt w:val="decimal"/>
      <w:lvlText w:val="%1."/>
      <w:lvlJc w:val="left"/>
      <w:pPr>
        <w:ind w:left="460" w:hanging="361"/>
      </w:pPr>
      <w:rPr>
        <w:rFonts w:ascii="Times New Roman" w:eastAsia="Times New Roman" w:hAnsi="Times New Roman" w:cs="Times New Roman" w:hint="default"/>
        <w:w w:val="100"/>
        <w:sz w:val="24"/>
        <w:szCs w:val="24"/>
        <w:lang w:val="sq-AL" w:eastAsia="en-US" w:bidi="ar-SA"/>
      </w:rPr>
    </w:lvl>
    <w:lvl w:ilvl="1" w:tplc="B3C2C1AE">
      <w:numFmt w:val="bullet"/>
      <w:lvlText w:val="•"/>
      <w:lvlJc w:val="left"/>
      <w:pPr>
        <w:ind w:left="1338" w:hanging="361"/>
      </w:pPr>
      <w:rPr>
        <w:rFonts w:hint="default"/>
        <w:lang w:val="sq-AL" w:eastAsia="en-US" w:bidi="ar-SA"/>
      </w:rPr>
    </w:lvl>
    <w:lvl w:ilvl="2" w:tplc="BD1C8DD4">
      <w:numFmt w:val="bullet"/>
      <w:lvlText w:val="•"/>
      <w:lvlJc w:val="left"/>
      <w:pPr>
        <w:ind w:left="2216" w:hanging="361"/>
      </w:pPr>
      <w:rPr>
        <w:rFonts w:hint="default"/>
        <w:lang w:val="sq-AL" w:eastAsia="en-US" w:bidi="ar-SA"/>
      </w:rPr>
    </w:lvl>
    <w:lvl w:ilvl="3" w:tplc="943C33EA">
      <w:numFmt w:val="bullet"/>
      <w:lvlText w:val="•"/>
      <w:lvlJc w:val="left"/>
      <w:pPr>
        <w:ind w:left="3095" w:hanging="361"/>
      </w:pPr>
      <w:rPr>
        <w:rFonts w:hint="default"/>
        <w:lang w:val="sq-AL" w:eastAsia="en-US" w:bidi="ar-SA"/>
      </w:rPr>
    </w:lvl>
    <w:lvl w:ilvl="4" w:tplc="E85E0B3E">
      <w:numFmt w:val="bullet"/>
      <w:lvlText w:val="•"/>
      <w:lvlJc w:val="left"/>
      <w:pPr>
        <w:ind w:left="3973" w:hanging="361"/>
      </w:pPr>
      <w:rPr>
        <w:rFonts w:hint="default"/>
        <w:lang w:val="sq-AL" w:eastAsia="en-US" w:bidi="ar-SA"/>
      </w:rPr>
    </w:lvl>
    <w:lvl w:ilvl="5" w:tplc="AEDCC706">
      <w:numFmt w:val="bullet"/>
      <w:lvlText w:val="•"/>
      <w:lvlJc w:val="left"/>
      <w:pPr>
        <w:ind w:left="4852" w:hanging="361"/>
      </w:pPr>
      <w:rPr>
        <w:rFonts w:hint="default"/>
        <w:lang w:val="sq-AL" w:eastAsia="en-US" w:bidi="ar-SA"/>
      </w:rPr>
    </w:lvl>
    <w:lvl w:ilvl="6" w:tplc="DBBC558C">
      <w:numFmt w:val="bullet"/>
      <w:lvlText w:val="•"/>
      <w:lvlJc w:val="left"/>
      <w:pPr>
        <w:ind w:left="5730" w:hanging="361"/>
      </w:pPr>
      <w:rPr>
        <w:rFonts w:hint="default"/>
        <w:lang w:val="sq-AL" w:eastAsia="en-US" w:bidi="ar-SA"/>
      </w:rPr>
    </w:lvl>
    <w:lvl w:ilvl="7" w:tplc="58D40EB6">
      <w:numFmt w:val="bullet"/>
      <w:lvlText w:val="•"/>
      <w:lvlJc w:val="left"/>
      <w:pPr>
        <w:ind w:left="6608" w:hanging="361"/>
      </w:pPr>
      <w:rPr>
        <w:rFonts w:hint="default"/>
        <w:lang w:val="sq-AL" w:eastAsia="en-US" w:bidi="ar-SA"/>
      </w:rPr>
    </w:lvl>
    <w:lvl w:ilvl="8" w:tplc="B7B2B83C">
      <w:numFmt w:val="bullet"/>
      <w:lvlText w:val="•"/>
      <w:lvlJc w:val="left"/>
      <w:pPr>
        <w:ind w:left="7487" w:hanging="361"/>
      </w:pPr>
      <w:rPr>
        <w:rFonts w:hint="default"/>
        <w:lang w:val="sq-AL" w:eastAsia="en-US" w:bidi="ar-SA"/>
      </w:rPr>
    </w:lvl>
  </w:abstractNum>
  <w:abstractNum w:abstractNumId="7">
    <w:nsid w:val="42A611DE"/>
    <w:multiLevelType w:val="hybridMultilevel"/>
    <w:tmpl w:val="BBCA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C5FDB"/>
    <w:multiLevelType w:val="hybridMultilevel"/>
    <w:tmpl w:val="AE94E6C2"/>
    <w:lvl w:ilvl="0" w:tplc="2892E374">
      <w:start w:val="1"/>
      <w:numFmt w:val="decimal"/>
      <w:lvlText w:val="%1."/>
      <w:lvlJc w:val="left"/>
      <w:pPr>
        <w:ind w:left="990" w:hanging="360"/>
      </w:pPr>
      <w:rPr>
        <w:b w:val="0"/>
        <w:i w:val="0"/>
      </w:rPr>
    </w:lvl>
    <w:lvl w:ilvl="1" w:tplc="04090019">
      <w:start w:val="1"/>
      <w:numFmt w:val="lowerLetter"/>
      <w:lvlText w:val="%2."/>
      <w:lvlJc w:val="left"/>
      <w:pPr>
        <w:ind w:left="1440" w:hanging="360"/>
      </w:pPr>
    </w:lvl>
    <w:lvl w:ilvl="2" w:tplc="7522F4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78105C"/>
    <w:multiLevelType w:val="hybridMultilevel"/>
    <w:tmpl w:val="7C1A6ECE"/>
    <w:lvl w:ilvl="0" w:tplc="C1E0598A">
      <w:start w:val="18"/>
      <w:numFmt w:val="decimal"/>
      <w:lvlText w:val="%1."/>
      <w:lvlJc w:val="left"/>
      <w:pPr>
        <w:ind w:left="1069"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36C35"/>
    <w:multiLevelType w:val="hybridMultilevel"/>
    <w:tmpl w:val="6CB84B64"/>
    <w:lvl w:ilvl="0" w:tplc="402654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DC7901"/>
    <w:multiLevelType w:val="hybridMultilevel"/>
    <w:tmpl w:val="98DE0D8E"/>
    <w:lvl w:ilvl="0" w:tplc="1CB00922">
      <w:start w:val="1"/>
      <w:numFmt w:val="decimal"/>
      <w:lvlText w:val="%1."/>
      <w:lvlJc w:val="left"/>
      <w:pPr>
        <w:ind w:left="1004" w:hanging="360"/>
      </w:pPr>
      <w:rPr>
        <w:rFonts w:hint="default"/>
      </w:rPr>
    </w:lvl>
    <w:lvl w:ilvl="1" w:tplc="041C0019" w:tentative="1">
      <w:start w:val="1"/>
      <w:numFmt w:val="lowerLetter"/>
      <w:lvlText w:val="%2."/>
      <w:lvlJc w:val="left"/>
      <w:pPr>
        <w:ind w:left="1724" w:hanging="360"/>
      </w:pPr>
    </w:lvl>
    <w:lvl w:ilvl="2" w:tplc="041C001B" w:tentative="1">
      <w:start w:val="1"/>
      <w:numFmt w:val="lowerRoman"/>
      <w:lvlText w:val="%3."/>
      <w:lvlJc w:val="right"/>
      <w:pPr>
        <w:ind w:left="2444" w:hanging="180"/>
      </w:pPr>
    </w:lvl>
    <w:lvl w:ilvl="3" w:tplc="041C000F" w:tentative="1">
      <w:start w:val="1"/>
      <w:numFmt w:val="decimal"/>
      <w:lvlText w:val="%4."/>
      <w:lvlJc w:val="left"/>
      <w:pPr>
        <w:ind w:left="3164" w:hanging="360"/>
      </w:pPr>
    </w:lvl>
    <w:lvl w:ilvl="4" w:tplc="041C0019" w:tentative="1">
      <w:start w:val="1"/>
      <w:numFmt w:val="lowerLetter"/>
      <w:lvlText w:val="%5."/>
      <w:lvlJc w:val="left"/>
      <w:pPr>
        <w:ind w:left="3884" w:hanging="360"/>
      </w:pPr>
    </w:lvl>
    <w:lvl w:ilvl="5" w:tplc="041C001B" w:tentative="1">
      <w:start w:val="1"/>
      <w:numFmt w:val="lowerRoman"/>
      <w:lvlText w:val="%6."/>
      <w:lvlJc w:val="right"/>
      <w:pPr>
        <w:ind w:left="4604" w:hanging="180"/>
      </w:pPr>
    </w:lvl>
    <w:lvl w:ilvl="6" w:tplc="041C000F" w:tentative="1">
      <w:start w:val="1"/>
      <w:numFmt w:val="decimal"/>
      <w:lvlText w:val="%7."/>
      <w:lvlJc w:val="left"/>
      <w:pPr>
        <w:ind w:left="5324" w:hanging="360"/>
      </w:pPr>
    </w:lvl>
    <w:lvl w:ilvl="7" w:tplc="041C0019" w:tentative="1">
      <w:start w:val="1"/>
      <w:numFmt w:val="lowerLetter"/>
      <w:lvlText w:val="%8."/>
      <w:lvlJc w:val="left"/>
      <w:pPr>
        <w:ind w:left="6044" w:hanging="360"/>
      </w:pPr>
    </w:lvl>
    <w:lvl w:ilvl="8" w:tplc="041C001B" w:tentative="1">
      <w:start w:val="1"/>
      <w:numFmt w:val="lowerRoman"/>
      <w:lvlText w:val="%9."/>
      <w:lvlJc w:val="right"/>
      <w:pPr>
        <w:ind w:left="6764" w:hanging="180"/>
      </w:pPr>
    </w:lvl>
  </w:abstractNum>
  <w:abstractNum w:abstractNumId="12">
    <w:nsid w:val="57D6076C"/>
    <w:multiLevelType w:val="hybridMultilevel"/>
    <w:tmpl w:val="EAC87826"/>
    <w:lvl w:ilvl="0" w:tplc="D2886958">
      <w:start w:val="32"/>
      <w:numFmt w:val="decimal"/>
      <w:lvlText w:val="%1."/>
      <w:lvlJc w:val="left"/>
      <w:pPr>
        <w:ind w:left="1069"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645C8"/>
    <w:multiLevelType w:val="hybridMultilevel"/>
    <w:tmpl w:val="48EE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E3310E"/>
    <w:multiLevelType w:val="hybridMultilevel"/>
    <w:tmpl w:val="6B74DAE6"/>
    <w:lvl w:ilvl="0" w:tplc="D74C3DB6">
      <w:start w:val="19"/>
      <w:numFmt w:val="decimal"/>
      <w:lvlText w:val="%1."/>
      <w:lvlJc w:val="left"/>
      <w:pPr>
        <w:ind w:left="1069"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00144"/>
    <w:multiLevelType w:val="hybridMultilevel"/>
    <w:tmpl w:val="334A244A"/>
    <w:lvl w:ilvl="0" w:tplc="3C3A03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E368F0"/>
    <w:multiLevelType w:val="hybridMultilevel"/>
    <w:tmpl w:val="F3A819EE"/>
    <w:lvl w:ilvl="0" w:tplc="A9CA51EA">
      <w:start w:val="1"/>
      <w:numFmt w:val="upp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7">
    <w:nsid w:val="7679638E"/>
    <w:multiLevelType w:val="hybridMultilevel"/>
    <w:tmpl w:val="4B86E0FA"/>
    <w:lvl w:ilvl="0" w:tplc="5E08EB68">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492FB5"/>
    <w:multiLevelType w:val="hybridMultilevel"/>
    <w:tmpl w:val="6FE653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444505"/>
    <w:multiLevelType w:val="hybridMultilevel"/>
    <w:tmpl w:val="66203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3"/>
  </w:num>
  <w:num w:numId="4">
    <w:abstractNumId w:val="15"/>
  </w:num>
  <w:num w:numId="5">
    <w:abstractNumId w:val="8"/>
  </w:num>
  <w:num w:numId="6">
    <w:abstractNumId w:val="11"/>
  </w:num>
  <w:num w:numId="7">
    <w:abstractNumId w:val="4"/>
  </w:num>
  <w:num w:numId="8">
    <w:abstractNumId w:val="19"/>
  </w:num>
  <w:num w:numId="9">
    <w:abstractNumId w:val="17"/>
  </w:num>
  <w:num w:numId="10">
    <w:abstractNumId w:val="10"/>
  </w:num>
  <w:num w:numId="11">
    <w:abstractNumId w:val="2"/>
  </w:num>
  <w:num w:numId="12">
    <w:abstractNumId w:val="6"/>
  </w:num>
  <w:num w:numId="13">
    <w:abstractNumId w:val="1"/>
  </w:num>
  <w:num w:numId="14">
    <w:abstractNumId w:val="5"/>
  </w:num>
  <w:num w:numId="15">
    <w:abstractNumId w:val="16"/>
  </w:num>
  <w:num w:numId="16">
    <w:abstractNumId w:val="9"/>
  </w:num>
  <w:num w:numId="17">
    <w:abstractNumId w:val="3"/>
  </w:num>
  <w:num w:numId="18">
    <w:abstractNumId w:val="0"/>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ED"/>
    <w:rsid w:val="00007587"/>
    <w:rsid w:val="00012D71"/>
    <w:rsid w:val="00012FED"/>
    <w:rsid w:val="0001391C"/>
    <w:rsid w:val="00020161"/>
    <w:rsid w:val="00026FB2"/>
    <w:rsid w:val="00035CE4"/>
    <w:rsid w:val="000407C2"/>
    <w:rsid w:val="000414D1"/>
    <w:rsid w:val="0004382F"/>
    <w:rsid w:val="00044BD6"/>
    <w:rsid w:val="00050DAA"/>
    <w:rsid w:val="00052483"/>
    <w:rsid w:val="0005248E"/>
    <w:rsid w:val="00053204"/>
    <w:rsid w:val="000671F7"/>
    <w:rsid w:val="00074048"/>
    <w:rsid w:val="000A3202"/>
    <w:rsid w:val="000A6397"/>
    <w:rsid w:val="000B071F"/>
    <w:rsid w:val="000B4473"/>
    <w:rsid w:val="000B4822"/>
    <w:rsid w:val="000B4AB6"/>
    <w:rsid w:val="000C0573"/>
    <w:rsid w:val="000C0891"/>
    <w:rsid w:val="000C2FD4"/>
    <w:rsid w:val="000D0305"/>
    <w:rsid w:val="000D4417"/>
    <w:rsid w:val="000D5269"/>
    <w:rsid w:val="000E0FD6"/>
    <w:rsid w:val="000E1952"/>
    <w:rsid w:val="000E4F66"/>
    <w:rsid w:val="000E5ECA"/>
    <w:rsid w:val="000E79BF"/>
    <w:rsid w:val="000F20C2"/>
    <w:rsid w:val="00103328"/>
    <w:rsid w:val="00105021"/>
    <w:rsid w:val="0011693C"/>
    <w:rsid w:val="00123E73"/>
    <w:rsid w:val="00126020"/>
    <w:rsid w:val="00131019"/>
    <w:rsid w:val="00133283"/>
    <w:rsid w:val="00134DF5"/>
    <w:rsid w:val="00135B7E"/>
    <w:rsid w:val="00137966"/>
    <w:rsid w:val="001419B4"/>
    <w:rsid w:val="0014321C"/>
    <w:rsid w:val="0014601E"/>
    <w:rsid w:val="0015133F"/>
    <w:rsid w:val="00151EA1"/>
    <w:rsid w:val="001571BB"/>
    <w:rsid w:val="00161A91"/>
    <w:rsid w:val="001631F5"/>
    <w:rsid w:val="00164866"/>
    <w:rsid w:val="00166034"/>
    <w:rsid w:val="00170F88"/>
    <w:rsid w:val="00176723"/>
    <w:rsid w:val="00176D37"/>
    <w:rsid w:val="00180C6E"/>
    <w:rsid w:val="0018257A"/>
    <w:rsid w:val="00183F48"/>
    <w:rsid w:val="001909B3"/>
    <w:rsid w:val="00192FA1"/>
    <w:rsid w:val="001940BB"/>
    <w:rsid w:val="001A1C38"/>
    <w:rsid w:val="001A24DF"/>
    <w:rsid w:val="001A664C"/>
    <w:rsid w:val="001A7071"/>
    <w:rsid w:val="001B6085"/>
    <w:rsid w:val="001C2E8F"/>
    <w:rsid w:val="001C326E"/>
    <w:rsid w:val="001D0BD6"/>
    <w:rsid w:val="001D3707"/>
    <w:rsid w:val="001D52FF"/>
    <w:rsid w:val="001D5CCB"/>
    <w:rsid w:val="001D7747"/>
    <w:rsid w:val="001E68B0"/>
    <w:rsid w:val="001F0D5E"/>
    <w:rsid w:val="001F170F"/>
    <w:rsid w:val="001F28A7"/>
    <w:rsid w:val="001F2E4F"/>
    <w:rsid w:val="001F556A"/>
    <w:rsid w:val="001F73D3"/>
    <w:rsid w:val="0020154C"/>
    <w:rsid w:val="00203F2A"/>
    <w:rsid w:val="00205012"/>
    <w:rsid w:val="002061BD"/>
    <w:rsid w:val="00210C2D"/>
    <w:rsid w:val="0021385B"/>
    <w:rsid w:val="00215453"/>
    <w:rsid w:val="0021580F"/>
    <w:rsid w:val="00220A56"/>
    <w:rsid w:val="002240DE"/>
    <w:rsid w:val="00225F0A"/>
    <w:rsid w:val="0023254A"/>
    <w:rsid w:val="00237EC3"/>
    <w:rsid w:val="00242C81"/>
    <w:rsid w:val="00250106"/>
    <w:rsid w:val="00253BD2"/>
    <w:rsid w:val="00254314"/>
    <w:rsid w:val="0025680C"/>
    <w:rsid w:val="00257A48"/>
    <w:rsid w:val="00260BEF"/>
    <w:rsid w:val="0026385E"/>
    <w:rsid w:val="00265047"/>
    <w:rsid w:val="00267524"/>
    <w:rsid w:val="002679CC"/>
    <w:rsid w:val="0028490C"/>
    <w:rsid w:val="002852D2"/>
    <w:rsid w:val="00285453"/>
    <w:rsid w:val="00285FD9"/>
    <w:rsid w:val="00291094"/>
    <w:rsid w:val="00291525"/>
    <w:rsid w:val="00292BA8"/>
    <w:rsid w:val="00293BBC"/>
    <w:rsid w:val="00294E0E"/>
    <w:rsid w:val="00296539"/>
    <w:rsid w:val="002B3274"/>
    <w:rsid w:val="002B5B8F"/>
    <w:rsid w:val="002C3616"/>
    <w:rsid w:val="002D0697"/>
    <w:rsid w:val="002D0F6D"/>
    <w:rsid w:val="002D673E"/>
    <w:rsid w:val="002E20A3"/>
    <w:rsid w:val="002E2D0B"/>
    <w:rsid w:val="002E3DD9"/>
    <w:rsid w:val="002E4A41"/>
    <w:rsid w:val="002E5647"/>
    <w:rsid w:val="002F4D30"/>
    <w:rsid w:val="002F7CA7"/>
    <w:rsid w:val="0030470C"/>
    <w:rsid w:val="00305693"/>
    <w:rsid w:val="00305705"/>
    <w:rsid w:val="0031180A"/>
    <w:rsid w:val="00313CDB"/>
    <w:rsid w:val="00313E4E"/>
    <w:rsid w:val="00316209"/>
    <w:rsid w:val="003207E0"/>
    <w:rsid w:val="00322551"/>
    <w:rsid w:val="0032700A"/>
    <w:rsid w:val="003312DE"/>
    <w:rsid w:val="0033337B"/>
    <w:rsid w:val="00335F59"/>
    <w:rsid w:val="003414ED"/>
    <w:rsid w:val="00343B39"/>
    <w:rsid w:val="00352583"/>
    <w:rsid w:val="003529D9"/>
    <w:rsid w:val="00354156"/>
    <w:rsid w:val="003543CC"/>
    <w:rsid w:val="003544E4"/>
    <w:rsid w:val="00355295"/>
    <w:rsid w:val="003620FC"/>
    <w:rsid w:val="00363E04"/>
    <w:rsid w:val="00370F31"/>
    <w:rsid w:val="00372C70"/>
    <w:rsid w:val="00374150"/>
    <w:rsid w:val="003742AF"/>
    <w:rsid w:val="00396D37"/>
    <w:rsid w:val="00396DAD"/>
    <w:rsid w:val="003A3280"/>
    <w:rsid w:val="003A3495"/>
    <w:rsid w:val="003B32F6"/>
    <w:rsid w:val="003C0192"/>
    <w:rsid w:val="003C0F6D"/>
    <w:rsid w:val="003C23EE"/>
    <w:rsid w:val="003C420C"/>
    <w:rsid w:val="003C7081"/>
    <w:rsid w:val="003D230A"/>
    <w:rsid w:val="003D357A"/>
    <w:rsid w:val="003D5E5F"/>
    <w:rsid w:val="003E5522"/>
    <w:rsid w:val="003F3F0C"/>
    <w:rsid w:val="003F4615"/>
    <w:rsid w:val="003F680B"/>
    <w:rsid w:val="003F76CC"/>
    <w:rsid w:val="003F7996"/>
    <w:rsid w:val="0040403F"/>
    <w:rsid w:val="0040465E"/>
    <w:rsid w:val="00413F04"/>
    <w:rsid w:val="00415F58"/>
    <w:rsid w:val="00420B95"/>
    <w:rsid w:val="004243DA"/>
    <w:rsid w:val="004248B8"/>
    <w:rsid w:val="00425E3C"/>
    <w:rsid w:val="00426FE2"/>
    <w:rsid w:val="00427AA6"/>
    <w:rsid w:val="004316C3"/>
    <w:rsid w:val="00431F2D"/>
    <w:rsid w:val="00435CE1"/>
    <w:rsid w:val="00440680"/>
    <w:rsid w:val="00441252"/>
    <w:rsid w:val="004526F1"/>
    <w:rsid w:val="00457EAD"/>
    <w:rsid w:val="004603A3"/>
    <w:rsid w:val="00460BF3"/>
    <w:rsid w:val="00473624"/>
    <w:rsid w:val="00473CEF"/>
    <w:rsid w:val="0048323D"/>
    <w:rsid w:val="00483EDF"/>
    <w:rsid w:val="0048457A"/>
    <w:rsid w:val="0049087D"/>
    <w:rsid w:val="00496DB1"/>
    <w:rsid w:val="0049724E"/>
    <w:rsid w:val="00497357"/>
    <w:rsid w:val="00497C85"/>
    <w:rsid w:val="004A596F"/>
    <w:rsid w:val="004B668E"/>
    <w:rsid w:val="004C632F"/>
    <w:rsid w:val="004C78FE"/>
    <w:rsid w:val="004D7818"/>
    <w:rsid w:val="004D7FBD"/>
    <w:rsid w:val="004E128C"/>
    <w:rsid w:val="004E43A9"/>
    <w:rsid w:val="004E77E9"/>
    <w:rsid w:val="004E7877"/>
    <w:rsid w:val="004F1782"/>
    <w:rsid w:val="004F4FCD"/>
    <w:rsid w:val="004F7ABA"/>
    <w:rsid w:val="005023BC"/>
    <w:rsid w:val="0051166B"/>
    <w:rsid w:val="005150E4"/>
    <w:rsid w:val="00523710"/>
    <w:rsid w:val="00523BE8"/>
    <w:rsid w:val="0052675C"/>
    <w:rsid w:val="00527F53"/>
    <w:rsid w:val="00533655"/>
    <w:rsid w:val="00533DF3"/>
    <w:rsid w:val="00540CA7"/>
    <w:rsid w:val="00543E2A"/>
    <w:rsid w:val="00544736"/>
    <w:rsid w:val="00545755"/>
    <w:rsid w:val="00553554"/>
    <w:rsid w:val="00555B5A"/>
    <w:rsid w:val="00557C6C"/>
    <w:rsid w:val="00557F16"/>
    <w:rsid w:val="00561516"/>
    <w:rsid w:val="00561B42"/>
    <w:rsid w:val="005746D3"/>
    <w:rsid w:val="005763EB"/>
    <w:rsid w:val="00581D8D"/>
    <w:rsid w:val="005942DA"/>
    <w:rsid w:val="00595A56"/>
    <w:rsid w:val="00597AC8"/>
    <w:rsid w:val="005A07BC"/>
    <w:rsid w:val="005A3FF1"/>
    <w:rsid w:val="005B0494"/>
    <w:rsid w:val="005C157B"/>
    <w:rsid w:val="005C55AC"/>
    <w:rsid w:val="005C5DC6"/>
    <w:rsid w:val="005D2925"/>
    <w:rsid w:val="005D41E1"/>
    <w:rsid w:val="005E1FF5"/>
    <w:rsid w:val="005E3527"/>
    <w:rsid w:val="005F081F"/>
    <w:rsid w:val="005F36B6"/>
    <w:rsid w:val="005F7D96"/>
    <w:rsid w:val="00607A4A"/>
    <w:rsid w:val="00610E77"/>
    <w:rsid w:val="00614B8E"/>
    <w:rsid w:val="006235E5"/>
    <w:rsid w:val="006244E6"/>
    <w:rsid w:val="00624AA7"/>
    <w:rsid w:val="0062760B"/>
    <w:rsid w:val="006357D8"/>
    <w:rsid w:val="00641D66"/>
    <w:rsid w:val="00645628"/>
    <w:rsid w:val="00646C6B"/>
    <w:rsid w:val="006476B0"/>
    <w:rsid w:val="006514DE"/>
    <w:rsid w:val="00651684"/>
    <w:rsid w:val="0065337D"/>
    <w:rsid w:val="00656CA7"/>
    <w:rsid w:val="00656D75"/>
    <w:rsid w:val="00660903"/>
    <w:rsid w:val="0066170C"/>
    <w:rsid w:val="00667E8F"/>
    <w:rsid w:val="006712B3"/>
    <w:rsid w:val="006742B6"/>
    <w:rsid w:val="00677A9F"/>
    <w:rsid w:val="006800B8"/>
    <w:rsid w:val="00681AD8"/>
    <w:rsid w:val="00681C76"/>
    <w:rsid w:val="00682397"/>
    <w:rsid w:val="006824D3"/>
    <w:rsid w:val="00684D97"/>
    <w:rsid w:val="00685E3D"/>
    <w:rsid w:val="0068604E"/>
    <w:rsid w:val="006874F5"/>
    <w:rsid w:val="00687F9E"/>
    <w:rsid w:val="006920D2"/>
    <w:rsid w:val="00692823"/>
    <w:rsid w:val="00692C4C"/>
    <w:rsid w:val="00693496"/>
    <w:rsid w:val="006A02E6"/>
    <w:rsid w:val="006A232B"/>
    <w:rsid w:val="006B3E17"/>
    <w:rsid w:val="006B57D0"/>
    <w:rsid w:val="006B6A66"/>
    <w:rsid w:val="006B73D5"/>
    <w:rsid w:val="006B7477"/>
    <w:rsid w:val="006C0EC6"/>
    <w:rsid w:val="006C7F97"/>
    <w:rsid w:val="006D016D"/>
    <w:rsid w:val="006D05BD"/>
    <w:rsid w:val="006D0AC7"/>
    <w:rsid w:val="006D45A5"/>
    <w:rsid w:val="006E2BA2"/>
    <w:rsid w:val="006E3534"/>
    <w:rsid w:val="006E3AE8"/>
    <w:rsid w:val="006E66AC"/>
    <w:rsid w:val="006F2B1F"/>
    <w:rsid w:val="006F63E3"/>
    <w:rsid w:val="006F7DE9"/>
    <w:rsid w:val="0070567B"/>
    <w:rsid w:val="007060E8"/>
    <w:rsid w:val="00713C16"/>
    <w:rsid w:val="00716FE7"/>
    <w:rsid w:val="007172F5"/>
    <w:rsid w:val="007201A9"/>
    <w:rsid w:val="00723F7F"/>
    <w:rsid w:val="00724ACD"/>
    <w:rsid w:val="00725763"/>
    <w:rsid w:val="00725938"/>
    <w:rsid w:val="00731B49"/>
    <w:rsid w:val="00736B25"/>
    <w:rsid w:val="0074090F"/>
    <w:rsid w:val="00741C9A"/>
    <w:rsid w:val="007424A6"/>
    <w:rsid w:val="007425CD"/>
    <w:rsid w:val="00754105"/>
    <w:rsid w:val="00755877"/>
    <w:rsid w:val="00770A02"/>
    <w:rsid w:val="007815AB"/>
    <w:rsid w:val="00784564"/>
    <w:rsid w:val="00786EAE"/>
    <w:rsid w:val="00796569"/>
    <w:rsid w:val="00797D22"/>
    <w:rsid w:val="00797D56"/>
    <w:rsid w:val="007A528B"/>
    <w:rsid w:val="007A6183"/>
    <w:rsid w:val="007A6633"/>
    <w:rsid w:val="007B6226"/>
    <w:rsid w:val="007B78ED"/>
    <w:rsid w:val="007C4C7A"/>
    <w:rsid w:val="007C64BB"/>
    <w:rsid w:val="007C6E5F"/>
    <w:rsid w:val="007D1267"/>
    <w:rsid w:val="007D1495"/>
    <w:rsid w:val="007D181D"/>
    <w:rsid w:val="007E17A5"/>
    <w:rsid w:val="007E38FE"/>
    <w:rsid w:val="007E3A60"/>
    <w:rsid w:val="007E536D"/>
    <w:rsid w:val="007E579A"/>
    <w:rsid w:val="007E5ECE"/>
    <w:rsid w:val="007E64C6"/>
    <w:rsid w:val="007E7E3D"/>
    <w:rsid w:val="007E7EBA"/>
    <w:rsid w:val="007F237E"/>
    <w:rsid w:val="007F41C4"/>
    <w:rsid w:val="008000F5"/>
    <w:rsid w:val="0080066D"/>
    <w:rsid w:val="00804192"/>
    <w:rsid w:val="0080478E"/>
    <w:rsid w:val="00804AEB"/>
    <w:rsid w:val="00804F49"/>
    <w:rsid w:val="00806548"/>
    <w:rsid w:val="008074B3"/>
    <w:rsid w:val="0081183B"/>
    <w:rsid w:val="008147D3"/>
    <w:rsid w:val="00815317"/>
    <w:rsid w:val="00816660"/>
    <w:rsid w:val="008234E6"/>
    <w:rsid w:val="008244F5"/>
    <w:rsid w:val="00825A87"/>
    <w:rsid w:val="0083767F"/>
    <w:rsid w:val="00841372"/>
    <w:rsid w:val="00853446"/>
    <w:rsid w:val="00871217"/>
    <w:rsid w:val="00881646"/>
    <w:rsid w:val="00882C94"/>
    <w:rsid w:val="00890E0E"/>
    <w:rsid w:val="008953FD"/>
    <w:rsid w:val="00896A98"/>
    <w:rsid w:val="008A483B"/>
    <w:rsid w:val="008A5AB8"/>
    <w:rsid w:val="008A6356"/>
    <w:rsid w:val="008B061A"/>
    <w:rsid w:val="008B3977"/>
    <w:rsid w:val="008C33D4"/>
    <w:rsid w:val="008C4043"/>
    <w:rsid w:val="008C671E"/>
    <w:rsid w:val="008C7C77"/>
    <w:rsid w:val="008D33A5"/>
    <w:rsid w:val="008D42BE"/>
    <w:rsid w:val="008D47E7"/>
    <w:rsid w:val="008E0477"/>
    <w:rsid w:val="008E3644"/>
    <w:rsid w:val="008E4D3C"/>
    <w:rsid w:val="008E5C9E"/>
    <w:rsid w:val="008E7C05"/>
    <w:rsid w:val="008F495C"/>
    <w:rsid w:val="008F530A"/>
    <w:rsid w:val="008F590D"/>
    <w:rsid w:val="00901C90"/>
    <w:rsid w:val="00901DE6"/>
    <w:rsid w:val="0091075F"/>
    <w:rsid w:val="00913CD0"/>
    <w:rsid w:val="0091488E"/>
    <w:rsid w:val="00917594"/>
    <w:rsid w:val="0092339B"/>
    <w:rsid w:val="00932EBE"/>
    <w:rsid w:val="009351C4"/>
    <w:rsid w:val="00935C0E"/>
    <w:rsid w:val="00936869"/>
    <w:rsid w:val="00940BBB"/>
    <w:rsid w:val="00941F18"/>
    <w:rsid w:val="0094234F"/>
    <w:rsid w:val="0094468C"/>
    <w:rsid w:val="00946254"/>
    <w:rsid w:val="00950622"/>
    <w:rsid w:val="00951216"/>
    <w:rsid w:val="00951F6C"/>
    <w:rsid w:val="00954C42"/>
    <w:rsid w:val="009562A7"/>
    <w:rsid w:val="009620B5"/>
    <w:rsid w:val="0096491E"/>
    <w:rsid w:val="00966981"/>
    <w:rsid w:val="00966EE5"/>
    <w:rsid w:val="00967896"/>
    <w:rsid w:val="00967CF8"/>
    <w:rsid w:val="00975EFC"/>
    <w:rsid w:val="00977793"/>
    <w:rsid w:val="00980F59"/>
    <w:rsid w:val="00981BCA"/>
    <w:rsid w:val="00990D55"/>
    <w:rsid w:val="00993D3C"/>
    <w:rsid w:val="00995CA2"/>
    <w:rsid w:val="009968D7"/>
    <w:rsid w:val="009A36B8"/>
    <w:rsid w:val="009A3885"/>
    <w:rsid w:val="009A7C91"/>
    <w:rsid w:val="009B2786"/>
    <w:rsid w:val="009B57E2"/>
    <w:rsid w:val="009B6444"/>
    <w:rsid w:val="009C2936"/>
    <w:rsid w:val="009C2A86"/>
    <w:rsid w:val="009C2DE6"/>
    <w:rsid w:val="009D3C3E"/>
    <w:rsid w:val="009D628B"/>
    <w:rsid w:val="009D7CE2"/>
    <w:rsid w:val="009E0C7B"/>
    <w:rsid w:val="009E5B5D"/>
    <w:rsid w:val="009E6023"/>
    <w:rsid w:val="009E73C1"/>
    <w:rsid w:val="009F043D"/>
    <w:rsid w:val="009F1196"/>
    <w:rsid w:val="009F2981"/>
    <w:rsid w:val="009F569E"/>
    <w:rsid w:val="00A07049"/>
    <w:rsid w:val="00A10505"/>
    <w:rsid w:val="00A13812"/>
    <w:rsid w:val="00A14358"/>
    <w:rsid w:val="00A1439A"/>
    <w:rsid w:val="00A2146C"/>
    <w:rsid w:val="00A235D8"/>
    <w:rsid w:val="00A256FF"/>
    <w:rsid w:val="00A25C33"/>
    <w:rsid w:val="00A30E87"/>
    <w:rsid w:val="00A40043"/>
    <w:rsid w:val="00A57B80"/>
    <w:rsid w:val="00A70F99"/>
    <w:rsid w:val="00A716BE"/>
    <w:rsid w:val="00A73B96"/>
    <w:rsid w:val="00A73E66"/>
    <w:rsid w:val="00A77C78"/>
    <w:rsid w:val="00A82A2E"/>
    <w:rsid w:val="00A87E70"/>
    <w:rsid w:val="00A910CE"/>
    <w:rsid w:val="00A9147B"/>
    <w:rsid w:val="00AA38CB"/>
    <w:rsid w:val="00AA5B9E"/>
    <w:rsid w:val="00AA67BA"/>
    <w:rsid w:val="00AA7AFF"/>
    <w:rsid w:val="00AB0F88"/>
    <w:rsid w:val="00AB4841"/>
    <w:rsid w:val="00AC0308"/>
    <w:rsid w:val="00AC2624"/>
    <w:rsid w:val="00AC32A7"/>
    <w:rsid w:val="00AC69F2"/>
    <w:rsid w:val="00AC6EBD"/>
    <w:rsid w:val="00AD577E"/>
    <w:rsid w:val="00AD616F"/>
    <w:rsid w:val="00AD66A8"/>
    <w:rsid w:val="00AE0A1E"/>
    <w:rsid w:val="00AF0BC5"/>
    <w:rsid w:val="00AF5DE4"/>
    <w:rsid w:val="00B00910"/>
    <w:rsid w:val="00B01A6E"/>
    <w:rsid w:val="00B01BD4"/>
    <w:rsid w:val="00B05AA7"/>
    <w:rsid w:val="00B07ABD"/>
    <w:rsid w:val="00B12285"/>
    <w:rsid w:val="00B1466A"/>
    <w:rsid w:val="00B15D41"/>
    <w:rsid w:val="00B20DA0"/>
    <w:rsid w:val="00B24488"/>
    <w:rsid w:val="00B24D47"/>
    <w:rsid w:val="00B26544"/>
    <w:rsid w:val="00B27B19"/>
    <w:rsid w:val="00B27DE8"/>
    <w:rsid w:val="00B31174"/>
    <w:rsid w:val="00B472BF"/>
    <w:rsid w:val="00B5400B"/>
    <w:rsid w:val="00B547EE"/>
    <w:rsid w:val="00B54985"/>
    <w:rsid w:val="00B57479"/>
    <w:rsid w:val="00B61941"/>
    <w:rsid w:val="00B624B0"/>
    <w:rsid w:val="00B6598A"/>
    <w:rsid w:val="00B7159F"/>
    <w:rsid w:val="00B737DC"/>
    <w:rsid w:val="00B7483A"/>
    <w:rsid w:val="00B75D74"/>
    <w:rsid w:val="00B80524"/>
    <w:rsid w:val="00B80B39"/>
    <w:rsid w:val="00B85E11"/>
    <w:rsid w:val="00B87BF4"/>
    <w:rsid w:val="00B91DE4"/>
    <w:rsid w:val="00B920EE"/>
    <w:rsid w:val="00B92306"/>
    <w:rsid w:val="00B94F6E"/>
    <w:rsid w:val="00B970AA"/>
    <w:rsid w:val="00BA04DC"/>
    <w:rsid w:val="00BA0F1D"/>
    <w:rsid w:val="00BA570C"/>
    <w:rsid w:val="00BA64B5"/>
    <w:rsid w:val="00BB1626"/>
    <w:rsid w:val="00BB742A"/>
    <w:rsid w:val="00BB7BD5"/>
    <w:rsid w:val="00BD36E8"/>
    <w:rsid w:val="00BD4B1E"/>
    <w:rsid w:val="00BD6443"/>
    <w:rsid w:val="00BD6BB8"/>
    <w:rsid w:val="00BE1260"/>
    <w:rsid w:val="00BE5FCF"/>
    <w:rsid w:val="00BE749D"/>
    <w:rsid w:val="00BE7FAC"/>
    <w:rsid w:val="00BF197F"/>
    <w:rsid w:val="00BF336D"/>
    <w:rsid w:val="00BF5CB5"/>
    <w:rsid w:val="00BF606F"/>
    <w:rsid w:val="00C022ED"/>
    <w:rsid w:val="00C0274C"/>
    <w:rsid w:val="00C07661"/>
    <w:rsid w:val="00C100EE"/>
    <w:rsid w:val="00C1165D"/>
    <w:rsid w:val="00C155DE"/>
    <w:rsid w:val="00C23D82"/>
    <w:rsid w:val="00C2457E"/>
    <w:rsid w:val="00C274BC"/>
    <w:rsid w:val="00C33315"/>
    <w:rsid w:val="00C41DFF"/>
    <w:rsid w:val="00C44BC1"/>
    <w:rsid w:val="00C45280"/>
    <w:rsid w:val="00C4764A"/>
    <w:rsid w:val="00C50E62"/>
    <w:rsid w:val="00C5271F"/>
    <w:rsid w:val="00C537F7"/>
    <w:rsid w:val="00C5475F"/>
    <w:rsid w:val="00C57FBC"/>
    <w:rsid w:val="00C64B83"/>
    <w:rsid w:val="00C714C8"/>
    <w:rsid w:val="00C72BCB"/>
    <w:rsid w:val="00C77366"/>
    <w:rsid w:val="00C82E35"/>
    <w:rsid w:val="00C82EA0"/>
    <w:rsid w:val="00C84505"/>
    <w:rsid w:val="00C90678"/>
    <w:rsid w:val="00CA3F89"/>
    <w:rsid w:val="00CA470B"/>
    <w:rsid w:val="00CA79BE"/>
    <w:rsid w:val="00CB11BA"/>
    <w:rsid w:val="00CB5F63"/>
    <w:rsid w:val="00CB63C9"/>
    <w:rsid w:val="00CC1612"/>
    <w:rsid w:val="00CC27D1"/>
    <w:rsid w:val="00CC383C"/>
    <w:rsid w:val="00CC5E35"/>
    <w:rsid w:val="00CD30FC"/>
    <w:rsid w:val="00CE22C0"/>
    <w:rsid w:val="00CF5628"/>
    <w:rsid w:val="00CF7985"/>
    <w:rsid w:val="00D00450"/>
    <w:rsid w:val="00D0272C"/>
    <w:rsid w:val="00D12545"/>
    <w:rsid w:val="00D1522E"/>
    <w:rsid w:val="00D23121"/>
    <w:rsid w:val="00D24297"/>
    <w:rsid w:val="00D24EF1"/>
    <w:rsid w:val="00D260EF"/>
    <w:rsid w:val="00D34603"/>
    <w:rsid w:val="00D428AA"/>
    <w:rsid w:val="00D44104"/>
    <w:rsid w:val="00D4468F"/>
    <w:rsid w:val="00D452BB"/>
    <w:rsid w:val="00D46D7D"/>
    <w:rsid w:val="00D50CF3"/>
    <w:rsid w:val="00D50E1A"/>
    <w:rsid w:val="00D5136F"/>
    <w:rsid w:val="00D51A01"/>
    <w:rsid w:val="00D5365D"/>
    <w:rsid w:val="00D55D03"/>
    <w:rsid w:val="00D6012F"/>
    <w:rsid w:val="00D62CA9"/>
    <w:rsid w:val="00D72107"/>
    <w:rsid w:val="00D721B9"/>
    <w:rsid w:val="00D76178"/>
    <w:rsid w:val="00D81CF3"/>
    <w:rsid w:val="00D82A70"/>
    <w:rsid w:val="00D83ED6"/>
    <w:rsid w:val="00D86203"/>
    <w:rsid w:val="00D8752A"/>
    <w:rsid w:val="00D8753A"/>
    <w:rsid w:val="00D94A53"/>
    <w:rsid w:val="00D9627A"/>
    <w:rsid w:val="00D97990"/>
    <w:rsid w:val="00D97C48"/>
    <w:rsid w:val="00DA1866"/>
    <w:rsid w:val="00DA20CC"/>
    <w:rsid w:val="00DA40D6"/>
    <w:rsid w:val="00DB0220"/>
    <w:rsid w:val="00DB04D4"/>
    <w:rsid w:val="00DC4394"/>
    <w:rsid w:val="00DD0239"/>
    <w:rsid w:val="00DD159F"/>
    <w:rsid w:val="00DE304B"/>
    <w:rsid w:val="00DE7934"/>
    <w:rsid w:val="00DF1F32"/>
    <w:rsid w:val="00DF7A61"/>
    <w:rsid w:val="00E122E8"/>
    <w:rsid w:val="00E13275"/>
    <w:rsid w:val="00E13BA3"/>
    <w:rsid w:val="00E20A3C"/>
    <w:rsid w:val="00E234FA"/>
    <w:rsid w:val="00E236E6"/>
    <w:rsid w:val="00E313A1"/>
    <w:rsid w:val="00E37E19"/>
    <w:rsid w:val="00E42D8E"/>
    <w:rsid w:val="00E444B5"/>
    <w:rsid w:val="00E46120"/>
    <w:rsid w:val="00E46E91"/>
    <w:rsid w:val="00E53904"/>
    <w:rsid w:val="00E70CB4"/>
    <w:rsid w:val="00E71845"/>
    <w:rsid w:val="00E72ACB"/>
    <w:rsid w:val="00E7430F"/>
    <w:rsid w:val="00E773B8"/>
    <w:rsid w:val="00E80C67"/>
    <w:rsid w:val="00E85625"/>
    <w:rsid w:val="00E8745E"/>
    <w:rsid w:val="00E906B8"/>
    <w:rsid w:val="00E90D92"/>
    <w:rsid w:val="00E92CA4"/>
    <w:rsid w:val="00E943BE"/>
    <w:rsid w:val="00E94469"/>
    <w:rsid w:val="00E9448B"/>
    <w:rsid w:val="00E957B5"/>
    <w:rsid w:val="00EA3740"/>
    <w:rsid w:val="00EA4466"/>
    <w:rsid w:val="00EA6589"/>
    <w:rsid w:val="00EA6E58"/>
    <w:rsid w:val="00EB014D"/>
    <w:rsid w:val="00EB1481"/>
    <w:rsid w:val="00EB3EE9"/>
    <w:rsid w:val="00EC585E"/>
    <w:rsid w:val="00ED01DB"/>
    <w:rsid w:val="00ED5CAD"/>
    <w:rsid w:val="00EE1264"/>
    <w:rsid w:val="00EF098A"/>
    <w:rsid w:val="00EF1054"/>
    <w:rsid w:val="00EF667D"/>
    <w:rsid w:val="00F00442"/>
    <w:rsid w:val="00F01184"/>
    <w:rsid w:val="00F03419"/>
    <w:rsid w:val="00F03706"/>
    <w:rsid w:val="00F04CD0"/>
    <w:rsid w:val="00F0713A"/>
    <w:rsid w:val="00F11FE8"/>
    <w:rsid w:val="00F15BCF"/>
    <w:rsid w:val="00F2128C"/>
    <w:rsid w:val="00F300ED"/>
    <w:rsid w:val="00F3046E"/>
    <w:rsid w:val="00F326E3"/>
    <w:rsid w:val="00F32F8B"/>
    <w:rsid w:val="00F34482"/>
    <w:rsid w:val="00F3475C"/>
    <w:rsid w:val="00F34F40"/>
    <w:rsid w:val="00F3606D"/>
    <w:rsid w:val="00F3695C"/>
    <w:rsid w:val="00F402AD"/>
    <w:rsid w:val="00F40B1E"/>
    <w:rsid w:val="00F41C2C"/>
    <w:rsid w:val="00F41DCA"/>
    <w:rsid w:val="00F4204F"/>
    <w:rsid w:val="00F42303"/>
    <w:rsid w:val="00F44BB3"/>
    <w:rsid w:val="00F54BB6"/>
    <w:rsid w:val="00F54E97"/>
    <w:rsid w:val="00F57277"/>
    <w:rsid w:val="00F61261"/>
    <w:rsid w:val="00F61B64"/>
    <w:rsid w:val="00F70491"/>
    <w:rsid w:val="00F74889"/>
    <w:rsid w:val="00F8045E"/>
    <w:rsid w:val="00F80853"/>
    <w:rsid w:val="00F8319A"/>
    <w:rsid w:val="00F8438D"/>
    <w:rsid w:val="00F86D2F"/>
    <w:rsid w:val="00F9295E"/>
    <w:rsid w:val="00F9573A"/>
    <w:rsid w:val="00F95F2E"/>
    <w:rsid w:val="00FA6834"/>
    <w:rsid w:val="00FA7B6C"/>
    <w:rsid w:val="00FA7D17"/>
    <w:rsid w:val="00FB1194"/>
    <w:rsid w:val="00FB1966"/>
    <w:rsid w:val="00FB1F42"/>
    <w:rsid w:val="00FB36F3"/>
    <w:rsid w:val="00FB4A30"/>
    <w:rsid w:val="00FB5A68"/>
    <w:rsid w:val="00FB6CE3"/>
    <w:rsid w:val="00FB7641"/>
    <w:rsid w:val="00FC0329"/>
    <w:rsid w:val="00FC1180"/>
    <w:rsid w:val="00FC17C7"/>
    <w:rsid w:val="00FC1A9A"/>
    <w:rsid w:val="00FC5F45"/>
    <w:rsid w:val="00FC7317"/>
    <w:rsid w:val="00FD3CE6"/>
    <w:rsid w:val="00FD4749"/>
    <w:rsid w:val="00FD5C2C"/>
    <w:rsid w:val="00FF384B"/>
    <w:rsid w:val="00FF585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8A6DCB-C7E1-4FF3-9961-B7E9B0E7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q-A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8ED"/>
  </w:style>
  <w:style w:type="paragraph" w:styleId="Heading1">
    <w:name w:val="heading 1"/>
    <w:basedOn w:val="Normal"/>
    <w:next w:val="Normal"/>
    <w:link w:val="Heading1Char"/>
    <w:uiPriority w:val="9"/>
    <w:qFormat/>
    <w:rsid w:val="00E234FA"/>
    <w:pPr>
      <w:keepNext/>
      <w:jc w:val="center"/>
      <w:outlineLvl w:val="0"/>
    </w:pPr>
    <w:rPr>
      <w:b/>
    </w:rPr>
  </w:style>
  <w:style w:type="paragraph" w:styleId="Heading2">
    <w:name w:val="heading 2"/>
    <w:basedOn w:val="Normal"/>
    <w:next w:val="Normal"/>
    <w:link w:val="Heading2Char"/>
    <w:uiPriority w:val="9"/>
    <w:semiHidden/>
    <w:unhideWhenUsed/>
    <w:qFormat/>
    <w:rsid w:val="007B78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4FA"/>
    <w:rPr>
      <w:b/>
    </w:rPr>
  </w:style>
  <w:style w:type="character" w:customStyle="1" w:styleId="Heading2Char">
    <w:name w:val="Heading 2 Char"/>
    <w:basedOn w:val="DefaultParagraphFont"/>
    <w:link w:val="Heading2"/>
    <w:uiPriority w:val="9"/>
    <w:semiHidden/>
    <w:rsid w:val="007B78ED"/>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E234FA"/>
  </w:style>
  <w:style w:type="character" w:customStyle="1" w:styleId="FootnoteTextChar">
    <w:name w:val="Footnote Text Char"/>
    <w:basedOn w:val="DefaultParagraphFont"/>
    <w:link w:val="FootnoteText"/>
    <w:uiPriority w:val="99"/>
    <w:rsid w:val="00E234FA"/>
  </w:style>
  <w:style w:type="paragraph" w:styleId="Header">
    <w:name w:val="header"/>
    <w:basedOn w:val="Normal"/>
    <w:link w:val="HeaderChar"/>
    <w:uiPriority w:val="99"/>
    <w:unhideWhenUsed/>
    <w:rsid w:val="00E234FA"/>
    <w:pPr>
      <w:tabs>
        <w:tab w:val="center" w:pos="4680"/>
        <w:tab w:val="right" w:pos="9360"/>
      </w:tabs>
    </w:pPr>
  </w:style>
  <w:style w:type="character" w:customStyle="1" w:styleId="HeaderChar">
    <w:name w:val="Header Char"/>
    <w:basedOn w:val="DefaultParagraphFont"/>
    <w:link w:val="Header"/>
    <w:uiPriority w:val="99"/>
    <w:rsid w:val="00E234FA"/>
  </w:style>
  <w:style w:type="paragraph" w:styleId="Footer">
    <w:name w:val="footer"/>
    <w:basedOn w:val="Normal"/>
    <w:link w:val="FooterChar"/>
    <w:uiPriority w:val="99"/>
    <w:unhideWhenUsed/>
    <w:rsid w:val="00E234FA"/>
    <w:pPr>
      <w:tabs>
        <w:tab w:val="center" w:pos="4680"/>
        <w:tab w:val="right" w:pos="9360"/>
      </w:tabs>
    </w:pPr>
  </w:style>
  <w:style w:type="character" w:customStyle="1" w:styleId="FooterChar">
    <w:name w:val="Footer Char"/>
    <w:basedOn w:val="DefaultParagraphFont"/>
    <w:link w:val="Footer"/>
    <w:uiPriority w:val="99"/>
    <w:rsid w:val="00E234FA"/>
  </w:style>
  <w:style w:type="character" w:styleId="FootnoteReference">
    <w:name w:val="footnote reference"/>
    <w:basedOn w:val="DefaultParagraphFont"/>
    <w:uiPriority w:val="99"/>
    <w:semiHidden/>
    <w:unhideWhenUsed/>
    <w:rsid w:val="00E234FA"/>
    <w:rPr>
      <w:rFonts w:ascii="Times New Roman" w:hAnsi="Times New Roman"/>
      <w:sz w:val="20"/>
      <w:vertAlign w:val="superscript"/>
    </w:rPr>
  </w:style>
  <w:style w:type="paragraph" w:styleId="BodyTextIndent">
    <w:name w:val="Body Text Indent"/>
    <w:basedOn w:val="Normal"/>
    <w:link w:val="BodyTextIndentChar"/>
    <w:uiPriority w:val="99"/>
    <w:unhideWhenUsed/>
    <w:rsid w:val="00E234FA"/>
    <w:pPr>
      <w:spacing w:after="120"/>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E234FA"/>
    <w:rPr>
      <w:rFonts w:ascii="Calibri" w:eastAsia="Calibri" w:hAnsi="Calibri"/>
      <w:sz w:val="22"/>
      <w:szCs w:val="22"/>
    </w:rPr>
  </w:style>
  <w:style w:type="paragraph" w:styleId="ListParagraph">
    <w:name w:val="List Paragraph"/>
    <w:aliases w:val="List Paragraph2"/>
    <w:basedOn w:val="Normal"/>
    <w:link w:val="ListParagraphChar"/>
    <w:uiPriority w:val="34"/>
    <w:qFormat/>
    <w:rsid w:val="00E234FA"/>
    <w:pPr>
      <w:ind w:left="720"/>
      <w:contextualSpacing/>
    </w:pPr>
  </w:style>
  <w:style w:type="character" w:customStyle="1" w:styleId="ListParagraphChar">
    <w:name w:val="List Paragraph Char"/>
    <w:aliases w:val="List Paragraph2 Char"/>
    <w:basedOn w:val="DefaultParagraphFont"/>
    <w:link w:val="ListParagraph"/>
    <w:uiPriority w:val="34"/>
    <w:locked/>
    <w:rsid w:val="00E234FA"/>
  </w:style>
  <w:style w:type="paragraph" w:styleId="BodyTextIndent2">
    <w:name w:val="Body Text Indent 2"/>
    <w:basedOn w:val="Normal"/>
    <w:link w:val="BodyTextIndent2Char"/>
    <w:uiPriority w:val="99"/>
    <w:unhideWhenUsed/>
    <w:rsid w:val="00E234FA"/>
    <w:pPr>
      <w:ind w:left="2880" w:hanging="2160"/>
      <w:jc w:val="both"/>
    </w:pPr>
    <w:rPr>
      <w:b/>
    </w:rPr>
  </w:style>
  <w:style w:type="character" w:customStyle="1" w:styleId="BodyTextIndent2Char">
    <w:name w:val="Body Text Indent 2 Char"/>
    <w:basedOn w:val="DefaultParagraphFont"/>
    <w:link w:val="BodyTextIndent2"/>
    <w:uiPriority w:val="99"/>
    <w:rsid w:val="00E234FA"/>
    <w:rPr>
      <w:b/>
    </w:rPr>
  </w:style>
  <w:style w:type="paragraph" w:styleId="CommentText">
    <w:name w:val="annotation text"/>
    <w:basedOn w:val="Normal"/>
    <w:link w:val="CommentTextChar"/>
    <w:uiPriority w:val="99"/>
    <w:unhideWhenUsed/>
    <w:rsid w:val="007B78ED"/>
    <w:pPr>
      <w:spacing w:line="240" w:lineRule="auto"/>
      <w:jc w:val="both"/>
    </w:pPr>
    <w:rPr>
      <w:sz w:val="20"/>
      <w:szCs w:val="20"/>
    </w:rPr>
  </w:style>
  <w:style w:type="character" w:customStyle="1" w:styleId="CommentTextChar">
    <w:name w:val="Comment Text Char"/>
    <w:basedOn w:val="DefaultParagraphFont"/>
    <w:link w:val="CommentText"/>
    <w:uiPriority w:val="99"/>
    <w:rsid w:val="007B78ED"/>
    <w:rPr>
      <w:sz w:val="20"/>
      <w:szCs w:val="20"/>
    </w:rPr>
  </w:style>
  <w:style w:type="character" w:customStyle="1" w:styleId="BalloonTextChar">
    <w:name w:val="Balloon Text Char"/>
    <w:basedOn w:val="DefaultParagraphFont"/>
    <w:link w:val="BalloonText"/>
    <w:uiPriority w:val="99"/>
    <w:semiHidden/>
    <w:rsid w:val="007B78ED"/>
    <w:rPr>
      <w:rFonts w:ascii="Segoe UI" w:hAnsi="Segoe UI" w:cs="Segoe UI"/>
      <w:sz w:val="18"/>
      <w:szCs w:val="18"/>
    </w:rPr>
  </w:style>
  <w:style w:type="paragraph" w:styleId="BalloonText">
    <w:name w:val="Balloon Text"/>
    <w:basedOn w:val="Normal"/>
    <w:link w:val="BalloonTextChar"/>
    <w:uiPriority w:val="99"/>
    <w:semiHidden/>
    <w:unhideWhenUsed/>
    <w:rsid w:val="007B78ED"/>
    <w:pPr>
      <w:spacing w:line="240" w:lineRule="auto"/>
    </w:pPr>
    <w:rPr>
      <w:rFonts w:ascii="Segoe UI" w:hAnsi="Segoe UI" w:cs="Segoe UI"/>
      <w:sz w:val="18"/>
      <w:szCs w:val="18"/>
    </w:rPr>
  </w:style>
  <w:style w:type="character" w:customStyle="1" w:styleId="s68f5eaef">
    <w:name w:val="s68f5eaef"/>
    <w:basedOn w:val="DefaultParagraphFont"/>
    <w:rsid w:val="007B78ED"/>
  </w:style>
  <w:style w:type="character" w:styleId="CommentReference">
    <w:name w:val="annotation reference"/>
    <w:basedOn w:val="DefaultParagraphFont"/>
    <w:uiPriority w:val="99"/>
    <w:semiHidden/>
    <w:unhideWhenUsed/>
    <w:rsid w:val="00841372"/>
    <w:rPr>
      <w:sz w:val="16"/>
      <w:szCs w:val="16"/>
    </w:rPr>
  </w:style>
  <w:style w:type="paragraph" w:styleId="CommentSubject">
    <w:name w:val="annotation subject"/>
    <w:basedOn w:val="CommentText"/>
    <w:next w:val="CommentText"/>
    <w:link w:val="CommentSubjectChar"/>
    <w:uiPriority w:val="99"/>
    <w:semiHidden/>
    <w:unhideWhenUsed/>
    <w:rsid w:val="00841372"/>
    <w:pPr>
      <w:jc w:val="left"/>
    </w:pPr>
    <w:rPr>
      <w:b/>
      <w:bCs/>
    </w:rPr>
  </w:style>
  <w:style w:type="character" w:customStyle="1" w:styleId="CommentSubjectChar">
    <w:name w:val="Comment Subject Char"/>
    <w:basedOn w:val="CommentTextChar"/>
    <w:link w:val="CommentSubject"/>
    <w:uiPriority w:val="99"/>
    <w:semiHidden/>
    <w:rsid w:val="00841372"/>
    <w:rPr>
      <w:b/>
      <w:bCs/>
      <w:sz w:val="20"/>
      <w:szCs w:val="20"/>
    </w:rPr>
  </w:style>
  <w:style w:type="paragraph" w:styleId="BodyTextIndent3">
    <w:name w:val="Body Text Indent 3"/>
    <w:basedOn w:val="Normal"/>
    <w:link w:val="BodyTextIndent3Char"/>
    <w:uiPriority w:val="99"/>
    <w:unhideWhenUsed/>
    <w:rsid w:val="00F03419"/>
    <w:pPr>
      <w:tabs>
        <w:tab w:val="left" w:pos="1080"/>
      </w:tabs>
      <w:ind w:firstLine="720"/>
      <w:jc w:val="both"/>
    </w:pPr>
    <w:rPr>
      <w:bCs/>
      <w:i/>
    </w:rPr>
  </w:style>
  <w:style w:type="character" w:customStyle="1" w:styleId="BodyTextIndent3Char">
    <w:name w:val="Body Text Indent 3 Char"/>
    <w:basedOn w:val="DefaultParagraphFont"/>
    <w:link w:val="BodyTextIndent3"/>
    <w:uiPriority w:val="99"/>
    <w:rsid w:val="00F03419"/>
    <w:rPr>
      <w:bCs/>
      <w:i/>
    </w:rPr>
  </w:style>
  <w:style w:type="paragraph" w:styleId="Title">
    <w:name w:val="Title"/>
    <w:basedOn w:val="Normal"/>
    <w:next w:val="Normal"/>
    <w:link w:val="TitleChar"/>
    <w:uiPriority w:val="10"/>
    <w:qFormat/>
    <w:rsid w:val="00441252"/>
    <w:pPr>
      <w:jc w:val="center"/>
    </w:pPr>
    <w:rPr>
      <w:b/>
      <w:lang w:val="en-US"/>
    </w:rPr>
  </w:style>
  <w:style w:type="character" w:customStyle="1" w:styleId="TitleChar">
    <w:name w:val="Title Char"/>
    <w:basedOn w:val="DefaultParagraphFont"/>
    <w:link w:val="Title"/>
    <w:uiPriority w:val="10"/>
    <w:rsid w:val="00441252"/>
    <w:rPr>
      <w:b/>
      <w:lang w:val="en-US"/>
    </w:rPr>
  </w:style>
  <w:style w:type="character" w:customStyle="1" w:styleId="markedcontent">
    <w:name w:val="markedcontent"/>
    <w:basedOn w:val="DefaultParagraphFont"/>
    <w:rsid w:val="00220A56"/>
  </w:style>
  <w:style w:type="paragraph" w:styleId="BodyText">
    <w:name w:val="Body Text"/>
    <w:basedOn w:val="Normal"/>
    <w:link w:val="BodyTextChar"/>
    <w:uiPriority w:val="99"/>
    <w:semiHidden/>
    <w:unhideWhenUsed/>
    <w:rsid w:val="00220A56"/>
    <w:pPr>
      <w:spacing w:after="120"/>
    </w:pPr>
  </w:style>
  <w:style w:type="character" w:customStyle="1" w:styleId="BodyTextChar">
    <w:name w:val="Body Text Char"/>
    <w:basedOn w:val="DefaultParagraphFont"/>
    <w:link w:val="BodyText"/>
    <w:uiPriority w:val="99"/>
    <w:semiHidden/>
    <w:rsid w:val="0022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56C80BB-D40B-4EC3-97F1-6539DC323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11489</Words>
  <Characters>65489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LAERT KOLA</vt:lpstr>
    </vt:vector>
  </TitlesOfParts>
  <Company/>
  <LinksUpToDate>false</LinksUpToDate>
  <CharactersWithSpaces>76825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Dt. 17.02.2022</dc:subject>
  <dc:description/>
  <cp:lastModifiedBy>User</cp:lastModifiedBy>
  <cp:revision>18</cp:revision>
  <cp:lastPrinted>2022-03-18T11:28:00Z</cp:lastPrinted>
  <dcterms:created xsi:type="dcterms:W3CDTF">2022-03-15T15:31:00Z</dcterms:created>
  <dcterms:modified xsi:type="dcterms:W3CDTF">2022-03-18T14:05:00Z</dcterms:modified>
</cp:coreProperties>
</file>