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201" w:rsidRDefault="00367EB7" w:rsidP="00416201">
      <w:pPr>
        <w:spacing w:after="0" w:line="360" w:lineRule="auto"/>
        <w:contextualSpacing/>
        <w:jc w:val="center"/>
        <w:rPr>
          <w:rFonts w:ascii="Times New Roman" w:eastAsia="Times New Roman" w:hAnsi="Times New Roman"/>
          <w:b/>
          <w:bCs/>
          <w:sz w:val="24"/>
          <w:szCs w:val="24"/>
          <w:lang w:val="sq-AL"/>
        </w:rPr>
      </w:pPr>
      <w:bookmarkStart w:id="0" w:name="_GoBack"/>
      <w:bookmarkEnd w:id="0"/>
      <w:r w:rsidRPr="00037FB1">
        <w:rPr>
          <w:rFonts w:ascii="Times New Roman" w:hAnsi="Times New Roman"/>
          <w:b/>
          <w:bCs/>
          <w:sz w:val="24"/>
          <w:szCs w:val="24"/>
          <w:lang w:val="sq-AL"/>
        </w:rPr>
        <w:t>V</w:t>
      </w:r>
      <w:r w:rsidR="00416201">
        <w:rPr>
          <w:rFonts w:ascii="Times New Roman" w:hAnsi="Times New Roman"/>
          <w:b/>
          <w:bCs/>
          <w:sz w:val="24"/>
          <w:szCs w:val="24"/>
          <w:lang w:val="sq-AL"/>
        </w:rPr>
        <w:t>endim nr.11 dat</w:t>
      </w:r>
      <w:r w:rsidR="00416201" w:rsidRPr="00037FB1">
        <w:rPr>
          <w:rFonts w:ascii="Times New Roman" w:eastAsia="Times New Roman" w:hAnsi="Times New Roman"/>
          <w:b/>
          <w:bCs/>
          <w:sz w:val="24"/>
          <w:szCs w:val="24"/>
          <w:lang w:val="sq-AL"/>
        </w:rPr>
        <w:t>ë 09.03.2021</w:t>
      </w:r>
    </w:p>
    <w:p w:rsidR="00367EB7" w:rsidRPr="00037FB1" w:rsidRDefault="00416201" w:rsidP="0037360A">
      <w:pPr>
        <w:spacing w:after="0" w:line="360" w:lineRule="auto"/>
        <w:contextualSpacing/>
        <w:jc w:val="center"/>
        <w:rPr>
          <w:rFonts w:ascii="Times New Roman" w:hAnsi="Times New Roman"/>
          <w:b/>
          <w:bCs/>
          <w:sz w:val="24"/>
          <w:szCs w:val="24"/>
          <w:lang w:val="sq-AL"/>
        </w:rPr>
      </w:pPr>
      <w:r>
        <w:rPr>
          <w:rFonts w:ascii="Times New Roman" w:eastAsia="Times New Roman" w:hAnsi="Times New Roman"/>
          <w:b/>
          <w:bCs/>
          <w:sz w:val="24"/>
          <w:szCs w:val="24"/>
          <w:lang w:val="sq-AL"/>
        </w:rPr>
        <w:t>(V-11/21)</w:t>
      </w:r>
    </w:p>
    <w:p w:rsidR="00367EB7" w:rsidRPr="00037FB1" w:rsidRDefault="00367EB7" w:rsidP="0037360A">
      <w:pPr>
        <w:spacing w:after="0" w:line="360" w:lineRule="auto"/>
        <w:jc w:val="both"/>
        <w:rPr>
          <w:rFonts w:ascii="Times New Roman" w:hAnsi="Times New Roman"/>
          <w:sz w:val="24"/>
          <w:szCs w:val="24"/>
          <w:lang w:val="sq-AL"/>
        </w:rPr>
      </w:pPr>
    </w:p>
    <w:p w:rsidR="00367EB7" w:rsidRPr="00037FB1" w:rsidRDefault="00367EB7" w:rsidP="0037360A">
      <w:pPr>
        <w:spacing w:after="0" w:line="360" w:lineRule="auto"/>
        <w:jc w:val="both"/>
        <w:rPr>
          <w:rFonts w:ascii="Times New Roman" w:hAnsi="Times New Roman"/>
          <w:sz w:val="24"/>
          <w:szCs w:val="24"/>
          <w:lang w:val="sq-AL"/>
        </w:rPr>
      </w:pPr>
      <w:r w:rsidRPr="00037FB1">
        <w:rPr>
          <w:rFonts w:ascii="Times New Roman" w:hAnsi="Times New Roman"/>
          <w:sz w:val="24"/>
          <w:szCs w:val="24"/>
          <w:lang w:val="sq-AL"/>
        </w:rPr>
        <w:t>Gjykata Kushtetuese e Republikës së Shqipërisë, e përbërë nga:</w:t>
      </w:r>
      <w:r w:rsidR="00416201">
        <w:rPr>
          <w:rFonts w:ascii="Times New Roman" w:hAnsi="Times New Roman"/>
          <w:sz w:val="24"/>
          <w:szCs w:val="24"/>
          <w:lang w:val="sq-AL"/>
        </w:rPr>
        <w:t xml:space="preserve"> </w:t>
      </w:r>
      <w:r w:rsidRPr="00037FB1">
        <w:rPr>
          <w:rFonts w:ascii="Times New Roman" w:hAnsi="Times New Roman"/>
          <w:sz w:val="24"/>
          <w:szCs w:val="24"/>
          <w:lang w:val="sq-AL"/>
        </w:rPr>
        <w:t>Vitore Tusha,</w:t>
      </w:r>
      <w:r w:rsidR="00416201">
        <w:rPr>
          <w:rFonts w:ascii="Times New Roman" w:hAnsi="Times New Roman"/>
          <w:sz w:val="24"/>
          <w:szCs w:val="24"/>
          <w:lang w:val="sq-AL"/>
        </w:rPr>
        <w:t xml:space="preserve"> </w:t>
      </w:r>
      <w:r w:rsidRPr="00037FB1">
        <w:rPr>
          <w:rFonts w:ascii="Times New Roman" w:hAnsi="Times New Roman"/>
          <w:sz w:val="24"/>
          <w:szCs w:val="24"/>
          <w:lang w:val="sq-AL"/>
        </w:rPr>
        <w:t>Kryetare</w:t>
      </w:r>
      <w:r w:rsidR="00416201">
        <w:rPr>
          <w:rFonts w:ascii="Times New Roman" w:hAnsi="Times New Roman"/>
          <w:sz w:val="24"/>
          <w:szCs w:val="24"/>
          <w:lang w:val="sq-AL"/>
        </w:rPr>
        <w:t xml:space="preserve">, </w:t>
      </w:r>
      <w:r w:rsidRPr="00037FB1">
        <w:rPr>
          <w:rFonts w:ascii="Times New Roman" w:hAnsi="Times New Roman"/>
          <w:sz w:val="24"/>
          <w:szCs w:val="24"/>
          <w:lang w:val="sq-AL"/>
        </w:rPr>
        <w:t>Marsida Xhaferllari,</w:t>
      </w:r>
      <w:r w:rsidR="00416201">
        <w:rPr>
          <w:rFonts w:ascii="Times New Roman" w:hAnsi="Times New Roman"/>
          <w:sz w:val="24"/>
          <w:szCs w:val="24"/>
          <w:lang w:val="sq-AL"/>
        </w:rPr>
        <w:t xml:space="preserve"> </w:t>
      </w:r>
      <w:r w:rsidR="002C6EAD" w:rsidRPr="00037FB1">
        <w:rPr>
          <w:rFonts w:ascii="Times New Roman" w:hAnsi="Times New Roman"/>
          <w:sz w:val="24"/>
          <w:szCs w:val="24"/>
          <w:lang w:val="sq-AL"/>
        </w:rPr>
        <w:t>Fiona Papajorgji,</w:t>
      </w:r>
      <w:r w:rsidR="00416201">
        <w:rPr>
          <w:rFonts w:ascii="Times New Roman" w:hAnsi="Times New Roman"/>
          <w:sz w:val="24"/>
          <w:szCs w:val="24"/>
          <w:lang w:val="sq-AL"/>
        </w:rPr>
        <w:t xml:space="preserve"> </w:t>
      </w:r>
      <w:r w:rsidRPr="00037FB1">
        <w:rPr>
          <w:rFonts w:ascii="Times New Roman" w:hAnsi="Times New Roman"/>
          <w:sz w:val="24"/>
          <w:szCs w:val="24"/>
          <w:lang w:val="sq-AL"/>
        </w:rPr>
        <w:t>Altin Binaj,</w:t>
      </w:r>
      <w:r w:rsidR="00416201">
        <w:rPr>
          <w:rFonts w:ascii="Times New Roman" w:hAnsi="Times New Roman"/>
          <w:sz w:val="24"/>
          <w:szCs w:val="24"/>
          <w:lang w:val="sq-AL"/>
        </w:rPr>
        <w:t xml:space="preserve"> </w:t>
      </w:r>
      <w:r w:rsidRPr="00037FB1">
        <w:rPr>
          <w:rFonts w:ascii="Times New Roman" w:hAnsi="Times New Roman"/>
          <w:sz w:val="24"/>
          <w:szCs w:val="24"/>
          <w:lang w:val="sq-AL"/>
        </w:rPr>
        <w:t>Përparim Kalo, Sonila Bejtja,</w:t>
      </w:r>
      <w:r w:rsidR="00416201">
        <w:rPr>
          <w:rFonts w:ascii="Times New Roman" w:hAnsi="Times New Roman"/>
          <w:sz w:val="24"/>
          <w:szCs w:val="24"/>
          <w:lang w:val="sq-AL"/>
        </w:rPr>
        <w:t xml:space="preserve"> </w:t>
      </w:r>
      <w:r w:rsidRPr="00037FB1">
        <w:rPr>
          <w:rFonts w:ascii="Times New Roman" w:hAnsi="Times New Roman"/>
          <w:sz w:val="24"/>
          <w:szCs w:val="24"/>
          <w:lang w:val="sq-AL"/>
        </w:rPr>
        <w:t>Elsa Toska,</w:t>
      </w:r>
      <w:r w:rsidR="00416201">
        <w:rPr>
          <w:rFonts w:ascii="Times New Roman" w:hAnsi="Times New Roman"/>
          <w:sz w:val="24"/>
          <w:szCs w:val="24"/>
          <w:lang w:val="sq-AL"/>
        </w:rPr>
        <w:t xml:space="preserve"> a</w:t>
      </w:r>
      <w:r w:rsidRPr="00037FB1">
        <w:rPr>
          <w:rFonts w:ascii="Times New Roman" w:hAnsi="Times New Roman"/>
          <w:sz w:val="24"/>
          <w:szCs w:val="24"/>
          <w:lang w:val="sq-AL"/>
        </w:rPr>
        <w:t>nëtar</w:t>
      </w:r>
      <w:r w:rsidR="00416201">
        <w:rPr>
          <w:rFonts w:ascii="Times New Roman" w:hAnsi="Times New Roman"/>
          <w:sz w:val="24"/>
          <w:szCs w:val="24"/>
          <w:lang w:val="sq-AL"/>
        </w:rPr>
        <w:t xml:space="preserve">ë, </w:t>
      </w:r>
      <w:r w:rsidR="00085778" w:rsidRPr="00037FB1">
        <w:rPr>
          <w:rFonts w:ascii="Times New Roman" w:hAnsi="Times New Roman"/>
          <w:sz w:val="24"/>
          <w:szCs w:val="24"/>
          <w:lang w:val="sq-AL"/>
        </w:rPr>
        <w:t xml:space="preserve">me sekretare Enina Kotoni, </w:t>
      </w:r>
      <w:r w:rsidRPr="00037FB1">
        <w:rPr>
          <w:rFonts w:ascii="Times New Roman" w:hAnsi="Times New Roman"/>
          <w:sz w:val="24"/>
          <w:szCs w:val="24"/>
          <w:lang w:val="sq-AL"/>
        </w:rPr>
        <w:t>në datën 02.03.2021 mori në shqyrtim në seancë plenare me dyer të hapura çështjen me nr.</w:t>
      </w:r>
      <w:r w:rsidR="001F0F4B" w:rsidRPr="00037FB1">
        <w:rPr>
          <w:rFonts w:ascii="Times New Roman" w:hAnsi="Times New Roman"/>
          <w:sz w:val="24"/>
          <w:szCs w:val="24"/>
          <w:lang w:val="sq-AL"/>
        </w:rPr>
        <w:t xml:space="preserve"> 4 (P)</w:t>
      </w:r>
      <w:r w:rsidRPr="00037FB1">
        <w:rPr>
          <w:rFonts w:ascii="Times New Roman" w:hAnsi="Times New Roman"/>
          <w:sz w:val="24"/>
          <w:szCs w:val="24"/>
          <w:lang w:val="sq-AL"/>
        </w:rPr>
        <w:t xml:space="preserve"> </w:t>
      </w:r>
      <w:r w:rsidR="00C2118B" w:rsidRPr="00037FB1">
        <w:rPr>
          <w:rFonts w:ascii="Times New Roman" w:hAnsi="Times New Roman"/>
          <w:sz w:val="24"/>
          <w:szCs w:val="24"/>
          <w:lang w:val="sq-AL"/>
        </w:rPr>
        <w:t>Regj. Them.</w:t>
      </w:r>
      <w:r w:rsidRPr="00037FB1">
        <w:rPr>
          <w:rFonts w:ascii="Times New Roman" w:hAnsi="Times New Roman"/>
          <w:sz w:val="24"/>
          <w:szCs w:val="24"/>
          <w:lang w:val="sq-AL"/>
        </w:rPr>
        <w:t xml:space="preserve">, që </w:t>
      </w:r>
      <w:r w:rsidR="0077555F" w:rsidRPr="00037FB1">
        <w:rPr>
          <w:rFonts w:ascii="Times New Roman" w:hAnsi="Times New Roman"/>
          <w:sz w:val="24"/>
          <w:szCs w:val="24"/>
          <w:lang w:val="sq-AL"/>
        </w:rPr>
        <w:t>u</w:t>
      </w:r>
      <w:r w:rsidRPr="00037FB1">
        <w:rPr>
          <w:rFonts w:ascii="Times New Roman" w:hAnsi="Times New Roman"/>
          <w:sz w:val="24"/>
          <w:szCs w:val="24"/>
          <w:lang w:val="sq-AL"/>
        </w:rPr>
        <w:t xml:space="preserve"> përket:</w:t>
      </w:r>
    </w:p>
    <w:p w:rsidR="00367EB7" w:rsidRPr="00037FB1" w:rsidRDefault="00367EB7" w:rsidP="0037360A">
      <w:pPr>
        <w:spacing w:after="0" w:line="360" w:lineRule="auto"/>
        <w:jc w:val="both"/>
        <w:rPr>
          <w:rFonts w:ascii="Times New Roman" w:hAnsi="Times New Roman"/>
          <w:sz w:val="24"/>
          <w:szCs w:val="24"/>
          <w:lang w:val="sq-AL"/>
        </w:rPr>
      </w:pPr>
    </w:p>
    <w:p w:rsidR="00367EB7" w:rsidRPr="00037FB1" w:rsidRDefault="00367EB7" w:rsidP="0037360A">
      <w:pPr>
        <w:spacing w:after="0" w:line="360" w:lineRule="auto"/>
        <w:ind w:firstLine="720"/>
        <w:jc w:val="both"/>
        <w:rPr>
          <w:rFonts w:ascii="Times New Roman" w:hAnsi="Times New Roman"/>
          <w:b/>
          <w:bCs/>
          <w:sz w:val="24"/>
          <w:szCs w:val="24"/>
          <w:lang w:val="sq-AL"/>
        </w:rPr>
      </w:pPr>
      <w:r w:rsidRPr="00037FB1">
        <w:rPr>
          <w:rFonts w:ascii="Times New Roman" w:hAnsi="Times New Roman"/>
          <w:b/>
          <w:bCs/>
          <w:sz w:val="24"/>
          <w:szCs w:val="24"/>
          <w:lang w:val="sq-AL"/>
        </w:rPr>
        <w:t>KËRKUESE:</w:t>
      </w:r>
      <w:r w:rsidRPr="00037FB1">
        <w:rPr>
          <w:rFonts w:ascii="Times New Roman" w:hAnsi="Times New Roman"/>
          <w:b/>
          <w:bCs/>
          <w:sz w:val="24"/>
          <w:szCs w:val="24"/>
          <w:lang w:val="sq-AL"/>
        </w:rPr>
        <w:tab/>
        <w:t xml:space="preserve">  </w:t>
      </w:r>
      <w:r w:rsidRPr="00037FB1">
        <w:rPr>
          <w:rFonts w:ascii="Times New Roman" w:hAnsi="Times New Roman"/>
          <w:b/>
          <w:bCs/>
          <w:sz w:val="24"/>
          <w:szCs w:val="24"/>
          <w:lang w:val="sq-AL"/>
        </w:rPr>
        <w:tab/>
      </w:r>
      <w:r w:rsidRPr="00037FB1">
        <w:rPr>
          <w:rFonts w:ascii="Times New Roman" w:hAnsi="Times New Roman"/>
          <w:b/>
          <w:sz w:val="24"/>
          <w:szCs w:val="24"/>
          <w:lang w:val="sq-AL"/>
        </w:rPr>
        <w:t>PARTIA REPUBLIKANE SHQIPTARE</w:t>
      </w:r>
    </w:p>
    <w:p w:rsidR="00367EB7" w:rsidRPr="00037FB1" w:rsidRDefault="00BB014C" w:rsidP="0037360A">
      <w:pPr>
        <w:tabs>
          <w:tab w:val="left" w:pos="5700"/>
        </w:tabs>
        <w:spacing w:after="0" w:line="360" w:lineRule="auto"/>
        <w:ind w:firstLine="720"/>
        <w:jc w:val="both"/>
        <w:rPr>
          <w:rFonts w:ascii="Times New Roman" w:hAnsi="Times New Roman"/>
          <w:b/>
          <w:bCs/>
          <w:sz w:val="24"/>
          <w:szCs w:val="24"/>
          <w:lang w:val="sq-AL"/>
        </w:rPr>
      </w:pPr>
      <w:r w:rsidRPr="00037FB1">
        <w:rPr>
          <w:rFonts w:ascii="Times New Roman" w:hAnsi="Times New Roman"/>
          <w:b/>
          <w:bCs/>
          <w:sz w:val="24"/>
          <w:szCs w:val="24"/>
          <w:lang w:val="sq-AL"/>
        </w:rPr>
        <w:tab/>
      </w:r>
    </w:p>
    <w:p w:rsidR="00367EB7" w:rsidRPr="00037FB1" w:rsidRDefault="00367EB7" w:rsidP="0037360A">
      <w:pPr>
        <w:spacing w:after="0" w:line="360" w:lineRule="auto"/>
        <w:ind w:firstLine="720"/>
        <w:jc w:val="both"/>
        <w:rPr>
          <w:rFonts w:ascii="Times New Roman" w:hAnsi="Times New Roman"/>
          <w:b/>
          <w:bCs/>
          <w:sz w:val="24"/>
          <w:szCs w:val="24"/>
          <w:lang w:val="sq-AL"/>
        </w:rPr>
      </w:pPr>
      <w:r w:rsidRPr="00037FB1">
        <w:rPr>
          <w:rFonts w:ascii="Times New Roman" w:hAnsi="Times New Roman"/>
          <w:b/>
          <w:bCs/>
          <w:sz w:val="24"/>
          <w:szCs w:val="24"/>
          <w:lang w:val="sq-AL"/>
        </w:rPr>
        <w:t>SUBJEKTE TË INTERESUARA:</w:t>
      </w:r>
      <w:r w:rsidRPr="00037FB1">
        <w:rPr>
          <w:rFonts w:ascii="Times New Roman" w:hAnsi="Times New Roman"/>
          <w:b/>
          <w:bCs/>
          <w:sz w:val="24"/>
          <w:szCs w:val="24"/>
          <w:lang w:val="sq-AL"/>
        </w:rPr>
        <w:tab/>
      </w:r>
    </w:p>
    <w:p w:rsidR="007E39FE" w:rsidRPr="00037FB1" w:rsidRDefault="007E39FE" w:rsidP="0037360A">
      <w:pPr>
        <w:spacing w:after="0" w:line="360" w:lineRule="auto"/>
        <w:ind w:left="2880"/>
        <w:jc w:val="both"/>
        <w:rPr>
          <w:rFonts w:ascii="Times New Roman" w:hAnsi="Times New Roman"/>
          <w:b/>
          <w:sz w:val="24"/>
          <w:szCs w:val="24"/>
          <w:lang w:val="sq-AL"/>
        </w:rPr>
      </w:pPr>
      <w:r w:rsidRPr="00037FB1">
        <w:rPr>
          <w:rFonts w:ascii="Times New Roman" w:hAnsi="Times New Roman"/>
          <w:b/>
          <w:sz w:val="24"/>
          <w:szCs w:val="24"/>
          <w:lang w:val="sq-AL"/>
        </w:rPr>
        <w:t xml:space="preserve">KUVENDI I SHQIPËRISË </w:t>
      </w:r>
    </w:p>
    <w:p w:rsidR="007E39FE" w:rsidRPr="00037FB1" w:rsidRDefault="007E39FE" w:rsidP="0037360A">
      <w:pPr>
        <w:spacing w:after="0" w:line="360" w:lineRule="auto"/>
        <w:ind w:left="2160" w:firstLine="720"/>
        <w:jc w:val="both"/>
        <w:rPr>
          <w:rFonts w:ascii="Times New Roman" w:hAnsi="Times New Roman"/>
          <w:b/>
          <w:sz w:val="24"/>
          <w:szCs w:val="24"/>
          <w:lang w:val="sq-AL"/>
        </w:rPr>
      </w:pPr>
      <w:r w:rsidRPr="00037FB1">
        <w:rPr>
          <w:rFonts w:ascii="Times New Roman" w:hAnsi="Times New Roman"/>
          <w:b/>
          <w:sz w:val="24"/>
          <w:szCs w:val="24"/>
          <w:lang w:val="sq-AL"/>
        </w:rPr>
        <w:t>KËSHILLI I MINISTRAVE</w:t>
      </w:r>
    </w:p>
    <w:p w:rsidR="002C4A7A" w:rsidRPr="00037FB1" w:rsidRDefault="00367EB7" w:rsidP="0037360A">
      <w:pPr>
        <w:spacing w:after="0" w:line="360" w:lineRule="auto"/>
        <w:ind w:left="2880"/>
        <w:jc w:val="both"/>
        <w:rPr>
          <w:rFonts w:ascii="Times New Roman" w:hAnsi="Times New Roman"/>
          <w:b/>
          <w:sz w:val="24"/>
          <w:szCs w:val="24"/>
          <w:lang w:val="sq-AL"/>
        </w:rPr>
      </w:pPr>
      <w:r w:rsidRPr="00037FB1">
        <w:rPr>
          <w:rFonts w:ascii="Times New Roman" w:hAnsi="Times New Roman"/>
          <w:b/>
          <w:sz w:val="24"/>
          <w:szCs w:val="24"/>
          <w:lang w:val="sq-AL"/>
        </w:rPr>
        <w:t>MINISTRIA E SHËNDETËSISË DHE MBROJTJES SOCIALE</w:t>
      </w:r>
    </w:p>
    <w:p w:rsidR="00367EB7" w:rsidRPr="00037FB1" w:rsidRDefault="00367EB7" w:rsidP="0037360A">
      <w:pPr>
        <w:spacing w:after="0" w:line="360" w:lineRule="auto"/>
        <w:ind w:left="2160" w:firstLine="720"/>
        <w:jc w:val="both"/>
        <w:rPr>
          <w:rFonts w:ascii="Times New Roman" w:hAnsi="Times New Roman"/>
          <w:b/>
          <w:bCs/>
          <w:sz w:val="24"/>
          <w:szCs w:val="24"/>
          <w:lang w:val="sq-AL"/>
        </w:rPr>
      </w:pPr>
    </w:p>
    <w:p w:rsidR="00367EB7" w:rsidRPr="00037FB1" w:rsidRDefault="00367EB7" w:rsidP="0037360A">
      <w:pPr>
        <w:spacing w:after="0" w:line="360" w:lineRule="auto"/>
        <w:ind w:left="2880" w:hanging="2160"/>
        <w:jc w:val="both"/>
        <w:rPr>
          <w:rFonts w:ascii="Times New Roman" w:hAnsi="Times New Roman"/>
          <w:b/>
          <w:bCs/>
          <w:sz w:val="24"/>
          <w:szCs w:val="24"/>
          <w:lang w:val="sq-AL"/>
        </w:rPr>
      </w:pPr>
      <w:r w:rsidRPr="00037FB1">
        <w:rPr>
          <w:rFonts w:ascii="Times New Roman" w:hAnsi="Times New Roman"/>
          <w:b/>
          <w:bCs/>
          <w:sz w:val="24"/>
          <w:szCs w:val="24"/>
          <w:lang w:val="sq-AL"/>
        </w:rPr>
        <w:t>OBJEKTI:</w:t>
      </w:r>
      <w:r w:rsidRPr="00037FB1">
        <w:rPr>
          <w:rFonts w:ascii="Times New Roman" w:hAnsi="Times New Roman"/>
          <w:b/>
          <w:bCs/>
          <w:sz w:val="24"/>
          <w:szCs w:val="24"/>
          <w:lang w:val="sq-AL"/>
        </w:rPr>
        <w:tab/>
        <w:t>Shfuqizimi si i</w:t>
      </w:r>
      <w:r w:rsidR="0077555F" w:rsidRPr="00037FB1">
        <w:rPr>
          <w:rFonts w:ascii="Times New Roman" w:hAnsi="Times New Roman"/>
          <w:b/>
          <w:bCs/>
          <w:sz w:val="24"/>
          <w:szCs w:val="24"/>
          <w:lang w:val="sq-AL"/>
        </w:rPr>
        <w:t xml:space="preserve"> papajtueshëm me Kushtetutën i u</w:t>
      </w:r>
      <w:r w:rsidRPr="00037FB1">
        <w:rPr>
          <w:rFonts w:ascii="Times New Roman" w:hAnsi="Times New Roman"/>
          <w:b/>
          <w:bCs/>
          <w:sz w:val="24"/>
          <w:szCs w:val="24"/>
          <w:lang w:val="sq-AL"/>
        </w:rPr>
        <w:t xml:space="preserve">rdhrit nr. 633, datë 17.11.2020 të </w:t>
      </w:r>
      <w:r w:rsidR="003B4309">
        <w:rPr>
          <w:rFonts w:ascii="Times New Roman" w:hAnsi="Times New Roman"/>
          <w:b/>
          <w:bCs/>
          <w:sz w:val="24"/>
          <w:szCs w:val="24"/>
          <w:lang w:val="sq-AL"/>
        </w:rPr>
        <w:t>m</w:t>
      </w:r>
      <w:r w:rsidRPr="00037FB1">
        <w:rPr>
          <w:rFonts w:ascii="Times New Roman" w:hAnsi="Times New Roman"/>
          <w:b/>
          <w:bCs/>
          <w:sz w:val="24"/>
          <w:szCs w:val="24"/>
          <w:lang w:val="sq-AL"/>
        </w:rPr>
        <w:t>inistri</w:t>
      </w:r>
      <w:r w:rsidR="00A22D5E" w:rsidRPr="00037FB1">
        <w:rPr>
          <w:rFonts w:ascii="Times New Roman" w:hAnsi="Times New Roman"/>
          <w:b/>
          <w:bCs/>
          <w:sz w:val="24"/>
          <w:szCs w:val="24"/>
          <w:lang w:val="sq-AL"/>
        </w:rPr>
        <w:t>t t</w:t>
      </w:r>
      <w:r w:rsidRPr="00037FB1">
        <w:rPr>
          <w:rFonts w:ascii="Times New Roman" w:hAnsi="Times New Roman"/>
          <w:b/>
          <w:bCs/>
          <w:sz w:val="24"/>
          <w:szCs w:val="24"/>
          <w:lang w:val="sq-AL"/>
        </w:rPr>
        <w:t>ë Shëndetësisë dhe Mbrojtjes Sociale.</w:t>
      </w:r>
    </w:p>
    <w:p w:rsidR="00367EB7" w:rsidRPr="00037FB1" w:rsidRDefault="00367EB7" w:rsidP="0037360A">
      <w:pPr>
        <w:spacing w:after="0" w:line="360" w:lineRule="auto"/>
        <w:ind w:left="2880" w:hanging="2160"/>
        <w:jc w:val="both"/>
        <w:rPr>
          <w:rFonts w:ascii="Times New Roman" w:hAnsi="Times New Roman"/>
          <w:sz w:val="24"/>
          <w:szCs w:val="24"/>
          <w:lang w:val="sq-AL"/>
        </w:rPr>
      </w:pPr>
      <w:r w:rsidRPr="00037FB1">
        <w:rPr>
          <w:rFonts w:ascii="Times New Roman" w:hAnsi="Times New Roman"/>
          <w:b/>
          <w:sz w:val="24"/>
          <w:szCs w:val="24"/>
          <w:lang w:val="sq-AL"/>
        </w:rPr>
        <w:t>BAZA LIGJORE:</w:t>
      </w:r>
      <w:r w:rsidRPr="00037FB1">
        <w:rPr>
          <w:rFonts w:ascii="Times New Roman" w:hAnsi="Times New Roman"/>
          <w:b/>
          <w:sz w:val="24"/>
          <w:szCs w:val="24"/>
          <w:lang w:val="sq-AL"/>
        </w:rPr>
        <w:tab/>
      </w:r>
      <w:r w:rsidRPr="00037FB1">
        <w:rPr>
          <w:rFonts w:ascii="Times New Roman" w:hAnsi="Times New Roman"/>
          <w:sz w:val="24"/>
          <w:szCs w:val="24"/>
          <w:lang w:val="sq-AL"/>
        </w:rPr>
        <w:t>Nenet 4, 9, 17, 18, 22, 47, 117</w:t>
      </w:r>
      <w:r w:rsidR="002A4E7C" w:rsidRPr="00037FB1">
        <w:rPr>
          <w:rFonts w:ascii="Times New Roman" w:hAnsi="Times New Roman"/>
          <w:sz w:val="24"/>
          <w:szCs w:val="24"/>
          <w:lang w:val="sq-AL"/>
        </w:rPr>
        <w:t xml:space="preserve">, pika </w:t>
      </w:r>
      <w:r w:rsidRPr="00037FB1">
        <w:rPr>
          <w:rFonts w:ascii="Times New Roman" w:hAnsi="Times New Roman"/>
          <w:sz w:val="24"/>
          <w:szCs w:val="24"/>
          <w:lang w:val="sq-AL"/>
        </w:rPr>
        <w:t>1, 131</w:t>
      </w:r>
      <w:r w:rsidR="002A4E7C" w:rsidRPr="00037FB1">
        <w:rPr>
          <w:rFonts w:ascii="Times New Roman" w:hAnsi="Times New Roman"/>
          <w:sz w:val="24"/>
          <w:szCs w:val="24"/>
          <w:lang w:val="sq-AL"/>
        </w:rPr>
        <w:t>, pika</w:t>
      </w:r>
      <w:r w:rsidR="00995D09" w:rsidRPr="00037FB1">
        <w:rPr>
          <w:rFonts w:ascii="Times New Roman" w:hAnsi="Times New Roman"/>
          <w:sz w:val="24"/>
          <w:szCs w:val="24"/>
          <w:lang w:val="sq-AL"/>
        </w:rPr>
        <w:t xml:space="preserve"> 1</w:t>
      </w:r>
      <w:r w:rsidR="00D7661B" w:rsidRPr="00037FB1">
        <w:rPr>
          <w:rFonts w:ascii="Times New Roman" w:hAnsi="Times New Roman"/>
          <w:sz w:val="24"/>
          <w:szCs w:val="24"/>
          <w:lang w:val="sq-AL"/>
        </w:rPr>
        <w:t>,</w:t>
      </w:r>
      <w:r w:rsidR="00995D09" w:rsidRPr="00037FB1">
        <w:rPr>
          <w:rFonts w:ascii="Times New Roman" w:hAnsi="Times New Roman"/>
          <w:sz w:val="24"/>
          <w:szCs w:val="24"/>
          <w:lang w:val="sq-AL"/>
        </w:rPr>
        <w:t xml:space="preserve"> shkronja “</w:t>
      </w:r>
      <w:r w:rsidRPr="00037FB1">
        <w:rPr>
          <w:rFonts w:ascii="Times New Roman" w:hAnsi="Times New Roman"/>
          <w:sz w:val="24"/>
          <w:szCs w:val="24"/>
          <w:lang w:val="sq-AL"/>
        </w:rPr>
        <w:t>c</w:t>
      </w:r>
      <w:r w:rsidR="00995D09" w:rsidRPr="00037FB1">
        <w:rPr>
          <w:rFonts w:ascii="Times New Roman" w:hAnsi="Times New Roman"/>
          <w:sz w:val="24"/>
          <w:szCs w:val="24"/>
          <w:lang w:val="sq-AL"/>
        </w:rPr>
        <w:t>”</w:t>
      </w:r>
      <w:r w:rsidRPr="00037FB1">
        <w:rPr>
          <w:rFonts w:ascii="Times New Roman" w:hAnsi="Times New Roman"/>
          <w:sz w:val="24"/>
          <w:szCs w:val="24"/>
          <w:lang w:val="sq-AL"/>
        </w:rPr>
        <w:t xml:space="preserve"> dhe 134</w:t>
      </w:r>
      <w:r w:rsidR="002A4E7C" w:rsidRPr="00037FB1">
        <w:rPr>
          <w:rFonts w:ascii="Times New Roman" w:hAnsi="Times New Roman"/>
          <w:sz w:val="24"/>
          <w:szCs w:val="24"/>
          <w:lang w:val="sq-AL"/>
        </w:rPr>
        <w:t xml:space="preserve">, pika </w:t>
      </w:r>
      <w:r w:rsidRPr="00037FB1">
        <w:rPr>
          <w:rFonts w:ascii="Times New Roman" w:hAnsi="Times New Roman"/>
          <w:sz w:val="24"/>
          <w:szCs w:val="24"/>
          <w:lang w:val="sq-AL"/>
        </w:rPr>
        <w:t>1</w:t>
      </w:r>
      <w:r w:rsidR="002A4E7C" w:rsidRPr="00037FB1">
        <w:rPr>
          <w:rFonts w:ascii="Times New Roman" w:hAnsi="Times New Roman"/>
          <w:sz w:val="24"/>
          <w:szCs w:val="24"/>
          <w:lang w:val="sq-AL"/>
        </w:rPr>
        <w:t xml:space="preserve">, </w:t>
      </w:r>
      <w:r w:rsidR="00687598" w:rsidRPr="00037FB1">
        <w:rPr>
          <w:rFonts w:ascii="Times New Roman" w:hAnsi="Times New Roman"/>
          <w:sz w:val="24"/>
          <w:szCs w:val="24"/>
          <w:lang w:val="sq-AL"/>
        </w:rPr>
        <w:t>shkronja</w:t>
      </w:r>
      <w:r w:rsidR="002A4E7C" w:rsidRPr="00037FB1">
        <w:rPr>
          <w:rFonts w:ascii="Times New Roman" w:hAnsi="Times New Roman"/>
          <w:sz w:val="24"/>
          <w:szCs w:val="24"/>
          <w:lang w:val="sq-AL"/>
        </w:rPr>
        <w:t xml:space="preserve"> “gj”</w:t>
      </w:r>
      <w:r w:rsidRPr="00037FB1">
        <w:rPr>
          <w:rFonts w:ascii="Times New Roman" w:hAnsi="Times New Roman"/>
          <w:sz w:val="24"/>
          <w:szCs w:val="24"/>
          <w:lang w:val="sq-AL"/>
        </w:rPr>
        <w:t xml:space="preserve"> të Kushtetutës; nenet 27-31 dhe 49 të ligjit nr.</w:t>
      </w:r>
      <w:r w:rsidR="0077555F" w:rsidRPr="00037FB1">
        <w:rPr>
          <w:rFonts w:ascii="Times New Roman" w:hAnsi="Times New Roman"/>
          <w:sz w:val="24"/>
          <w:szCs w:val="24"/>
          <w:lang w:val="sq-AL"/>
        </w:rPr>
        <w:t xml:space="preserve"> </w:t>
      </w:r>
      <w:r w:rsidRPr="00037FB1">
        <w:rPr>
          <w:rFonts w:ascii="Times New Roman" w:hAnsi="Times New Roman"/>
          <w:sz w:val="24"/>
          <w:szCs w:val="24"/>
          <w:lang w:val="sq-AL"/>
        </w:rPr>
        <w:t>8577, datë 10.02.2000 “Për organizimin dhe funksionimin e Gjykatës Kushtetuese</w:t>
      </w:r>
      <w:r w:rsidR="00D7661B" w:rsidRPr="00037FB1">
        <w:rPr>
          <w:rFonts w:ascii="Times New Roman" w:hAnsi="Times New Roman"/>
          <w:sz w:val="24"/>
          <w:szCs w:val="24"/>
          <w:lang w:val="sq-AL"/>
        </w:rPr>
        <w:t xml:space="preserve"> të Republikës së Shqipërisë</w:t>
      </w:r>
      <w:r w:rsidRPr="00037FB1">
        <w:rPr>
          <w:rFonts w:ascii="Times New Roman" w:hAnsi="Times New Roman"/>
          <w:sz w:val="24"/>
          <w:szCs w:val="24"/>
          <w:lang w:val="sq-AL"/>
        </w:rPr>
        <w:t>”, të ndryshuar (</w:t>
      </w:r>
      <w:r w:rsidRPr="00037FB1">
        <w:rPr>
          <w:rFonts w:ascii="Times New Roman" w:hAnsi="Times New Roman"/>
          <w:i/>
          <w:sz w:val="24"/>
          <w:szCs w:val="24"/>
          <w:lang w:val="sq-AL"/>
        </w:rPr>
        <w:t>ligji nr. 8577/2000</w:t>
      </w:r>
      <w:r w:rsidRPr="00037FB1">
        <w:rPr>
          <w:rFonts w:ascii="Times New Roman" w:hAnsi="Times New Roman"/>
          <w:sz w:val="24"/>
          <w:szCs w:val="24"/>
          <w:lang w:val="sq-AL"/>
        </w:rPr>
        <w:t>).</w:t>
      </w:r>
    </w:p>
    <w:p w:rsidR="00367EB7" w:rsidRPr="00037FB1" w:rsidRDefault="00367EB7" w:rsidP="0037360A">
      <w:pPr>
        <w:spacing w:after="0" w:line="360" w:lineRule="auto"/>
        <w:ind w:firstLine="720"/>
        <w:jc w:val="both"/>
        <w:rPr>
          <w:rFonts w:ascii="Times New Roman" w:hAnsi="Times New Roman"/>
          <w:b/>
          <w:sz w:val="24"/>
          <w:szCs w:val="24"/>
          <w:lang w:val="sq-AL"/>
        </w:rPr>
      </w:pPr>
    </w:p>
    <w:p w:rsidR="00367EB7" w:rsidRPr="00037FB1" w:rsidRDefault="00367EB7" w:rsidP="0037360A">
      <w:pPr>
        <w:spacing w:after="0" w:line="360" w:lineRule="auto"/>
        <w:jc w:val="center"/>
        <w:rPr>
          <w:rFonts w:ascii="Times New Roman" w:hAnsi="Times New Roman"/>
          <w:b/>
          <w:bCs/>
          <w:sz w:val="24"/>
          <w:szCs w:val="24"/>
          <w:lang w:val="sq-AL"/>
        </w:rPr>
      </w:pPr>
      <w:r w:rsidRPr="00037FB1">
        <w:rPr>
          <w:rFonts w:ascii="Times New Roman" w:hAnsi="Times New Roman"/>
          <w:b/>
          <w:bCs/>
          <w:sz w:val="24"/>
          <w:szCs w:val="24"/>
          <w:lang w:val="sq-AL"/>
        </w:rPr>
        <w:t>GJYKATA  KUSHTETUESE,</w:t>
      </w:r>
    </w:p>
    <w:p w:rsidR="00367EB7" w:rsidRPr="00037FB1" w:rsidRDefault="00367EB7" w:rsidP="0037360A">
      <w:pPr>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pasi dëgjoi relator</w:t>
      </w:r>
      <w:r w:rsidR="00820444" w:rsidRPr="00037FB1">
        <w:rPr>
          <w:rFonts w:ascii="Times New Roman" w:hAnsi="Times New Roman"/>
          <w:sz w:val="24"/>
          <w:szCs w:val="24"/>
          <w:lang w:val="sq-AL"/>
        </w:rPr>
        <w:t>e</w:t>
      </w:r>
      <w:r w:rsidR="00687598" w:rsidRPr="00037FB1">
        <w:rPr>
          <w:rFonts w:ascii="Times New Roman" w:hAnsi="Times New Roman"/>
          <w:sz w:val="24"/>
          <w:szCs w:val="24"/>
          <w:lang w:val="sq-AL"/>
        </w:rPr>
        <w:t>n e çështjes</w:t>
      </w:r>
      <w:r w:rsidRPr="00037FB1">
        <w:rPr>
          <w:rFonts w:ascii="Times New Roman" w:hAnsi="Times New Roman"/>
          <w:sz w:val="24"/>
          <w:szCs w:val="24"/>
          <w:lang w:val="sq-AL"/>
        </w:rPr>
        <w:t xml:space="preserve"> Elsa Toska, mori në shqyrtim pretendimet </w:t>
      </w:r>
      <w:r w:rsidR="00966285" w:rsidRPr="00037FB1">
        <w:rPr>
          <w:rFonts w:ascii="Times New Roman" w:hAnsi="Times New Roman"/>
          <w:sz w:val="24"/>
          <w:szCs w:val="24"/>
          <w:lang w:val="sq-AL"/>
        </w:rPr>
        <w:t xml:space="preserve">e </w:t>
      </w:r>
      <w:r w:rsidRPr="00037FB1">
        <w:rPr>
          <w:rFonts w:ascii="Times New Roman" w:hAnsi="Times New Roman"/>
          <w:sz w:val="24"/>
          <w:szCs w:val="24"/>
          <w:lang w:val="sq-AL"/>
        </w:rPr>
        <w:t>kë</w:t>
      </w:r>
      <w:r w:rsidR="00820444" w:rsidRPr="00037FB1">
        <w:rPr>
          <w:rFonts w:ascii="Times New Roman" w:hAnsi="Times New Roman"/>
          <w:sz w:val="24"/>
          <w:szCs w:val="24"/>
          <w:lang w:val="sq-AL"/>
        </w:rPr>
        <w:t>rkueses</w:t>
      </w:r>
      <w:r w:rsidR="00966285" w:rsidRPr="00037FB1">
        <w:rPr>
          <w:rFonts w:ascii="Times New Roman" w:hAnsi="Times New Roman"/>
          <w:sz w:val="24"/>
          <w:szCs w:val="24"/>
          <w:lang w:val="sq-AL"/>
        </w:rPr>
        <w:t>, që kërkoi pranimin e kërkesës,</w:t>
      </w:r>
      <w:r w:rsidRPr="00037FB1">
        <w:rPr>
          <w:rFonts w:ascii="Times New Roman" w:hAnsi="Times New Roman"/>
          <w:sz w:val="24"/>
          <w:szCs w:val="24"/>
          <w:lang w:val="sq-AL"/>
        </w:rPr>
        <w:t xml:space="preserve"> prapësimet e subjekteve të interesuara, </w:t>
      </w:r>
      <w:r w:rsidR="002A4E7C" w:rsidRPr="00037FB1">
        <w:rPr>
          <w:rFonts w:ascii="Times New Roman" w:hAnsi="Times New Roman"/>
          <w:sz w:val="24"/>
          <w:szCs w:val="24"/>
          <w:lang w:val="sq-AL"/>
        </w:rPr>
        <w:t>Kuvendit të Shqipërisë, q</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 xml:space="preserve"> parashtroi se nuk mund t</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 xml:space="preserve"> shprehet p</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r aktet n</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nligjore t</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 xml:space="preserve"> nxjerra nga ekzekutivi, </w:t>
      </w:r>
      <w:r w:rsidRPr="00037FB1">
        <w:rPr>
          <w:rFonts w:ascii="Times New Roman" w:hAnsi="Times New Roman"/>
          <w:sz w:val="24"/>
          <w:szCs w:val="24"/>
          <w:lang w:val="sq-AL"/>
        </w:rPr>
        <w:t>Këshillit të Ministrave</w:t>
      </w:r>
      <w:r w:rsidR="00820444" w:rsidRPr="00037FB1">
        <w:rPr>
          <w:rFonts w:ascii="Times New Roman" w:hAnsi="Times New Roman"/>
          <w:sz w:val="24"/>
          <w:szCs w:val="24"/>
          <w:lang w:val="sq-AL"/>
        </w:rPr>
        <w:t xml:space="preserve">, </w:t>
      </w:r>
      <w:r w:rsidRPr="00037FB1">
        <w:rPr>
          <w:rFonts w:ascii="Times New Roman" w:hAnsi="Times New Roman"/>
          <w:sz w:val="24"/>
          <w:szCs w:val="24"/>
          <w:lang w:val="sq-AL"/>
        </w:rPr>
        <w:t>Ministrisë së Shëndetësisë dhe Mbrojtjes Sociale,</w:t>
      </w:r>
      <w:r w:rsidR="00820444" w:rsidRPr="00037FB1">
        <w:rPr>
          <w:rFonts w:ascii="Times New Roman" w:hAnsi="Times New Roman"/>
          <w:sz w:val="24"/>
          <w:szCs w:val="24"/>
          <w:lang w:val="sq-AL"/>
        </w:rPr>
        <w:t xml:space="preserve"> </w:t>
      </w:r>
      <w:r w:rsidR="002A4E7C" w:rsidRPr="00037FB1">
        <w:rPr>
          <w:rFonts w:ascii="Times New Roman" w:hAnsi="Times New Roman"/>
          <w:sz w:val="24"/>
          <w:szCs w:val="24"/>
          <w:lang w:val="sq-AL"/>
        </w:rPr>
        <w:t>q</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 xml:space="preserve"> k</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rkuan rr</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zimin e k</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rkes</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 xml:space="preserve">s, </w:t>
      </w:r>
      <w:r w:rsidRPr="00037FB1">
        <w:rPr>
          <w:rFonts w:ascii="Times New Roman" w:hAnsi="Times New Roman"/>
          <w:sz w:val="24"/>
          <w:szCs w:val="24"/>
          <w:lang w:val="sq-AL"/>
        </w:rPr>
        <w:t>si dhe diskutoi çështjen në tërësi,</w:t>
      </w:r>
    </w:p>
    <w:p w:rsidR="00367EB7" w:rsidRPr="00037FB1" w:rsidRDefault="00367EB7" w:rsidP="0037360A">
      <w:pPr>
        <w:spacing w:after="0" w:line="360" w:lineRule="auto"/>
        <w:jc w:val="both"/>
        <w:rPr>
          <w:rFonts w:ascii="Times New Roman" w:hAnsi="Times New Roman"/>
          <w:sz w:val="24"/>
          <w:szCs w:val="24"/>
          <w:lang w:val="sq-AL"/>
        </w:rPr>
      </w:pPr>
    </w:p>
    <w:p w:rsidR="00367EB7" w:rsidRPr="00037FB1" w:rsidRDefault="00367EB7" w:rsidP="0037360A">
      <w:pPr>
        <w:spacing w:after="0" w:line="360" w:lineRule="auto"/>
        <w:jc w:val="center"/>
        <w:rPr>
          <w:rFonts w:ascii="Times New Roman" w:hAnsi="Times New Roman"/>
          <w:b/>
          <w:bCs/>
          <w:sz w:val="24"/>
          <w:szCs w:val="24"/>
          <w:lang w:val="sq-AL"/>
        </w:rPr>
      </w:pPr>
      <w:r w:rsidRPr="00037FB1">
        <w:rPr>
          <w:rFonts w:ascii="Times New Roman" w:hAnsi="Times New Roman"/>
          <w:b/>
          <w:bCs/>
          <w:sz w:val="24"/>
          <w:szCs w:val="24"/>
          <w:lang w:val="sq-AL"/>
        </w:rPr>
        <w:t>V Ë R E N:</w:t>
      </w:r>
    </w:p>
    <w:p w:rsidR="00367EB7" w:rsidRPr="00037FB1" w:rsidRDefault="00367EB7" w:rsidP="0037360A">
      <w:pPr>
        <w:spacing w:after="0" w:line="360" w:lineRule="auto"/>
        <w:jc w:val="center"/>
        <w:rPr>
          <w:rFonts w:ascii="Times New Roman" w:hAnsi="Times New Roman"/>
          <w:b/>
          <w:bCs/>
          <w:sz w:val="24"/>
          <w:szCs w:val="24"/>
          <w:lang w:val="sq-AL"/>
        </w:rPr>
      </w:pPr>
      <w:r w:rsidRPr="00037FB1">
        <w:rPr>
          <w:rFonts w:ascii="Times New Roman" w:hAnsi="Times New Roman"/>
          <w:b/>
          <w:bCs/>
          <w:sz w:val="24"/>
          <w:szCs w:val="24"/>
          <w:lang w:val="sq-AL"/>
        </w:rPr>
        <w:t>I</w:t>
      </w:r>
    </w:p>
    <w:p w:rsidR="00BF0742" w:rsidRPr="00037FB1" w:rsidRDefault="00BF0742" w:rsidP="0037360A">
      <w:pPr>
        <w:spacing w:after="0" w:line="360" w:lineRule="auto"/>
        <w:jc w:val="center"/>
        <w:rPr>
          <w:rFonts w:ascii="Times New Roman" w:hAnsi="Times New Roman"/>
          <w:b/>
          <w:bCs/>
          <w:sz w:val="24"/>
          <w:szCs w:val="24"/>
          <w:lang w:val="sq-AL"/>
        </w:rPr>
      </w:pPr>
      <w:r w:rsidRPr="00037FB1">
        <w:rPr>
          <w:rFonts w:ascii="Times New Roman" w:hAnsi="Times New Roman"/>
          <w:b/>
          <w:bCs/>
          <w:sz w:val="24"/>
          <w:szCs w:val="24"/>
          <w:lang w:val="sq-AL"/>
        </w:rPr>
        <w:t>Rrethanat e çështjes</w:t>
      </w:r>
    </w:p>
    <w:p w:rsidR="00367EB7" w:rsidRPr="00037FB1" w:rsidRDefault="00BF0742" w:rsidP="0037360A">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037FB1">
        <w:rPr>
          <w:rFonts w:ascii="Times New Roman" w:hAnsi="Times New Roman"/>
          <w:sz w:val="24"/>
          <w:szCs w:val="24"/>
          <w:lang w:val="sq-AL"/>
        </w:rPr>
        <w:t>Kërkuesja</w:t>
      </w:r>
      <w:r w:rsidR="00367EB7" w:rsidRPr="00037FB1">
        <w:rPr>
          <w:rFonts w:ascii="Times New Roman" w:hAnsi="Times New Roman"/>
          <w:sz w:val="24"/>
          <w:szCs w:val="24"/>
          <w:lang w:val="sq-AL"/>
        </w:rPr>
        <w:t xml:space="preserve"> është parti politike</w:t>
      </w:r>
      <w:r w:rsidR="000625D2" w:rsidRPr="00037FB1">
        <w:rPr>
          <w:rFonts w:ascii="Times New Roman" w:hAnsi="Times New Roman"/>
          <w:sz w:val="24"/>
          <w:szCs w:val="24"/>
          <w:lang w:val="sq-AL"/>
        </w:rPr>
        <w:t xml:space="preserve"> e </w:t>
      </w:r>
      <w:r w:rsidR="002A4E7C" w:rsidRPr="00037FB1">
        <w:rPr>
          <w:rFonts w:ascii="Times New Roman" w:hAnsi="Times New Roman"/>
          <w:sz w:val="24"/>
          <w:szCs w:val="24"/>
          <w:lang w:val="sq-AL"/>
        </w:rPr>
        <w:t xml:space="preserve">miratuar dhe e </w:t>
      </w:r>
      <w:r w:rsidR="000625D2" w:rsidRPr="00037FB1">
        <w:rPr>
          <w:rFonts w:ascii="Times New Roman" w:hAnsi="Times New Roman"/>
          <w:sz w:val="24"/>
          <w:szCs w:val="24"/>
          <w:lang w:val="sq-AL"/>
        </w:rPr>
        <w:t>regjistruar</w:t>
      </w:r>
      <w:r w:rsidR="002A4E7C" w:rsidRPr="00037FB1">
        <w:rPr>
          <w:rFonts w:ascii="Times New Roman" w:hAnsi="Times New Roman"/>
          <w:sz w:val="24"/>
          <w:szCs w:val="24"/>
          <w:lang w:val="sq-AL"/>
        </w:rPr>
        <w:t xml:space="preserve"> </w:t>
      </w:r>
      <w:r w:rsidR="000625D2" w:rsidRPr="00037FB1">
        <w:rPr>
          <w:rFonts w:ascii="Times New Roman" w:hAnsi="Times New Roman"/>
          <w:sz w:val="24"/>
          <w:szCs w:val="24"/>
          <w:lang w:val="sq-AL"/>
        </w:rPr>
        <w:t xml:space="preserve"> </w:t>
      </w:r>
      <w:r w:rsidR="00FB0909" w:rsidRPr="00037FB1">
        <w:rPr>
          <w:rFonts w:ascii="Times New Roman" w:hAnsi="Times New Roman"/>
          <w:sz w:val="24"/>
          <w:szCs w:val="24"/>
          <w:lang w:val="sq-AL"/>
        </w:rPr>
        <w:t>me urdhrin nr.16/2</w:t>
      </w:r>
      <w:r w:rsidR="00097A6B" w:rsidRPr="00037FB1">
        <w:rPr>
          <w:rFonts w:ascii="Times New Roman" w:hAnsi="Times New Roman"/>
          <w:sz w:val="24"/>
          <w:szCs w:val="24"/>
          <w:lang w:val="sq-AL"/>
        </w:rPr>
        <w:t>, datë 10.01.1991</w:t>
      </w:r>
      <w:r w:rsidR="00FB0909" w:rsidRPr="00037FB1">
        <w:rPr>
          <w:rFonts w:ascii="Times New Roman" w:hAnsi="Times New Roman"/>
          <w:sz w:val="24"/>
          <w:szCs w:val="24"/>
          <w:lang w:val="sq-AL"/>
        </w:rPr>
        <w:t xml:space="preserve"> të </w:t>
      </w:r>
      <w:r w:rsidR="00D7661B" w:rsidRPr="00037FB1">
        <w:rPr>
          <w:rFonts w:ascii="Times New Roman" w:hAnsi="Times New Roman"/>
          <w:sz w:val="24"/>
          <w:szCs w:val="24"/>
          <w:lang w:val="sq-AL"/>
        </w:rPr>
        <w:t>m</w:t>
      </w:r>
      <w:r w:rsidR="00FB0909" w:rsidRPr="00037FB1">
        <w:rPr>
          <w:rFonts w:ascii="Times New Roman" w:hAnsi="Times New Roman"/>
          <w:sz w:val="24"/>
          <w:szCs w:val="24"/>
          <w:lang w:val="sq-AL"/>
        </w:rPr>
        <w:t>inistrit të Drejtësisë</w:t>
      </w:r>
      <w:r w:rsidR="00367EB7" w:rsidRPr="00037FB1">
        <w:rPr>
          <w:rFonts w:ascii="Times New Roman" w:hAnsi="Times New Roman"/>
          <w:sz w:val="24"/>
          <w:szCs w:val="24"/>
          <w:lang w:val="sq-AL"/>
        </w:rPr>
        <w:t xml:space="preserve">. </w:t>
      </w:r>
      <w:r w:rsidR="002A4E7C" w:rsidRPr="00037FB1">
        <w:rPr>
          <w:rFonts w:ascii="Times New Roman" w:hAnsi="Times New Roman"/>
          <w:sz w:val="24"/>
          <w:szCs w:val="24"/>
          <w:lang w:val="sq-AL"/>
        </w:rPr>
        <w:t>A</w:t>
      </w:r>
      <w:r w:rsidR="00367EB7" w:rsidRPr="00037FB1">
        <w:rPr>
          <w:rFonts w:ascii="Times New Roman" w:hAnsi="Times New Roman"/>
          <w:sz w:val="24"/>
          <w:szCs w:val="24"/>
          <w:lang w:val="sq-AL"/>
        </w:rPr>
        <w:t xml:space="preserve">jo është </w:t>
      </w:r>
      <w:r w:rsidR="002A4E7C" w:rsidRPr="00037FB1">
        <w:rPr>
          <w:rFonts w:ascii="Times New Roman" w:hAnsi="Times New Roman"/>
          <w:sz w:val="24"/>
          <w:szCs w:val="24"/>
          <w:lang w:val="sq-AL"/>
        </w:rPr>
        <w:t>p</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rfshir</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 xml:space="preserve"> </w:t>
      </w:r>
      <w:r w:rsidR="00763CCB" w:rsidRPr="00037FB1">
        <w:rPr>
          <w:rFonts w:ascii="Times New Roman" w:hAnsi="Times New Roman"/>
          <w:sz w:val="24"/>
          <w:szCs w:val="24"/>
          <w:lang w:val="sq-AL"/>
        </w:rPr>
        <w:t>n</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procesin e</w:t>
      </w:r>
      <w:r w:rsidR="00E64CF7" w:rsidRPr="00037FB1">
        <w:rPr>
          <w:rFonts w:ascii="Times New Roman" w:hAnsi="Times New Roman"/>
          <w:sz w:val="24"/>
          <w:szCs w:val="24"/>
          <w:lang w:val="sq-AL"/>
        </w:rPr>
        <w:t xml:space="preserve"> zgjedhje</w:t>
      </w:r>
      <w:r w:rsidR="00763CCB" w:rsidRPr="00037FB1">
        <w:rPr>
          <w:rFonts w:ascii="Times New Roman" w:hAnsi="Times New Roman"/>
          <w:sz w:val="24"/>
          <w:szCs w:val="24"/>
          <w:lang w:val="sq-AL"/>
        </w:rPr>
        <w:t>ve</w:t>
      </w:r>
      <w:r w:rsidR="00E64CF7" w:rsidRPr="00037FB1">
        <w:rPr>
          <w:rFonts w:ascii="Times New Roman" w:hAnsi="Times New Roman"/>
          <w:sz w:val="24"/>
          <w:szCs w:val="24"/>
          <w:lang w:val="sq-AL"/>
        </w:rPr>
        <w:t xml:space="preserve"> </w:t>
      </w:r>
      <w:r w:rsidR="00763CCB" w:rsidRPr="00037FB1">
        <w:rPr>
          <w:rFonts w:ascii="Times New Roman" w:hAnsi="Times New Roman"/>
          <w:sz w:val="24"/>
          <w:szCs w:val="24"/>
          <w:lang w:val="sq-AL"/>
        </w:rPr>
        <w:t>t</w:t>
      </w:r>
      <w:r w:rsidR="00905018" w:rsidRPr="00037FB1">
        <w:rPr>
          <w:rFonts w:ascii="Times New Roman" w:hAnsi="Times New Roman"/>
          <w:sz w:val="24"/>
          <w:szCs w:val="24"/>
          <w:lang w:val="sq-AL"/>
        </w:rPr>
        <w:t>ë</w:t>
      </w:r>
      <w:r w:rsidR="00367EB7" w:rsidRPr="00037FB1">
        <w:rPr>
          <w:rFonts w:ascii="Times New Roman" w:hAnsi="Times New Roman"/>
          <w:sz w:val="24"/>
          <w:szCs w:val="24"/>
          <w:lang w:val="sq-AL"/>
        </w:rPr>
        <w:t xml:space="preserve"> përgjithshme parlamentare të datës 25 prill 2021.</w:t>
      </w:r>
    </w:p>
    <w:p w:rsidR="00367EB7" w:rsidRPr="00037FB1" w:rsidRDefault="00367EB7" w:rsidP="0037360A">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037FB1">
        <w:rPr>
          <w:rFonts w:ascii="Times New Roman" w:hAnsi="Times New Roman"/>
          <w:sz w:val="24"/>
          <w:szCs w:val="24"/>
          <w:lang w:val="sq-AL"/>
        </w:rPr>
        <w:t>Ministri</w:t>
      </w:r>
      <w:r w:rsidR="00A22D5E" w:rsidRPr="00037FB1">
        <w:rPr>
          <w:rFonts w:ascii="Times New Roman" w:hAnsi="Times New Roman"/>
          <w:sz w:val="24"/>
          <w:szCs w:val="24"/>
          <w:lang w:val="sq-AL"/>
        </w:rPr>
        <w:t xml:space="preserve"> i </w:t>
      </w:r>
      <w:r w:rsidRPr="00037FB1">
        <w:rPr>
          <w:rFonts w:ascii="Times New Roman" w:hAnsi="Times New Roman"/>
          <w:sz w:val="24"/>
          <w:szCs w:val="24"/>
          <w:lang w:val="sq-AL"/>
        </w:rPr>
        <w:t>Shëndetësis</w:t>
      </w:r>
      <w:r w:rsidR="00BF0742" w:rsidRPr="00037FB1">
        <w:rPr>
          <w:rFonts w:ascii="Times New Roman" w:hAnsi="Times New Roman"/>
          <w:sz w:val="24"/>
          <w:szCs w:val="24"/>
          <w:lang w:val="sq-AL"/>
        </w:rPr>
        <w:t>ë dhe Mbrojtjes Sociale (</w:t>
      </w:r>
      <w:r w:rsidR="00BF0742" w:rsidRPr="00037FB1">
        <w:rPr>
          <w:rFonts w:ascii="Times New Roman" w:hAnsi="Times New Roman"/>
          <w:i/>
          <w:sz w:val="24"/>
          <w:szCs w:val="24"/>
          <w:lang w:val="sq-AL"/>
        </w:rPr>
        <w:t>MSHMS</w:t>
      </w:r>
      <w:r w:rsidR="00BF0742" w:rsidRPr="00037FB1">
        <w:rPr>
          <w:rFonts w:ascii="Times New Roman" w:hAnsi="Times New Roman"/>
          <w:sz w:val="24"/>
          <w:szCs w:val="24"/>
          <w:lang w:val="sq-AL"/>
        </w:rPr>
        <w:t>)</w:t>
      </w:r>
      <w:r w:rsidRPr="00037FB1">
        <w:rPr>
          <w:rFonts w:ascii="Times New Roman" w:hAnsi="Times New Roman"/>
          <w:sz w:val="24"/>
          <w:szCs w:val="24"/>
          <w:lang w:val="sq-AL"/>
        </w:rPr>
        <w:t xml:space="preserve"> nëpërmjet urdhrit nr. 633, datë 17.11.2020 </w:t>
      </w:r>
      <w:r w:rsidRPr="00037FB1">
        <w:rPr>
          <w:rFonts w:ascii="Times New Roman" w:hAnsi="Times New Roman"/>
          <w:i/>
          <w:sz w:val="24"/>
          <w:szCs w:val="24"/>
          <w:lang w:val="sq-AL"/>
        </w:rPr>
        <w:t>(urdhri nr.</w:t>
      </w:r>
      <w:r w:rsidR="00BF0742" w:rsidRPr="00037FB1">
        <w:rPr>
          <w:rFonts w:ascii="Times New Roman" w:hAnsi="Times New Roman"/>
          <w:i/>
          <w:sz w:val="24"/>
          <w:szCs w:val="24"/>
          <w:lang w:val="sq-AL"/>
        </w:rPr>
        <w:t xml:space="preserve"> </w:t>
      </w:r>
      <w:r w:rsidRPr="00037FB1">
        <w:rPr>
          <w:rFonts w:ascii="Times New Roman" w:hAnsi="Times New Roman"/>
          <w:i/>
          <w:sz w:val="24"/>
          <w:szCs w:val="24"/>
          <w:lang w:val="sq-AL"/>
        </w:rPr>
        <w:t>633/2020</w:t>
      </w:r>
      <w:r w:rsidR="00D7661B" w:rsidRPr="00037FB1">
        <w:rPr>
          <w:rFonts w:ascii="Times New Roman" w:hAnsi="Times New Roman"/>
          <w:sz w:val="24"/>
          <w:szCs w:val="24"/>
          <w:lang w:val="sq-AL"/>
        </w:rPr>
        <w:t xml:space="preserve">), </w:t>
      </w:r>
      <w:r w:rsidRPr="00037FB1">
        <w:rPr>
          <w:rFonts w:ascii="Times New Roman" w:hAnsi="Times New Roman"/>
          <w:sz w:val="24"/>
          <w:szCs w:val="24"/>
          <w:lang w:val="sq-AL"/>
        </w:rPr>
        <w:t xml:space="preserve">ka </w:t>
      </w:r>
      <w:r w:rsidR="002A4E7C" w:rsidRPr="00037FB1">
        <w:rPr>
          <w:rFonts w:ascii="Times New Roman" w:hAnsi="Times New Roman"/>
          <w:sz w:val="24"/>
          <w:szCs w:val="24"/>
          <w:lang w:val="sq-AL"/>
        </w:rPr>
        <w:t>urdh</w:t>
      </w:r>
      <w:r w:rsidR="00C4630B" w:rsidRPr="00037FB1">
        <w:rPr>
          <w:rFonts w:ascii="Times New Roman" w:hAnsi="Times New Roman"/>
          <w:sz w:val="24"/>
          <w:szCs w:val="24"/>
          <w:lang w:val="sq-AL"/>
        </w:rPr>
        <w:t>ë</w:t>
      </w:r>
      <w:r w:rsidR="002A4E7C" w:rsidRPr="00037FB1">
        <w:rPr>
          <w:rFonts w:ascii="Times New Roman" w:hAnsi="Times New Roman"/>
          <w:sz w:val="24"/>
          <w:szCs w:val="24"/>
          <w:lang w:val="sq-AL"/>
        </w:rPr>
        <w:t>ruar</w:t>
      </w:r>
      <w:r w:rsidR="00D7661B" w:rsidRPr="00037FB1">
        <w:rPr>
          <w:rFonts w:ascii="Times New Roman" w:hAnsi="Times New Roman"/>
          <w:sz w:val="24"/>
          <w:szCs w:val="24"/>
          <w:lang w:val="sq-AL"/>
        </w:rPr>
        <w:t>:</w:t>
      </w:r>
      <w:r w:rsidR="002A4E7C" w:rsidRPr="00037FB1">
        <w:rPr>
          <w:rFonts w:ascii="Times New Roman" w:hAnsi="Times New Roman"/>
          <w:sz w:val="24"/>
          <w:szCs w:val="24"/>
          <w:lang w:val="sq-AL"/>
        </w:rPr>
        <w:t xml:space="preserve"> </w:t>
      </w:r>
      <w:r w:rsidRPr="00037FB1">
        <w:rPr>
          <w:rFonts w:ascii="Times New Roman" w:hAnsi="Times New Roman"/>
          <w:sz w:val="24"/>
          <w:szCs w:val="24"/>
          <w:lang w:val="sq-AL"/>
        </w:rPr>
        <w:t xml:space="preserve"> “</w:t>
      </w:r>
      <w:r w:rsidRPr="00037FB1">
        <w:rPr>
          <w:rFonts w:ascii="Times New Roman" w:hAnsi="Times New Roman"/>
          <w:i/>
          <w:sz w:val="24"/>
          <w:szCs w:val="24"/>
          <w:lang w:val="sq-AL"/>
        </w:rPr>
        <w:t xml:space="preserve">1- Të ndalohen grumbullimet me më shumë se 10 persona në vende të mbyllura apo të hapura, konferencat, tubimet, mbledhjet partiake, ceremonitë e festave, ceremonitë martesore dhe organizimet përtej familjare të ceremonive mortore, deri në një urdhër të dytë;  2- Pika 4 e urdhrit nr. 351, datë 29.5.2020 “Për marrjen e masave të veçanta dhe kufizimeve për parandalimin e përhapjes së </w:t>
      </w:r>
      <w:r w:rsidR="00293B82">
        <w:rPr>
          <w:rFonts w:ascii="Times New Roman" w:hAnsi="Times New Roman"/>
          <w:i/>
          <w:sz w:val="24"/>
          <w:szCs w:val="24"/>
          <w:lang w:val="sq-AL"/>
        </w:rPr>
        <w:t>COVID</w:t>
      </w:r>
      <w:r w:rsidRPr="00037FB1">
        <w:rPr>
          <w:rFonts w:ascii="Times New Roman" w:hAnsi="Times New Roman"/>
          <w:i/>
          <w:sz w:val="24"/>
          <w:szCs w:val="24"/>
          <w:lang w:val="sq-AL"/>
        </w:rPr>
        <w:t xml:space="preserve">-19”, të ndryshuar, shfuqizohet;  3- Ngarkohen për zbatimin e këtij urdhri organet kompetente për dhënien e masave administrative sipas aktit normativ nr. 3, datë 15.3.2020 “Për marrjen e masave të veçanta administrative gjatë kohëzgjatjes së periudhës së shkaktuar nga </w:t>
      </w:r>
      <w:r w:rsidR="00293B82">
        <w:rPr>
          <w:rFonts w:ascii="Times New Roman" w:hAnsi="Times New Roman"/>
          <w:i/>
          <w:sz w:val="24"/>
          <w:szCs w:val="24"/>
          <w:lang w:val="sq-AL"/>
        </w:rPr>
        <w:t>COVID</w:t>
      </w:r>
      <w:r w:rsidRPr="00037FB1">
        <w:rPr>
          <w:rFonts w:ascii="Times New Roman" w:hAnsi="Times New Roman"/>
          <w:i/>
          <w:sz w:val="24"/>
          <w:szCs w:val="24"/>
          <w:lang w:val="sq-AL"/>
        </w:rPr>
        <w:t>-19”, i ndryshuar</w:t>
      </w:r>
      <w:r w:rsidR="00BF0742" w:rsidRPr="00037FB1">
        <w:rPr>
          <w:rFonts w:ascii="Times New Roman" w:hAnsi="Times New Roman"/>
          <w:i/>
          <w:sz w:val="24"/>
          <w:szCs w:val="24"/>
          <w:lang w:val="sq-AL"/>
        </w:rPr>
        <w:t>.</w:t>
      </w:r>
      <w:r w:rsidRPr="00037FB1">
        <w:rPr>
          <w:rFonts w:ascii="Times New Roman" w:hAnsi="Times New Roman"/>
          <w:sz w:val="24"/>
          <w:szCs w:val="24"/>
          <w:lang w:val="sq-AL"/>
        </w:rPr>
        <w:t>”.</w:t>
      </w:r>
    </w:p>
    <w:p w:rsidR="00367EB7" w:rsidRPr="00037FB1" w:rsidRDefault="002A4E7C" w:rsidP="0037360A">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037FB1">
        <w:rPr>
          <w:rFonts w:ascii="Times New Roman" w:hAnsi="Times New Roman"/>
          <w:sz w:val="24"/>
          <w:szCs w:val="24"/>
          <w:lang w:val="sq-AL"/>
        </w:rPr>
        <w:t>N</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fund t</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urdhrit </w:t>
      </w:r>
      <w:r w:rsidR="00C4630B" w:rsidRPr="00037FB1">
        <w:rPr>
          <w:rFonts w:ascii="Times New Roman" w:hAnsi="Times New Roman"/>
          <w:sz w:val="24"/>
          <w:szCs w:val="24"/>
          <w:lang w:val="sq-AL"/>
        </w:rPr>
        <w:t>ë</w:t>
      </w:r>
      <w:r w:rsidRPr="00037FB1">
        <w:rPr>
          <w:rFonts w:ascii="Times New Roman" w:hAnsi="Times New Roman"/>
          <w:sz w:val="24"/>
          <w:szCs w:val="24"/>
          <w:lang w:val="sq-AL"/>
        </w:rPr>
        <w:t>sht</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disponuar shprehimisht se </w:t>
      </w:r>
      <w:r w:rsidR="00FD4B88" w:rsidRPr="00037FB1">
        <w:rPr>
          <w:rFonts w:ascii="Times New Roman" w:hAnsi="Times New Roman"/>
          <w:sz w:val="24"/>
          <w:szCs w:val="24"/>
          <w:lang w:val="sq-AL"/>
        </w:rPr>
        <w:t>ai hyn n</w:t>
      </w:r>
      <w:r w:rsidR="00C4630B" w:rsidRPr="00037FB1">
        <w:rPr>
          <w:rFonts w:ascii="Times New Roman" w:hAnsi="Times New Roman"/>
          <w:sz w:val="24"/>
          <w:szCs w:val="24"/>
          <w:lang w:val="sq-AL"/>
        </w:rPr>
        <w:t>ë</w:t>
      </w:r>
      <w:r w:rsidR="00FD4B88" w:rsidRPr="00037FB1">
        <w:rPr>
          <w:rFonts w:ascii="Times New Roman" w:hAnsi="Times New Roman"/>
          <w:sz w:val="24"/>
          <w:szCs w:val="24"/>
          <w:lang w:val="sq-AL"/>
        </w:rPr>
        <w:t xml:space="preserve"> fuqi menj</w:t>
      </w:r>
      <w:r w:rsidR="00C4630B" w:rsidRPr="00037FB1">
        <w:rPr>
          <w:rFonts w:ascii="Times New Roman" w:hAnsi="Times New Roman"/>
          <w:sz w:val="24"/>
          <w:szCs w:val="24"/>
          <w:lang w:val="sq-AL"/>
        </w:rPr>
        <w:t>ë</w:t>
      </w:r>
      <w:r w:rsidR="00FD4B88" w:rsidRPr="00037FB1">
        <w:rPr>
          <w:rFonts w:ascii="Times New Roman" w:hAnsi="Times New Roman"/>
          <w:sz w:val="24"/>
          <w:szCs w:val="24"/>
          <w:lang w:val="sq-AL"/>
        </w:rPr>
        <w:t>her</w:t>
      </w:r>
      <w:r w:rsidR="00C4630B" w:rsidRPr="00037FB1">
        <w:rPr>
          <w:rFonts w:ascii="Times New Roman" w:hAnsi="Times New Roman"/>
          <w:sz w:val="24"/>
          <w:szCs w:val="24"/>
          <w:lang w:val="sq-AL"/>
        </w:rPr>
        <w:t>ë</w:t>
      </w:r>
      <w:r w:rsidR="00FD4B88" w:rsidRPr="00037FB1">
        <w:rPr>
          <w:rFonts w:ascii="Times New Roman" w:hAnsi="Times New Roman"/>
          <w:sz w:val="24"/>
          <w:szCs w:val="24"/>
          <w:lang w:val="sq-AL"/>
        </w:rPr>
        <w:t xml:space="preserve"> dhe </w:t>
      </w:r>
      <w:r w:rsidR="0029010F" w:rsidRPr="00037FB1">
        <w:rPr>
          <w:rFonts w:ascii="Times New Roman" w:hAnsi="Times New Roman"/>
          <w:sz w:val="24"/>
          <w:szCs w:val="24"/>
          <w:lang w:val="sq-AL"/>
        </w:rPr>
        <w:t>botohet</w:t>
      </w:r>
      <w:r w:rsidR="00FD4B88" w:rsidRPr="00037FB1">
        <w:rPr>
          <w:rFonts w:ascii="Times New Roman" w:hAnsi="Times New Roman"/>
          <w:sz w:val="24"/>
          <w:szCs w:val="24"/>
          <w:lang w:val="sq-AL"/>
        </w:rPr>
        <w:t xml:space="preserve"> ne Fletoren Zyrtare. U</w:t>
      </w:r>
      <w:r w:rsidR="00367EB7" w:rsidRPr="00037FB1">
        <w:rPr>
          <w:rFonts w:ascii="Times New Roman" w:hAnsi="Times New Roman"/>
          <w:sz w:val="24"/>
          <w:szCs w:val="24"/>
          <w:lang w:val="sq-AL"/>
        </w:rPr>
        <w:t>rdh</w:t>
      </w:r>
      <w:r w:rsidR="00FD4B88" w:rsidRPr="00037FB1">
        <w:rPr>
          <w:rFonts w:ascii="Times New Roman" w:hAnsi="Times New Roman"/>
          <w:sz w:val="24"/>
          <w:szCs w:val="24"/>
          <w:lang w:val="sq-AL"/>
        </w:rPr>
        <w:t>ri</w:t>
      </w:r>
      <w:r w:rsidR="00367EB7" w:rsidRPr="00037FB1">
        <w:rPr>
          <w:rFonts w:ascii="Times New Roman" w:hAnsi="Times New Roman"/>
          <w:sz w:val="24"/>
          <w:szCs w:val="24"/>
          <w:lang w:val="sq-AL"/>
        </w:rPr>
        <w:t xml:space="preserve"> </w:t>
      </w:r>
      <w:r w:rsidR="00D7661B" w:rsidRPr="00037FB1">
        <w:rPr>
          <w:rFonts w:ascii="Times New Roman" w:hAnsi="Times New Roman"/>
          <w:sz w:val="24"/>
          <w:szCs w:val="24"/>
          <w:lang w:val="sq-AL"/>
        </w:rPr>
        <w:t xml:space="preserve">nr. 633/2020 </w:t>
      </w:r>
      <w:r w:rsidR="00367EB7" w:rsidRPr="00037FB1">
        <w:rPr>
          <w:rFonts w:ascii="Times New Roman" w:hAnsi="Times New Roman"/>
          <w:sz w:val="24"/>
          <w:szCs w:val="24"/>
          <w:lang w:val="sq-AL"/>
        </w:rPr>
        <w:t xml:space="preserve">është botuar në Fletoren Zyrtare nr. 210, datë 02.12.2020. </w:t>
      </w:r>
    </w:p>
    <w:p w:rsidR="00367EB7" w:rsidRPr="00037FB1" w:rsidRDefault="00367EB7" w:rsidP="0037360A">
      <w:pPr>
        <w:spacing w:after="0" w:line="360" w:lineRule="auto"/>
        <w:contextualSpacing/>
        <w:jc w:val="center"/>
        <w:rPr>
          <w:rFonts w:ascii="Times New Roman" w:hAnsi="Times New Roman"/>
          <w:sz w:val="24"/>
          <w:szCs w:val="24"/>
          <w:lang w:val="sq-AL"/>
        </w:rPr>
      </w:pPr>
    </w:p>
    <w:p w:rsidR="004551D7" w:rsidRPr="00037FB1" w:rsidRDefault="004551D7" w:rsidP="0037360A">
      <w:pPr>
        <w:spacing w:after="0" w:line="360" w:lineRule="auto"/>
        <w:contextualSpacing/>
        <w:jc w:val="center"/>
        <w:rPr>
          <w:rFonts w:ascii="Times New Roman" w:hAnsi="Times New Roman"/>
          <w:b/>
          <w:sz w:val="24"/>
          <w:szCs w:val="24"/>
          <w:lang w:val="sq-AL"/>
        </w:rPr>
      </w:pPr>
      <w:r w:rsidRPr="00037FB1">
        <w:rPr>
          <w:rFonts w:ascii="Times New Roman" w:hAnsi="Times New Roman"/>
          <w:b/>
          <w:sz w:val="24"/>
          <w:szCs w:val="24"/>
          <w:lang w:val="sq-AL"/>
        </w:rPr>
        <w:t xml:space="preserve">II </w:t>
      </w:r>
    </w:p>
    <w:p w:rsidR="004551D7" w:rsidRPr="00037FB1" w:rsidRDefault="004551D7" w:rsidP="0037360A">
      <w:pPr>
        <w:spacing w:after="0" w:line="360" w:lineRule="auto"/>
        <w:contextualSpacing/>
        <w:jc w:val="center"/>
        <w:rPr>
          <w:rFonts w:ascii="Times New Roman" w:hAnsi="Times New Roman"/>
          <w:b/>
          <w:sz w:val="24"/>
          <w:szCs w:val="24"/>
          <w:lang w:val="sq-AL"/>
        </w:rPr>
      </w:pPr>
      <w:r w:rsidRPr="00037FB1">
        <w:rPr>
          <w:rFonts w:ascii="Times New Roman" w:hAnsi="Times New Roman"/>
          <w:b/>
          <w:sz w:val="24"/>
          <w:szCs w:val="24"/>
          <w:lang w:val="sq-AL"/>
        </w:rPr>
        <w:t>Pretendimet në Gjykatën Kushtetuese</w:t>
      </w:r>
    </w:p>
    <w:p w:rsidR="004551D7" w:rsidRPr="00037FB1" w:rsidRDefault="00ED4291" w:rsidP="0037360A">
      <w:pPr>
        <w:tabs>
          <w:tab w:val="left" w:pos="1080"/>
          <w:tab w:val="left" w:pos="1170"/>
        </w:tabs>
        <w:spacing w:after="0" w:line="360" w:lineRule="auto"/>
        <w:ind w:firstLine="720"/>
        <w:contextualSpacing/>
        <w:jc w:val="both"/>
        <w:rPr>
          <w:rFonts w:ascii="Times New Roman" w:hAnsi="Times New Roman"/>
          <w:sz w:val="24"/>
          <w:szCs w:val="24"/>
          <w:lang w:val="sq-AL"/>
        </w:rPr>
      </w:pPr>
      <w:r w:rsidRPr="00037FB1">
        <w:rPr>
          <w:rFonts w:ascii="Times New Roman" w:hAnsi="Times New Roman"/>
          <w:sz w:val="24"/>
          <w:szCs w:val="24"/>
          <w:lang w:val="sq-AL"/>
        </w:rPr>
        <w:t>4.</w:t>
      </w:r>
      <w:r w:rsidRPr="00037FB1">
        <w:rPr>
          <w:rFonts w:ascii="Times New Roman" w:hAnsi="Times New Roman"/>
          <w:b/>
          <w:i/>
          <w:sz w:val="24"/>
          <w:szCs w:val="24"/>
          <w:lang w:val="sq-AL"/>
        </w:rPr>
        <w:t xml:space="preserve"> </w:t>
      </w:r>
      <w:r w:rsidR="0029010F" w:rsidRPr="00037FB1">
        <w:rPr>
          <w:rFonts w:ascii="Times New Roman" w:hAnsi="Times New Roman"/>
          <w:b/>
          <w:i/>
          <w:sz w:val="24"/>
          <w:szCs w:val="24"/>
          <w:lang w:val="sq-AL"/>
        </w:rPr>
        <w:t xml:space="preserve"> Kërkuesja</w:t>
      </w:r>
      <w:r w:rsidR="004551D7" w:rsidRPr="00037FB1">
        <w:rPr>
          <w:rFonts w:ascii="Times New Roman" w:hAnsi="Times New Roman"/>
          <w:b/>
          <w:i/>
          <w:sz w:val="24"/>
          <w:szCs w:val="24"/>
          <w:lang w:val="sq-AL"/>
        </w:rPr>
        <w:t xml:space="preserve"> </w:t>
      </w:r>
      <w:r w:rsidR="004551D7" w:rsidRPr="00037FB1">
        <w:rPr>
          <w:rFonts w:ascii="Times New Roman" w:hAnsi="Times New Roman"/>
          <w:sz w:val="24"/>
          <w:szCs w:val="24"/>
          <w:lang w:val="sq-AL"/>
        </w:rPr>
        <w:t xml:space="preserve">i është drejtuar Gjykatës Kushtetuese </w:t>
      </w:r>
      <w:r w:rsidR="004551D7" w:rsidRPr="00037FB1">
        <w:rPr>
          <w:rFonts w:ascii="Times New Roman" w:hAnsi="Times New Roman"/>
          <w:i/>
          <w:sz w:val="24"/>
          <w:szCs w:val="24"/>
          <w:lang w:val="sq-AL"/>
        </w:rPr>
        <w:t>(Gjykata)</w:t>
      </w:r>
      <w:r w:rsidR="004551D7" w:rsidRPr="00037FB1">
        <w:rPr>
          <w:rFonts w:ascii="Times New Roman" w:hAnsi="Times New Roman"/>
          <w:sz w:val="24"/>
          <w:szCs w:val="24"/>
          <w:lang w:val="sq-AL"/>
        </w:rPr>
        <w:t xml:space="preserve"> për shfuqizimin e urdhrit nr. 633/2020 me pretendimin se ai bie ndesh me parimet, të drejtat dhe liritë themelore të mbrojtura nga Kushtetuta dhe konventat ndërkombëtare të ratifikuara nga Shqipëria, pasi cenon:</w:t>
      </w:r>
    </w:p>
    <w:p w:rsidR="004551D7" w:rsidRPr="00037FB1" w:rsidRDefault="00ED4291" w:rsidP="0037360A">
      <w:pPr>
        <w:spacing w:after="0" w:line="360" w:lineRule="auto"/>
        <w:ind w:left="1260" w:hanging="450"/>
        <w:contextualSpacing/>
        <w:jc w:val="both"/>
        <w:rPr>
          <w:rFonts w:ascii="Times New Roman" w:hAnsi="Times New Roman"/>
          <w:sz w:val="24"/>
          <w:szCs w:val="24"/>
          <w:lang w:val="sq-AL"/>
        </w:rPr>
      </w:pPr>
      <w:r w:rsidRPr="00037FB1">
        <w:rPr>
          <w:rFonts w:ascii="Times New Roman" w:hAnsi="Times New Roman"/>
          <w:i/>
          <w:sz w:val="24"/>
          <w:szCs w:val="24"/>
          <w:lang w:val="sq-AL"/>
        </w:rPr>
        <w:t xml:space="preserve">4.1. </w:t>
      </w:r>
      <w:r w:rsidR="004551D7" w:rsidRPr="00037FB1">
        <w:rPr>
          <w:rFonts w:ascii="Times New Roman" w:hAnsi="Times New Roman"/>
          <w:i/>
          <w:sz w:val="24"/>
          <w:szCs w:val="24"/>
          <w:lang w:val="sq-AL"/>
        </w:rPr>
        <w:t xml:space="preserve"> Nenin 9 të lidhur me nenin 18 të Kushtetutës</w:t>
      </w:r>
      <w:r w:rsidR="004551D7" w:rsidRPr="00037FB1">
        <w:rPr>
          <w:rFonts w:ascii="Times New Roman" w:hAnsi="Times New Roman"/>
          <w:sz w:val="24"/>
          <w:szCs w:val="24"/>
          <w:lang w:val="sq-AL"/>
        </w:rPr>
        <w:t xml:space="preserve">, pasi ndalon aktivitetin politik të saj dhe të partive të tjera opozitare, si dhe përmbushjen e rolit të tyre kushtetues si parti politike në formimin e vullnetit politik të zgjedhësve. Ai ndalon zhvillimin e mbledhjeve partiake dhe të tubimeve, tërësisht, pa asnjë dallim. Në periudhën parazgjedhore urdhri ka kufizuar shanset e barabarta konkurruese që duhet të kenë </w:t>
      </w:r>
      <w:r w:rsidR="004551D7" w:rsidRPr="00037FB1">
        <w:rPr>
          <w:rFonts w:ascii="Times New Roman" w:hAnsi="Times New Roman"/>
          <w:sz w:val="24"/>
          <w:szCs w:val="24"/>
          <w:lang w:val="sq-AL"/>
        </w:rPr>
        <w:lastRenderedPageBreak/>
        <w:t xml:space="preserve">partitë politike dhe ka krijuar situatë të pabarabartë për partitë politike të opozitës, pasi sjell avantazh për Partinë Socialiste, e cila, si parti në pushtet, ka më shumë vizibilitet dhe mundësi për të bërë fushatë në kuadër të ushtrimit të funksioneve të rëndësishme publike. Kufizimi që vendos akti i kundërshtuar nuk është proporcional edhe për shkak se ndalimi i mbledhjeve partiake dhe i tubimeve nuk përbën mjetin më të përshtatshëm dhe të nevojshëm për të arritur qëllimin e mospërhapjes së </w:t>
      </w:r>
      <w:r w:rsidR="00293B82">
        <w:rPr>
          <w:rFonts w:ascii="Times New Roman" w:hAnsi="Times New Roman"/>
          <w:sz w:val="24"/>
          <w:szCs w:val="24"/>
          <w:lang w:val="sq-AL"/>
        </w:rPr>
        <w:t>COVID</w:t>
      </w:r>
      <w:r w:rsidR="004551D7" w:rsidRPr="00037FB1">
        <w:rPr>
          <w:rFonts w:ascii="Times New Roman" w:hAnsi="Times New Roman"/>
          <w:sz w:val="24"/>
          <w:szCs w:val="24"/>
          <w:lang w:val="sq-AL"/>
        </w:rPr>
        <w:t>-19.</w:t>
      </w:r>
    </w:p>
    <w:p w:rsidR="004551D7" w:rsidRPr="00037FB1" w:rsidRDefault="00ED4291" w:rsidP="0037360A">
      <w:pPr>
        <w:spacing w:after="0" w:line="360" w:lineRule="auto"/>
        <w:ind w:left="1260" w:hanging="450"/>
        <w:contextualSpacing/>
        <w:jc w:val="both"/>
        <w:rPr>
          <w:rFonts w:ascii="Times New Roman" w:hAnsi="Times New Roman"/>
          <w:sz w:val="24"/>
          <w:szCs w:val="24"/>
          <w:lang w:val="sq-AL"/>
        </w:rPr>
      </w:pPr>
      <w:r w:rsidRPr="00037FB1">
        <w:rPr>
          <w:rFonts w:ascii="Times New Roman" w:hAnsi="Times New Roman"/>
          <w:i/>
          <w:sz w:val="24"/>
          <w:szCs w:val="24"/>
          <w:lang w:val="sq-AL"/>
        </w:rPr>
        <w:t xml:space="preserve">4.2. </w:t>
      </w:r>
      <w:r w:rsidR="004551D7" w:rsidRPr="00037FB1">
        <w:rPr>
          <w:rFonts w:ascii="Times New Roman" w:hAnsi="Times New Roman"/>
          <w:i/>
          <w:sz w:val="24"/>
          <w:szCs w:val="24"/>
          <w:lang w:val="sq-AL"/>
        </w:rPr>
        <w:t>Nenin 47 (liria e tubimeve) të lidhur me nenin 22 (liria e shprehjes) të Kushtetutës</w:t>
      </w:r>
      <w:r w:rsidR="004551D7" w:rsidRPr="00037FB1">
        <w:rPr>
          <w:rFonts w:ascii="Times New Roman" w:hAnsi="Times New Roman"/>
          <w:sz w:val="24"/>
          <w:szCs w:val="24"/>
          <w:lang w:val="sq-AL"/>
        </w:rPr>
        <w:t xml:space="preserve">, pasi ndalon tërësisht tubimet dhe mbledhjet partiake, duke kufizuar mundësinë e anëtarëve të partive politike opozitare për t’u mbledhur dhe për të shkëmbyer idetë e tyre. Organizimi i zgjedhjeve demokratike është vetë thelbi i demokracisë, e cila është e pamundur nëse nuk respektohen liritë e shprehjes, të tubimit dhe të organizimit të partive politike. </w:t>
      </w:r>
    </w:p>
    <w:p w:rsidR="004551D7" w:rsidRPr="00037FB1" w:rsidRDefault="00ED4291" w:rsidP="0037360A">
      <w:pPr>
        <w:spacing w:after="0" w:line="360" w:lineRule="auto"/>
        <w:ind w:left="1260" w:hanging="450"/>
        <w:contextualSpacing/>
        <w:jc w:val="both"/>
        <w:rPr>
          <w:rFonts w:ascii="Times New Roman" w:hAnsi="Times New Roman"/>
          <w:sz w:val="24"/>
          <w:szCs w:val="24"/>
          <w:lang w:val="sq-AL"/>
        </w:rPr>
      </w:pPr>
      <w:r w:rsidRPr="00037FB1">
        <w:rPr>
          <w:rFonts w:ascii="Times New Roman" w:hAnsi="Times New Roman"/>
          <w:i/>
          <w:sz w:val="24"/>
          <w:szCs w:val="24"/>
          <w:lang w:val="sq-AL"/>
        </w:rPr>
        <w:t xml:space="preserve">4.3. </w:t>
      </w:r>
      <w:r w:rsidR="004551D7" w:rsidRPr="00037FB1">
        <w:rPr>
          <w:rFonts w:ascii="Times New Roman" w:hAnsi="Times New Roman"/>
          <w:i/>
          <w:sz w:val="24"/>
          <w:szCs w:val="24"/>
          <w:lang w:val="sq-AL"/>
        </w:rPr>
        <w:t>Parimin e proporcionalitetit,</w:t>
      </w:r>
      <w:r w:rsidR="004551D7" w:rsidRPr="00037FB1">
        <w:rPr>
          <w:rFonts w:ascii="Times New Roman" w:hAnsi="Times New Roman"/>
          <w:sz w:val="24"/>
          <w:szCs w:val="24"/>
          <w:lang w:val="sq-AL"/>
        </w:rPr>
        <w:t xml:space="preserve"> për shkak të paqartësisë në kohëzgjatjen e masave kufizuese. Urdhri duhet të kishte një kohëzgjatje të përcaktuar për zbatimin e tij, afat i cili duhet </w:t>
      </w:r>
      <w:r w:rsidR="00D7661B" w:rsidRPr="00037FB1">
        <w:rPr>
          <w:rFonts w:ascii="Times New Roman" w:hAnsi="Times New Roman"/>
          <w:sz w:val="24"/>
          <w:szCs w:val="24"/>
          <w:lang w:val="sq-AL"/>
        </w:rPr>
        <w:t xml:space="preserve">të </w:t>
      </w:r>
      <w:r w:rsidR="004551D7" w:rsidRPr="00037FB1">
        <w:rPr>
          <w:rFonts w:ascii="Times New Roman" w:hAnsi="Times New Roman"/>
          <w:sz w:val="24"/>
          <w:szCs w:val="24"/>
          <w:lang w:val="sq-AL"/>
        </w:rPr>
        <w:t xml:space="preserve">përfundonte përpara fillimit të fushatës zgjedhore. Ky urdhër duhej të rishikohej për të shmangur problemin e proporcionalitetit dhe për të marrë në konsideratë kontekstin e fushatës zgjedhore. </w:t>
      </w:r>
    </w:p>
    <w:p w:rsidR="004551D7" w:rsidRPr="00037FB1" w:rsidRDefault="00ED4291" w:rsidP="0037360A">
      <w:pPr>
        <w:spacing w:after="0" w:line="360" w:lineRule="auto"/>
        <w:ind w:left="1260" w:hanging="450"/>
        <w:contextualSpacing/>
        <w:jc w:val="both"/>
        <w:rPr>
          <w:rFonts w:ascii="Times New Roman" w:hAnsi="Times New Roman"/>
          <w:sz w:val="24"/>
          <w:szCs w:val="24"/>
          <w:lang w:val="sq-AL"/>
        </w:rPr>
      </w:pPr>
      <w:r w:rsidRPr="00037FB1">
        <w:rPr>
          <w:rFonts w:ascii="Times New Roman" w:hAnsi="Times New Roman"/>
          <w:i/>
          <w:sz w:val="24"/>
          <w:szCs w:val="24"/>
          <w:lang w:val="sq-AL"/>
        </w:rPr>
        <w:t xml:space="preserve">4.4. </w:t>
      </w:r>
      <w:r w:rsidR="004551D7" w:rsidRPr="00037FB1">
        <w:rPr>
          <w:rFonts w:ascii="Times New Roman" w:hAnsi="Times New Roman"/>
          <w:i/>
          <w:sz w:val="24"/>
          <w:szCs w:val="24"/>
          <w:lang w:val="sq-AL"/>
        </w:rPr>
        <w:t>Nenin 117</w:t>
      </w:r>
      <w:r w:rsidR="00A22D5E" w:rsidRPr="00037FB1">
        <w:rPr>
          <w:rFonts w:ascii="Times New Roman" w:hAnsi="Times New Roman"/>
          <w:i/>
          <w:sz w:val="24"/>
          <w:szCs w:val="24"/>
          <w:lang w:val="sq-AL"/>
        </w:rPr>
        <w:t>,</w:t>
      </w:r>
      <w:r w:rsidR="004551D7" w:rsidRPr="00037FB1">
        <w:rPr>
          <w:rFonts w:ascii="Times New Roman" w:hAnsi="Times New Roman"/>
          <w:i/>
          <w:sz w:val="24"/>
          <w:szCs w:val="24"/>
          <w:lang w:val="sq-AL"/>
        </w:rPr>
        <w:t xml:space="preserve"> pika 1</w:t>
      </w:r>
      <w:r w:rsidR="00A22D5E" w:rsidRPr="00037FB1">
        <w:rPr>
          <w:rFonts w:ascii="Times New Roman" w:hAnsi="Times New Roman"/>
          <w:i/>
          <w:sz w:val="24"/>
          <w:szCs w:val="24"/>
          <w:lang w:val="sq-AL"/>
        </w:rPr>
        <w:t>,</w:t>
      </w:r>
      <w:r w:rsidR="004551D7" w:rsidRPr="00037FB1">
        <w:rPr>
          <w:rFonts w:ascii="Times New Roman" w:hAnsi="Times New Roman"/>
          <w:i/>
          <w:sz w:val="24"/>
          <w:szCs w:val="24"/>
          <w:lang w:val="sq-AL"/>
        </w:rPr>
        <w:t xml:space="preserve"> të Kushtetutës</w:t>
      </w:r>
      <w:r w:rsidR="004551D7" w:rsidRPr="00037FB1">
        <w:rPr>
          <w:rFonts w:ascii="Times New Roman" w:hAnsi="Times New Roman"/>
          <w:sz w:val="24"/>
          <w:szCs w:val="24"/>
          <w:lang w:val="sq-AL"/>
        </w:rPr>
        <w:t>, pasi është zbatuar në datën 21.11.2020</w:t>
      </w:r>
      <w:r w:rsidR="00A22D5E" w:rsidRPr="00037FB1">
        <w:rPr>
          <w:rFonts w:ascii="Times New Roman" w:hAnsi="Times New Roman"/>
          <w:sz w:val="24"/>
          <w:szCs w:val="24"/>
          <w:lang w:val="sq-AL"/>
        </w:rPr>
        <w:t>,</w:t>
      </w:r>
      <w:r w:rsidR="004551D7" w:rsidRPr="00037FB1">
        <w:rPr>
          <w:rFonts w:ascii="Times New Roman" w:hAnsi="Times New Roman"/>
          <w:sz w:val="24"/>
          <w:szCs w:val="24"/>
          <w:lang w:val="sq-AL"/>
        </w:rPr>
        <w:t xml:space="preserve"> përpara botimit në Fletoren Zyrtare nr. 210</w:t>
      </w:r>
      <w:r w:rsidR="00A22D5E" w:rsidRPr="00037FB1">
        <w:rPr>
          <w:rFonts w:ascii="Times New Roman" w:hAnsi="Times New Roman"/>
          <w:sz w:val="24"/>
          <w:szCs w:val="24"/>
          <w:lang w:val="sq-AL"/>
        </w:rPr>
        <w:t>,</w:t>
      </w:r>
      <w:r w:rsidR="004551D7" w:rsidRPr="00037FB1">
        <w:rPr>
          <w:rFonts w:ascii="Times New Roman" w:hAnsi="Times New Roman"/>
          <w:sz w:val="24"/>
          <w:szCs w:val="24"/>
          <w:lang w:val="sq-AL"/>
        </w:rPr>
        <w:t xml:space="preserve"> datë 02.12.2020.  </w:t>
      </w:r>
    </w:p>
    <w:p w:rsidR="004551D7" w:rsidRPr="00037FB1" w:rsidRDefault="007A4681" w:rsidP="0037360A">
      <w:pPr>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5.</w:t>
      </w:r>
      <w:r w:rsidRPr="00037FB1">
        <w:rPr>
          <w:rFonts w:ascii="Times New Roman" w:hAnsi="Times New Roman"/>
          <w:b/>
          <w:i/>
          <w:sz w:val="24"/>
          <w:szCs w:val="24"/>
          <w:lang w:val="sq-AL"/>
        </w:rPr>
        <w:t xml:space="preserve"> </w:t>
      </w:r>
      <w:r w:rsidR="004551D7" w:rsidRPr="00037FB1">
        <w:rPr>
          <w:rFonts w:ascii="Times New Roman" w:hAnsi="Times New Roman"/>
          <w:b/>
          <w:i/>
          <w:sz w:val="24"/>
          <w:szCs w:val="24"/>
          <w:lang w:val="sq-AL"/>
        </w:rPr>
        <w:t>Subjekti i interesuar</w:t>
      </w:r>
      <w:r w:rsidR="00A22D5E" w:rsidRPr="00037FB1">
        <w:rPr>
          <w:rFonts w:ascii="Times New Roman" w:hAnsi="Times New Roman"/>
          <w:b/>
          <w:i/>
          <w:sz w:val="24"/>
          <w:szCs w:val="24"/>
          <w:lang w:val="sq-AL"/>
        </w:rPr>
        <w:t>,</w:t>
      </w:r>
      <w:r w:rsidR="004551D7" w:rsidRPr="00037FB1">
        <w:rPr>
          <w:rFonts w:ascii="Times New Roman" w:hAnsi="Times New Roman"/>
          <w:sz w:val="24"/>
          <w:szCs w:val="24"/>
          <w:lang w:val="sq-AL"/>
        </w:rPr>
        <w:t xml:space="preserve"> </w:t>
      </w:r>
      <w:r w:rsidR="004551D7" w:rsidRPr="00037FB1">
        <w:rPr>
          <w:rFonts w:ascii="Times New Roman" w:hAnsi="Times New Roman"/>
          <w:b/>
          <w:i/>
          <w:sz w:val="24"/>
          <w:szCs w:val="24"/>
          <w:lang w:val="sq-AL"/>
        </w:rPr>
        <w:t>Kuvendi i Shqipërisë</w:t>
      </w:r>
      <w:r w:rsidR="004551D7" w:rsidRPr="00037FB1">
        <w:rPr>
          <w:rFonts w:ascii="Times New Roman" w:hAnsi="Times New Roman"/>
          <w:sz w:val="24"/>
          <w:szCs w:val="24"/>
          <w:lang w:val="sq-AL"/>
        </w:rPr>
        <w:t xml:space="preserve">, prapësoi me shkrim si vijon: </w:t>
      </w:r>
    </w:p>
    <w:p w:rsidR="004551D7" w:rsidRPr="00037FB1" w:rsidRDefault="007A4681" w:rsidP="0037360A">
      <w:pPr>
        <w:tabs>
          <w:tab w:val="left" w:pos="810"/>
        </w:tabs>
        <w:spacing w:after="0" w:line="360" w:lineRule="auto"/>
        <w:ind w:left="1350" w:hanging="540"/>
        <w:jc w:val="both"/>
        <w:rPr>
          <w:rFonts w:ascii="Times New Roman" w:hAnsi="Times New Roman"/>
          <w:sz w:val="24"/>
          <w:szCs w:val="24"/>
          <w:lang w:val="sq-AL"/>
        </w:rPr>
      </w:pPr>
      <w:r w:rsidRPr="00037FB1">
        <w:rPr>
          <w:rFonts w:ascii="Times New Roman" w:hAnsi="Times New Roman"/>
          <w:sz w:val="24"/>
          <w:szCs w:val="24"/>
          <w:lang w:val="sq-AL"/>
        </w:rPr>
        <w:t xml:space="preserve">5.1. </w:t>
      </w:r>
      <w:r w:rsidR="004551D7" w:rsidRPr="00037FB1">
        <w:rPr>
          <w:rFonts w:ascii="Times New Roman" w:hAnsi="Times New Roman"/>
          <w:sz w:val="24"/>
          <w:szCs w:val="24"/>
          <w:lang w:val="sq-AL"/>
        </w:rPr>
        <w:t>Kuvendi nuk mund të shprehet për rregullimet konkrete të miratuara me akte nënligjore të nxjerra nga pushteti ekzekutiv. Neni 118 i Kushtetutës lejon organin ligjvënës t’</w:t>
      </w:r>
      <w:r w:rsidR="00A22D5E" w:rsidRPr="00037FB1">
        <w:rPr>
          <w:rFonts w:ascii="Times New Roman" w:hAnsi="Times New Roman"/>
          <w:sz w:val="24"/>
          <w:szCs w:val="24"/>
          <w:lang w:val="sq-AL"/>
        </w:rPr>
        <w:t>u</w:t>
      </w:r>
      <w:r w:rsidR="004551D7" w:rsidRPr="00037FB1">
        <w:rPr>
          <w:rFonts w:ascii="Times New Roman" w:hAnsi="Times New Roman"/>
          <w:sz w:val="24"/>
          <w:szCs w:val="24"/>
          <w:lang w:val="sq-AL"/>
        </w:rPr>
        <w:t xml:space="preserve"> delegojë organeve të tjera të pushtetit publik kompetencën e nxjerrjes së akteve me natyrë </w:t>
      </w:r>
      <w:r w:rsidR="004551D7" w:rsidRPr="00037FB1">
        <w:rPr>
          <w:rFonts w:ascii="Times New Roman" w:hAnsi="Times New Roman"/>
          <w:i/>
          <w:sz w:val="24"/>
          <w:szCs w:val="24"/>
          <w:lang w:val="sq-AL"/>
        </w:rPr>
        <w:t>quasi</w:t>
      </w:r>
      <w:r w:rsidR="004551D7" w:rsidRPr="00037FB1">
        <w:rPr>
          <w:rFonts w:ascii="Times New Roman" w:hAnsi="Times New Roman"/>
          <w:sz w:val="24"/>
          <w:szCs w:val="24"/>
          <w:lang w:val="sq-AL"/>
        </w:rPr>
        <w:t xml:space="preserve"> legjislative. Llojet e akteve nënligjore përcaktohen nga ligji nr. 9000, datë 30.01.2003 “Për organizimin dhe funksionimin e Këshillit të Ministrave” dhe një prej tyre është edhe urdhri i ministrit, i cili ka karakter të brendshëm dhe mund të vendosë rregulla sjelljeje të përgjithshme ose mund të rregullojë një marrëdhënie konkrete. Për pasojë, urdhri i kundërshtuar është nxjerrë në bazë të delegimit që i ka dhënë Kushtetuta dhe ligji. </w:t>
      </w:r>
    </w:p>
    <w:p w:rsidR="004551D7" w:rsidRPr="00037FB1" w:rsidRDefault="007A4681" w:rsidP="0037360A">
      <w:pPr>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lastRenderedPageBreak/>
        <w:t>6</w:t>
      </w:r>
      <w:r w:rsidRPr="00037FB1">
        <w:rPr>
          <w:rFonts w:ascii="Times New Roman" w:hAnsi="Times New Roman"/>
          <w:i/>
          <w:sz w:val="24"/>
          <w:szCs w:val="24"/>
          <w:lang w:val="sq-AL"/>
        </w:rPr>
        <w:t>.</w:t>
      </w:r>
      <w:r w:rsidRPr="00037FB1">
        <w:rPr>
          <w:rFonts w:ascii="Times New Roman" w:hAnsi="Times New Roman"/>
          <w:b/>
          <w:i/>
          <w:sz w:val="24"/>
          <w:szCs w:val="24"/>
          <w:lang w:val="sq-AL"/>
        </w:rPr>
        <w:t xml:space="preserve"> </w:t>
      </w:r>
      <w:r w:rsidR="004551D7" w:rsidRPr="00037FB1">
        <w:rPr>
          <w:rFonts w:ascii="Times New Roman" w:hAnsi="Times New Roman"/>
          <w:b/>
          <w:i/>
          <w:sz w:val="24"/>
          <w:szCs w:val="24"/>
          <w:lang w:val="sq-AL"/>
        </w:rPr>
        <w:t>Subjekti i interesuar</w:t>
      </w:r>
      <w:r w:rsidR="00A22D5E" w:rsidRPr="00037FB1">
        <w:rPr>
          <w:rFonts w:ascii="Times New Roman" w:hAnsi="Times New Roman"/>
          <w:b/>
          <w:i/>
          <w:sz w:val="24"/>
          <w:szCs w:val="24"/>
          <w:lang w:val="sq-AL"/>
        </w:rPr>
        <w:t>,</w:t>
      </w:r>
      <w:r w:rsidR="004551D7" w:rsidRPr="00037FB1">
        <w:rPr>
          <w:rFonts w:ascii="Times New Roman" w:hAnsi="Times New Roman"/>
          <w:b/>
          <w:i/>
          <w:sz w:val="24"/>
          <w:szCs w:val="24"/>
          <w:lang w:val="sq-AL"/>
        </w:rPr>
        <w:t xml:space="preserve"> Këshilli i Ministrave</w:t>
      </w:r>
      <w:r w:rsidR="00A22D5E" w:rsidRPr="00037FB1">
        <w:rPr>
          <w:rFonts w:ascii="Times New Roman" w:hAnsi="Times New Roman"/>
          <w:b/>
          <w:i/>
          <w:sz w:val="24"/>
          <w:szCs w:val="24"/>
          <w:lang w:val="sq-AL"/>
        </w:rPr>
        <w:t>,</w:t>
      </w:r>
      <w:r w:rsidR="004551D7" w:rsidRPr="00037FB1">
        <w:rPr>
          <w:rFonts w:ascii="Times New Roman" w:hAnsi="Times New Roman"/>
          <w:b/>
          <w:i/>
          <w:sz w:val="24"/>
          <w:szCs w:val="24"/>
          <w:lang w:val="sq-AL"/>
        </w:rPr>
        <w:t xml:space="preserve"> </w:t>
      </w:r>
      <w:r w:rsidR="004551D7" w:rsidRPr="00037FB1">
        <w:rPr>
          <w:rFonts w:ascii="Times New Roman" w:hAnsi="Times New Roman"/>
          <w:sz w:val="24"/>
          <w:szCs w:val="24"/>
          <w:lang w:val="sq-AL"/>
        </w:rPr>
        <w:t>ka kërkuar rrëzimin e kërkesës, duke prapësuar si vijon:</w:t>
      </w:r>
    </w:p>
    <w:p w:rsidR="004551D7" w:rsidRPr="00037FB1" w:rsidRDefault="007A4681" w:rsidP="0037360A">
      <w:pPr>
        <w:spacing w:after="0" w:line="360" w:lineRule="auto"/>
        <w:ind w:left="1260" w:hanging="450"/>
        <w:jc w:val="both"/>
        <w:rPr>
          <w:rFonts w:ascii="Times New Roman" w:hAnsi="Times New Roman"/>
          <w:sz w:val="24"/>
          <w:szCs w:val="24"/>
          <w:lang w:val="sq-AL"/>
        </w:rPr>
      </w:pPr>
      <w:r w:rsidRPr="00037FB1">
        <w:rPr>
          <w:rFonts w:ascii="Times New Roman" w:hAnsi="Times New Roman"/>
          <w:i/>
          <w:sz w:val="24"/>
          <w:szCs w:val="24"/>
          <w:lang w:val="sq-AL"/>
        </w:rPr>
        <w:t xml:space="preserve">6.1. </w:t>
      </w:r>
      <w:r w:rsidR="004551D7" w:rsidRPr="00037FB1">
        <w:rPr>
          <w:rFonts w:ascii="Times New Roman" w:hAnsi="Times New Roman"/>
          <w:i/>
          <w:sz w:val="24"/>
          <w:szCs w:val="24"/>
          <w:lang w:val="sq-AL"/>
        </w:rPr>
        <w:t xml:space="preserve">Roli kushtetues i kërkueses </w:t>
      </w:r>
      <w:r w:rsidR="004551D7" w:rsidRPr="00037FB1">
        <w:rPr>
          <w:rFonts w:ascii="Times New Roman" w:hAnsi="Times New Roman"/>
          <w:sz w:val="24"/>
          <w:szCs w:val="24"/>
          <w:lang w:val="sq-AL"/>
        </w:rPr>
        <w:t>(</w:t>
      </w:r>
      <w:r w:rsidR="004551D7" w:rsidRPr="00037FB1">
        <w:rPr>
          <w:rFonts w:ascii="Times New Roman" w:hAnsi="Times New Roman"/>
          <w:i/>
          <w:sz w:val="24"/>
          <w:szCs w:val="24"/>
          <w:lang w:val="sq-AL"/>
        </w:rPr>
        <w:t>neni 9 i Kushtetutës</w:t>
      </w:r>
      <w:r w:rsidR="004551D7" w:rsidRPr="00037FB1">
        <w:rPr>
          <w:rFonts w:ascii="Times New Roman" w:hAnsi="Times New Roman"/>
          <w:sz w:val="24"/>
          <w:szCs w:val="24"/>
          <w:lang w:val="sq-AL"/>
        </w:rPr>
        <w:t xml:space="preserve">) nuk cenohet në mënyrë disproporcionale. Aktet nënligjore të Këshillit të Ministrave dhe të MSHMS-së janë miratuar në përgjigje të situatës së krijuar nga </w:t>
      </w:r>
      <w:r w:rsidR="00293B82">
        <w:rPr>
          <w:rFonts w:ascii="Times New Roman" w:hAnsi="Times New Roman"/>
          <w:sz w:val="24"/>
          <w:szCs w:val="24"/>
          <w:lang w:val="sq-AL"/>
        </w:rPr>
        <w:t>COVID</w:t>
      </w:r>
      <w:r w:rsidR="004551D7" w:rsidRPr="00037FB1">
        <w:rPr>
          <w:rFonts w:ascii="Times New Roman" w:hAnsi="Times New Roman"/>
          <w:sz w:val="24"/>
          <w:szCs w:val="24"/>
          <w:lang w:val="sq-AL"/>
        </w:rPr>
        <w:t>-19 dhe parashikojnë detyrime të njëjta për të gjithë personat fizikë dhe juridikë në Republikën e Shqipërisë. Urdhri nr. 633/2020 nuk përmban favorizime o</w:t>
      </w:r>
      <w:r w:rsidR="00A22D5E" w:rsidRPr="00037FB1">
        <w:rPr>
          <w:rFonts w:ascii="Times New Roman" w:hAnsi="Times New Roman"/>
          <w:sz w:val="24"/>
          <w:szCs w:val="24"/>
          <w:lang w:val="sq-AL"/>
        </w:rPr>
        <w:t>se</w:t>
      </w:r>
      <w:r w:rsidR="004551D7" w:rsidRPr="00037FB1">
        <w:rPr>
          <w:rFonts w:ascii="Times New Roman" w:hAnsi="Times New Roman"/>
          <w:sz w:val="24"/>
          <w:szCs w:val="24"/>
          <w:lang w:val="sq-AL"/>
        </w:rPr>
        <w:t xml:space="preserve"> privilegje për grupe të caktuara, aq më </w:t>
      </w:r>
      <w:r w:rsidR="00A14F60" w:rsidRPr="00037FB1">
        <w:rPr>
          <w:rFonts w:ascii="Times New Roman" w:hAnsi="Times New Roman"/>
          <w:sz w:val="24"/>
          <w:szCs w:val="24"/>
          <w:lang w:val="sq-AL"/>
        </w:rPr>
        <w:t xml:space="preserve">pak </w:t>
      </w:r>
      <w:r w:rsidR="004551D7" w:rsidRPr="00037FB1">
        <w:rPr>
          <w:rFonts w:ascii="Times New Roman" w:hAnsi="Times New Roman"/>
          <w:sz w:val="24"/>
          <w:szCs w:val="24"/>
          <w:lang w:val="sq-AL"/>
        </w:rPr>
        <w:t xml:space="preserve">për ndonjë subjekt politik. Ky urdhër nuk i ndalon partitë politike të ushtrojnë veprimtarinë e tyre nëpërmjet komunikimit </w:t>
      </w:r>
      <w:r w:rsidR="00D1248F" w:rsidRPr="00037FB1">
        <w:rPr>
          <w:rFonts w:ascii="Times New Roman" w:hAnsi="Times New Roman"/>
          <w:i/>
          <w:sz w:val="24"/>
          <w:szCs w:val="24"/>
          <w:lang w:val="sq-AL"/>
        </w:rPr>
        <w:t>on</w:t>
      </w:r>
      <w:r w:rsidR="004551D7" w:rsidRPr="00037FB1">
        <w:rPr>
          <w:rFonts w:ascii="Times New Roman" w:hAnsi="Times New Roman"/>
          <w:i/>
          <w:sz w:val="24"/>
          <w:szCs w:val="24"/>
          <w:lang w:val="sq-AL"/>
        </w:rPr>
        <w:t>line</w:t>
      </w:r>
      <w:r w:rsidR="004551D7" w:rsidRPr="00037FB1">
        <w:rPr>
          <w:rFonts w:ascii="Times New Roman" w:hAnsi="Times New Roman"/>
          <w:sz w:val="24"/>
          <w:szCs w:val="24"/>
          <w:lang w:val="sq-AL"/>
        </w:rPr>
        <w:t xml:space="preserve"> dhe me anë të mjeteve të tjera që nuk cenojnë shëndetin e individëve. Argumenti se partia në pushtet ka më shumë vizibilitet dhe mundësi për të bërë fushatë, është i pabazuar, pasi urdhri nr. 633/2020 ndalon të gjitha tubimet dhe mbledhjet partiake për çdo parti politike pa asnjë dallim. </w:t>
      </w:r>
    </w:p>
    <w:p w:rsidR="004551D7" w:rsidRPr="00037FB1" w:rsidRDefault="007A4681" w:rsidP="0037360A">
      <w:pPr>
        <w:spacing w:after="0" w:line="360" w:lineRule="auto"/>
        <w:ind w:left="1260" w:hanging="450"/>
        <w:jc w:val="both"/>
        <w:rPr>
          <w:rFonts w:ascii="Times New Roman" w:hAnsi="Times New Roman"/>
          <w:sz w:val="24"/>
          <w:szCs w:val="24"/>
          <w:lang w:val="sq-AL"/>
        </w:rPr>
      </w:pPr>
      <w:r w:rsidRPr="00037FB1">
        <w:rPr>
          <w:rFonts w:ascii="Times New Roman" w:hAnsi="Times New Roman"/>
          <w:i/>
          <w:sz w:val="24"/>
          <w:szCs w:val="24"/>
          <w:lang w:val="sq-AL"/>
        </w:rPr>
        <w:t xml:space="preserve">6.2. </w:t>
      </w:r>
      <w:r w:rsidR="004551D7" w:rsidRPr="00037FB1">
        <w:rPr>
          <w:rFonts w:ascii="Times New Roman" w:hAnsi="Times New Roman"/>
          <w:i/>
          <w:sz w:val="24"/>
          <w:szCs w:val="24"/>
          <w:lang w:val="sq-AL"/>
        </w:rPr>
        <w:t>Liria e shprehjes (neni 22 i Kushtetutës)</w:t>
      </w:r>
      <w:r w:rsidR="004551D7" w:rsidRPr="00037FB1">
        <w:rPr>
          <w:rFonts w:ascii="Times New Roman" w:hAnsi="Times New Roman"/>
          <w:sz w:val="24"/>
          <w:szCs w:val="24"/>
          <w:lang w:val="sq-AL"/>
        </w:rPr>
        <w:t>, e cila mbrohet edhe nga neni 10</w:t>
      </w:r>
      <w:r w:rsidR="00A22D5E" w:rsidRPr="00037FB1">
        <w:rPr>
          <w:rFonts w:ascii="Times New Roman" w:hAnsi="Times New Roman"/>
          <w:sz w:val="24"/>
          <w:szCs w:val="24"/>
          <w:lang w:val="sq-AL"/>
        </w:rPr>
        <w:t>,</w:t>
      </w:r>
      <w:r w:rsidR="004551D7" w:rsidRPr="00037FB1">
        <w:rPr>
          <w:rFonts w:ascii="Times New Roman" w:hAnsi="Times New Roman"/>
          <w:sz w:val="24"/>
          <w:szCs w:val="24"/>
          <w:lang w:val="sq-AL"/>
        </w:rPr>
        <w:t xml:space="preserve"> pika 2</w:t>
      </w:r>
      <w:r w:rsidR="00A22D5E" w:rsidRPr="00037FB1">
        <w:rPr>
          <w:rFonts w:ascii="Times New Roman" w:hAnsi="Times New Roman"/>
          <w:sz w:val="24"/>
          <w:szCs w:val="24"/>
          <w:lang w:val="sq-AL"/>
        </w:rPr>
        <w:t>,</w:t>
      </w:r>
      <w:r w:rsidR="004551D7" w:rsidRPr="00037FB1">
        <w:rPr>
          <w:rFonts w:ascii="Times New Roman" w:hAnsi="Times New Roman"/>
          <w:sz w:val="24"/>
          <w:szCs w:val="24"/>
          <w:lang w:val="sq-AL"/>
        </w:rPr>
        <w:t xml:space="preserve"> i </w:t>
      </w:r>
      <w:r w:rsidR="00B6412E" w:rsidRPr="00037FB1">
        <w:rPr>
          <w:rFonts w:ascii="Times New Roman" w:hAnsi="Times New Roman"/>
          <w:sz w:val="24"/>
          <w:szCs w:val="24"/>
          <w:lang w:val="sq-AL"/>
        </w:rPr>
        <w:t>Konventës Evropiane për të Drejtat e Njeriut (</w:t>
      </w:r>
      <w:r w:rsidR="004551D7" w:rsidRPr="00037FB1">
        <w:rPr>
          <w:rFonts w:ascii="Times New Roman" w:hAnsi="Times New Roman"/>
          <w:i/>
          <w:sz w:val="24"/>
          <w:szCs w:val="24"/>
          <w:lang w:val="sq-AL"/>
        </w:rPr>
        <w:t>KEDNJ</w:t>
      </w:r>
      <w:r w:rsidR="00B6412E" w:rsidRPr="00037FB1">
        <w:rPr>
          <w:rFonts w:ascii="Times New Roman" w:hAnsi="Times New Roman"/>
          <w:sz w:val="24"/>
          <w:szCs w:val="24"/>
          <w:lang w:val="sq-AL"/>
        </w:rPr>
        <w:t>)</w:t>
      </w:r>
      <w:r w:rsidR="00995D09" w:rsidRPr="00037FB1">
        <w:rPr>
          <w:rFonts w:ascii="Times New Roman" w:hAnsi="Times New Roman"/>
          <w:sz w:val="24"/>
          <w:szCs w:val="24"/>
          <w:lang w:val="sq-AL"/>
        </w:rPr>
        <w:t>,</w:t>
      </w:r>
      <w:r w:rsidR="004551D7" w:rsidRPr="00037FB1">
        <w:rPr>
          <w:rFonts w:ascii="Times New Roman" w:hAnsi="Times New Roman"/>
          <w:sz w:val="24"/>
          <w:szCs w:val="24"/>
          <w:lang w:val="sq-AL"/>
        </w:rPr>
        <w:t xml:space="preserve"> është prekur nga pandemia. Megjithatë, urdhri nr. 633/2020 nuk ndalon realizimin e aktiviteteve </w:t>
      </w:r>
      <w:r w:rsidR="00D1248F" w:rsidRPr="00037FB1">
        <w:rPr>
          <w:rFonts w:ascii="Times New Roman" w:hAnsi="Times New Roman"/>
          <w:i/>
          <w:sz w:val="24"/>
          <w:szCs w:val="24"/>
          <w:lang w:val="sq-AL"/>
        </w:rPr>
        <w:t>on</w:t>
      </w:r>
      <w:r w:rsidR="004551D7" w:rsidRPr="00037FB1">
        <w:rPr>
          <w:rFonts w:ascii="Times New Roman" w:hAnsi="Times New Roman"/>
          <w:i/>
          <w:sz w:val="24"/>
          <w:szCs w:val="24"/>
          <w:lang w:val="sq-AL"/>
        </w:rPr>
        <w:t>line,</w:t>
      </w:r>
      <w:r w:rsidR="004551D7" w:rsidRPr="00037FB1">
        <w:rPr>
          <w:rFonts w:ascii="Times New Roman" w:hAnsi="Times New Roman"/>
          <w:sz w:val="24"/>
          <w:szCs w:val="24"/>
          <w:lang w:val="sq-AL"/>
        </w:rPr>
        <w:t xml:space="preserve"> ku pjesëmarrësit mund të shprehin mendimet e tyre</w:t>
      </w:r>
      <w:r w:rsidR="00A22D5E" w:rsidRPr="00037FB1">
        <w:rPr>
          <w:rFonts w:ascii="Times New Roman" w:hAnsi="Times New Roman"/>
          <w:sz w:val="24"/>
          <w:szCs w:val="24"/>
          <w:lang w:val="sq-AL"/>
        </w:rPr>
        <w:t xml:space="preserve"> </w:t>
      </w:r>
      <w:r w:rsidR="004551D7" w:rsidRPr="00037FB1">
        <w:rPr>
          <w:rFonts w:ascii="Times New Roman" w:hAnsi="Times New Roman"/>
          <w:sz w:val="24"/>
          <w:szCs w:val="24"/>
          <w:lang w:val="sq-AL"/>
        </w:rPr>
        <w:t xml:space="preserve">bashkërisht me të tjerët dhe në të njëjtën kohë të mbrojnë shëndetin e tyre dhe të komunitetit. </w:t>
      </w:r>
    </w:p>
    <w:p w:rsidR="004551D7" w:rsidRPr="00037FB1" w:rsidRDefault="007A4681" w:rsidP="0037360A">
      <w:pPr>
        <w:spacing w:after="0" w:line="360" w:lineRule="auto"/>
        <w:ind w:left="1260" w:hanging="450"/>
        <w:jc w:val="both"/>
        <w:rPr>
          <w:rFonts w:ascii="Times New Roman" w:hAnsi="Times New Roman"/>
          <w:sz w:val="24"/>
          <w:szCs w:val="24"/>
          <w:lang w:val="sq-AL"/>
        </w:rPr>
      </w:pPr>
      <w:r w:rsidRPr="00037FB1">
        <w:rPr>
          <w:rFonts w:ascii="Times New Roman" w:hAnsi="Times New Roman"/>
          <w:i/>
          <w:sz w:val="24"/>
          <w:szCs w:val="24"/>
          <w:lang w:val="sq-AL"/>
        </w:rPr>
        <w:t xml:space="preserve">6.3. </w:t>
      </w:r>
      <w:r w:rsidR="00B6412E" w:rsidRPr="00037FB1">
        <w:rPr>
          <w:rFonts w:ascii="Times New Roman" w:hAnsi="Times New Roman"/>
          <w:i/>
          <w:sz w:val="24"/>
          <w:szCs w:val="24"/>
          <w:lang w:val="sq-AL"/>
        </w:rPr>
        <w:t xml:space="preserve"> </w:t>
      </w:r>
      <w:r w:rsidR="004551D7" w:rsidRPr="00037FB1">
        <w:rPr>
          <w:rFonts w:ascii="Times New Roman" w:hAnsi="Times New Roman"/>
          <w:i/>
          <w:sz w:val="24"/>
          <w:szCs w:val="24"/>
          <w:lang w:val="sq-AL"/>
        </w:rPr>
        <w:t>Liria e mbledhjeve dhe tubimeve (neni 47 i Kushtetutës)</w:t>
      </w:r>
      <w:r w:rsidR="004551D7" w:rsidRPr="00037FB1">
        <w:rPr>
          <w:rFonts w:ascii="Times New Roman" w:hAnsi="Times New Roman"/>
          <w:sz w:val="24"/>
          <w:szCs w:val="24"/>
          <w:lang w:val="sq-AL"/>
        </w:rPr>
        <w:t xml:space="preserve"> nuk cenohet</w:t>
      </w:r>
      <w:r w:rsidR="00A22D5E" w:rsidRPr="00037FB1">
        <w:rPr>
          <w:rFonts w:ascii="Times New Roman" w:hAnsi="Times New Roman"/>
          <w:sz w:val="24"/>
          <w:szCs w:val="24"/>
          <w:lang w:val="sq-AL"/>
        </w:rPr>
        <w:t>,</w:t>
      </w:r>
      <w:r w:rsidR="004551D7" w:rsidRPr="00037FB1">
        <w:rPr>
          <w:rFonts w:ascii="Times New Roman" w:hAnsi="Times New Roman"/>
          <w:sz w:val="24"/>
          <w:szCs w:val="24"/>
          <w:lang w:val="sq-AL"/>
        </w:rPr>
        <w:t xml:space="preserve"> pasi urdhri nr. 633/2020 lejon grumbullimet deri në 10 persona. Në praktikë, organet ligjzbatuese nuk kanë vendosur gjoba për mbledhje partiake ose tubime me pjesëmarrje deri në 10 persona. G</w:t>
      </w:r>
      <w:r w:rsidR="00A22D5E" w:rsidRPr="00037FB1">
        <w:rPr>
          <w:rFonts w:ascii="Times New Roman" w:hAnsi="Times New Roman"/>
          <w:sz w:val="24"/>
          <w:szCs w:val="24"/>
          <w:lang w:val="sq-AL"/>
        </w:rPr>
        <w:t>jykata Evropiane për të Drejtat e Njeriut (</w:t>
      </w:r>
      <w:r w:rsidR="00A22D5E" w:rsidRPr="00037FB1">
        <w:rPr>
          <w:rFonts w:ascii="Times New Roman" w:hAnsi="Times New Roman"/>
          <w:i/>
          <w:sz w:val="24"/>
          <w:szCs w:val="24"/>
          <w:lang w:val="sq-AL"/>
        </w:rPr>
        <w:t>G</w:t>
      </w:r>
      <w:r w:rsidR="004551D7" w:rsidRPr="00037FB1">
        <w:rPr>
          <w:rFonts w:ascii="Times New Roman" w:hAnsi="Times New Roman"/>
          <w:i/>
          <w:sz w:val="24"/>
          <w:szCs w:val="24"/>
          <w:lang w:val="sq-AL"/>
        </w:rPr>
        <w:t>JEDNJ</w:t>
      </w:r>
      <w:r w:rsidR="00A22D5E" w:rsidRPr="00037FB1">
        <w:rPr>
          <w:rFonts w:ascii="Times New Roman" w:hAnsi="Times New Roman"/>
          <w:sz w:val="24"/>
          <w:szCs w:val="24"/>
          <w:lang w:val="sq-AL"/>
        </w:rPr>
        <w:t>)</w:t>
      </w:r>
      <w:r w:rsidR="004551D7" w:rsidRPr="00037FB1">
        <w:rPr>
          <w:rFonts w:ascii="Times New Roman" w:hAnsi="Times New Roman"/>
          <w:sz w:val="24"/>
          <w:szCs w:val="24"/>
          <w:lang w:val="sq-AL"/>
        </w:rPr>
        <w:t xml:space="preserve"> ka pranuar se subjektet politike mund të bëjnë fushatë edhe nga shtëpia</w:t>
      </w:r>
      <w:r w:rsidR="00A22D5E" w:rsidRPr="00037FB1">
        <w:rPr>
          <w:rFonts w:ascii="Times New Roman" w:hAnsi="Times New Roman"/>
          <w:sz w:val="24"/>
          <w:szCs w:val="24"/>
          <w:lang w:val="sq-AL"/>
        </w:rPr>
        <w:t>,</w:t>
      </w:r>
      <w:r w:rsidR="004551D7" w:rsidRPr="00037FB1">
        <w:rPr>
          <w:rFonts w:ascii="Times New Roman" w:hAnsi="Times New Roman"/>
          <w:sz w:val="24"/>
          <w:szCs w:val="24"/>
          <w:lang w:val="sq-AL"/>
        </w:rPr>
        <w:t xml:space="preserve"> falë evolucionit të metodave të komunikimit </w:t>
      </w:r>
      <w:r w:rsidR="00904146" w:rsidRPr="00037FB1">
        <w:rPr>
          <w:rFonts w:ascii="Times New Roman" w:hAnsi="Times New Roman"/>
          <w:i/>
          <w:iCs/>
          <w:sz w:val="24"/>
          <w:szCs w:val="24"/>
          <w:lang w:val="sq-AL"/>
        </w:rPr>
        <w:t>online</w:t>
      </w:r>
      <w:r w:rsidR="004551D7" w:rsidRPr="00037FB1">
        <w:rPr>
          <w:rFonts w:ascii="Times New Roman" w:hAnsi="Times New Roman"/>
          <w:sz w:val="24"/>
          <w:szCs w:val="24"/>
          <w:lang w:val="sq-AL"/>
        </w:rPr>
        <w:t>. Kufizimi i vendosur është i përkohshëm deri në një urdhër të dytë</w:t>
      </w:r>
      <w:r w:rsidR="00995D09" w:rsidRPr="00037FB1">
        <w:rPr>
          <w:rFonts w:ascii="Times New Roman" w:hAnsi="Times New Roman"/>
          <w:sz w:val="24"/>
          <w:szCs w:val="24"/>
          <w:lang w:val="sq-AL"/>
        </w:rPr>
        <w:t xml:space="preserve"> dhe </w:t>
      </w:r>
      <w:r w:rsidR="00A86279" w:rsidRPr="00037FB1">
        <w:rPr>
          <w:rFonts w:ascii="Times New Roman" w:hAnsi="Times New Roman"/>
          <w:sz w:val="24"/>
          <w:szCs w:val="24"/>
          <w:lang w:val="sq-AL"/>
        </w:rPr>
        <w:t>mund të ndryshojë</w:t>
      </w:r>
      <w:r w:rsidR="004551D7" w:rsidRPr="00037FB1">
        <w:rPr>
          <w:rFonts w:ascii="Times New Roman" w:hAnsi="Times New Roman"/>
          <w:sz w:val="24"/>
          <w:szCs w:val="24"/>
          <w:lang w:val="sq-AL"/>
        </w:rPr>
        <w:t xml:space="preserve"> nëse situata epidemiologjike përmirësohet. </w:t>
      </w:r>
    </w:p>
    <w:p w:rsidR="004551D7" w:rsidRPr="00037FB1" w:rsidRDefault="007A4681" w:rsidP="0037360A">
      <w:pPr>
        <w:spacing w:after="0" w:line="360" w:lineRule="auto"/>
        <w:ind w:firstLine="720"/>
        <w:jc w:val="both"/>
        <w:rPr>
          <w:rFonts w:ascii="Times New Roman" w:hAnsi="Times New Roman"/>
          <w:sz w:val="24"/>
          <w:szCs w:val="24"/>
          <w:lang w:val="sq-AL"/>
        </w:rPr>
      </w:pPr>
      <w:r w:rsidRPr="00037FB1">
        <w:rPr>
          <w:rFonts w:ascii="Times New Roman" w:hAnsi="Times New Roman"/>
          <w:i/>
          <w:sz w:val="24"/>
          <w:szCs w:val="24"/>
          <w:lang w:val="sq-AL"/>
        </w:rPr>
        <w:t xml:space="preserve">7. </w:t>
      </w:r>
      <w:r w:rsidR="004551D7" w:rsidRPr="00037FB1">
        <w:rPr>
          <w:rFonts w:ascii="Times New Roman" w:hAnsi="Times New Roman"/>
          <w:b/>
          <w:i/>
          <w:sz w:val="24"/>
          <w:szCs w:val="24"/>
          <w:lang w:val="sq-AL"/>
        </w:rPr>
        <w:t>Subjekti i interesuar</w:t>
      </w:r>
      <w:r w:rsidR="00D1248F" w:rsidRPr="00037FB1">
        <w:rPr>
          <w:rFonts w:ascii="Times New Roman" w:hAnsi="Times New Roman"/>
          <w:b/>
          <w:i/>
          <w:sz w:val="24"/>
          <w:szCs w:val="24"/>
          <w:lang w:val="sq-AL"/>
        </w:rPr>
        <w:t>,</w:t>
      </w:r>
      <w:r w:rsidR="004551D7" w:rsidRPr="00037FB1">
        <w:rPr>
          <w:rFonts w:ascii="Times New Roman" w:hAnsi="Times New Roman"/>
          <w:b/>
          <w:i/>
          <w:sz w:val="24"/>
          <w:szCs w:val="24"/>
          <w:lang w:val="sq-AL"/>
        </w:rPr>
        <w:t xml:space="preserve"> Ministria e Shëndetësisë dhe Mbrojtjes Sociale, </w:t>
      </w:r>
      <w:r w:rsidR="004551D7" w:rsidRPr="00037FB1">
        <w:rPr>
          <w:rFonts w:ascii="Times New Roman" w:hAnsi="Times New Roman"/>
          <w:sz w:val="24"/>
          <w:szCs w:val="24"/>
          <w:lang w:val="sq-AL"/>
        </w:rPr>
        <w:t>në seancë gjyqësore</w:t>
      </w:r>
      <w:r w:rsidR="004551D7" w:rsidRPr="00037FB1">
        <w:rPr>
          <w:rFonts w:ascii="Times New Roman" w:hAnsi="Times New Roman"/>
          <w:i/>
          <w:sz w:val="24"/>
          <w:szCs w:val="24"/>
          <w:lang w:val="sq-AL"/>
        </w:rPr>
        <w:t>,</w:t>
      </w:r>
      <w:r w:rsidR="004551D7" w:rsidRPr="00037FB1">
        <w:rPr>
          <w:rFonts w:ascii="Times New Roman" w:hAnsi="Times New Roman"/>
          <w:b/>
          <w:i/>
          <w:sz w:val="24"/>
          <w:szCs w:val="24"/>
          <w:lang w:val="sq-AL"/>
        </w:rPr>
        <w:t xml:space="preserve"> </w:t>
      </w:r>
      <w:r w:rsidR="004551D7" w:rsidRPr="00037FB1">
        <w:rPr>
          <w:rFonts w:ascii="Times New Roman" w:hAnsi="Times New Roman"/>
          <w:sz w:val="24"/>
          <w:szCs w:val="24"/>
          <w:lang w:val="sq-AL"/>
        </w:rPr>
        <w:t xml:space="preserve">iu bashkua prapësimeve të Këshillit të Ministrave, duke kërkuar rrëzimin e kërkesës. </w:t>
      </w:r>
    </w:p>
    <w:p w:rsidR="00367EB7" w:rsidRPr="00037FB1" w:rsidRDefault="00367EB7" w:rsidP="0037360A">
      <w:pPr>
        <w:spacing w:after="0" w:line="360" w:lineRule="auto"/>
        <w:ind w:left="360"/>
        <w:jc w:val="both"/>
        <w:rPr>
          <w:rFonts w:ascii="Times New Roman" w:hAnsi="Times New Roman"/>
          <w:sz w:val="24"/>
          <w:szCs w:val="24"/>
          <w:lang w:val="sq-AL"/>
        </w:rPr>
      </w:pPr>
    </w:p>
    <w:p w:rsidR="007B623F" w:rsidRPr="00037FB1" w:rsidRDefault="007B623F" w:rsidP="0037360A">
      <w:pPr>
        <w:spacing w:after="0" w:line="360" w:lineRule="auto"/>
        <w:jc w:val="center"/>
        <w:rPr>
          <w:rFonts w:ascii="Times New Roman" w:hAnsi="Times New Roman"/>
          <w:b/>
          <w:sz w:val="24"/>
          <w:szCs w:val="24"/>
          <w:lang w:val="sq-AL"/>
        </w:rPr>
      </w:pPr>
      <w:r w:rsidRPr="00037FB1">
        <w:rPr>
          <w:rFonts w:ascii="Times New Roman" w:hAnsi="Times New Roman"/>
          <w:b/>
          <w:sz w:val="24"/>
          <w:szCs w:val="24"/>
          <w:lang w:val="sq-AL"/>
        </w:rPr>
        <w:t>III</w:t>
      </w:r>
    </w:p>
    <w:p w:rsidR="007B623F" w:rsidRPr="00037FB1" w:rsidRDefault="007B623F" w:rsidP="0037360A">
      <w:pPr>
        <w:spacing w:after="0" w:line="360" w:lineRule="auto"/>
        <w:jc w:val="center"/>
        <w:rPr>
          <w:rFonts w:ascii="Times New Roman" w:hAnsi="Times New Roman"/>
          <w:b/>
          <w:sz w:val="24"/>
          <w:szCs w:val="24"/>
          <w:lang w:val="sq-AL"/>
        </w:rPr>
      </w:pPr>
      <w:r w:rsidRPr="00037FB1">
        <w:rPr>
          <w:rFonts w:ascii="Times New Roman" w:hAnsi="Times New Roman"/>
          <w:b/>
          <w:sz w:val="24"/>
          <w:szCs w:val="24"/>
          <w:lang w:val="sq-AL"/>
        </w:rPr>
        <w:t>Vlerësimi i Gjykatës Kushtetuese</w:t>
      </w:r>
    </w:p>
    <w:p w:rsidR="007B623F" w:rsidRPr="00037FB1" w:rsidRDefault="007B623F" w:rsidP="0037360A">
      <w:pPr>
        <w:numPr>
          <w:ilvl w:val="0"/>
          <w:numId w:val="18"/>
        </w:numPr>
        <w:tabs>
          <w:tab w:val="left" w:pos="1080"/>
        </w:tabs>
        <w:spacing w:after="0" w:line="360" w:lineRule="auto"/>
        <w:ind w:left="0" w:firstLine="720"/>
        <w:contextualSpacing/>
        <w:rPr>
          <w:rFonts w:ascii="Times New Roman" w:eastAsia="Times New Roman" w:hAnsi="Times New Roman"/>
          <w:i/>
          <w:sz w:val="24"/>
          <w:szCs w:val="24"/>
          <w:lang w:val="sq-AL"/>
        </w:rPr>
      </w:pPr>
      <w:r w:rsidRPr="00037FB1">
        <w:rPr>
          <w:rFonts w:ascii="Times New Roman" w:eastAsia="Times New Roman" w:hAnsi="Times New Roman"/>
          <w:i/>
          <w:sz w:val="24"/>
          <w:szCs w:val="24"/>
          <w:lang w:val="sq-AL"/>
        </w:rPr>
        <w:lastRenderedPageBreak/>
        <w:t xml:space="preserve">Për juridiksionin e Gjykatës </w:t>
      </w:r>
      <w:r w:rsidR="00A86279" w:rsidRPr="00037FB1">
        <w:rPr>
          <w:rFonts w:ascii="Times New Roman" w:eastAsia="Times New Roman" w:hAnsi="Times New Roman"/>
          <w:i/>
          <w:sz w:val="24"/>
          <w:szCs w:val="24"/>
          <w:lang w:val="sq-AL"/>
        </w:rPr>
        <w:t>Kushtetuese</w:t>
      </w:r>
    </w:p>
    <w:p w:rsidR="00A86279" w:rsidRPr="00037FB1" w:rsidRDefault="007B623F" w:rsidP="0037360A">
      <w:pPr>
        <w:pStyle w:val="ListParagraph"/>
        <w:numPr>
          <w:ilvl w:val="0"/>
          <w:numId w:val="21"/>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Sipas nenit 131, pika 1, shkronja “c”</w:t>
      </w:r>
      <w:r w:rsidR="00687598" w:rsidRPr="00037FB1">
        <w:rPr>
          <w:rFonts w:ascii="Times New Roman" w:hAnsi="Times New Roman"/>
          <w:sz w:val="24"/>
          <w:szCs w:val="24"/>
          <w:lang w:val="sq-AL"/>
        </w:rPr>
        <w:t>,</w:t>
      </w:r>
      <w:r w:rsidRPr="00037FB1">
        <w:rPr>
          <w:rFonts w:ascii="Times New Roman" w:hAnsi="Times New Roman"/>
          <w:sz w:val="24"/>
          <w:szCs w:val="24"/>
          <w:lang w:val="sq-AL"/>
        </w:rPr>
        <w:t xml:space="preserve"> të Kushtetutës, Gjykata ka juridiksion të shqyrtojë pajtueshmërinë e ligjeve dhe akteve normative me Kushtetutën. Në rastin në shqyrtim, k</w:t>
      </w:r>
      <w:r w:rsidRPr="00037FB1">
        <w:rPr>
          <w:rFonts w:ascii="Times New Roman" w:hAnsi="Times New Roman"/>
          <w:bCs/>
          <w:sz w:val="24"/>
          <w:szCs w:val="24"/>
          <w:lang w:val="sq-AL"/>
        </w:rPr>
        <w:t>ërkuesja</w:t>
      </w:r>
      <w:r w:rsidRPr="00037FB1">
        <w:rPr>
          <w:rFonts w:ascii="Times New Roman" w:hAnsi="Times New Roman"/>
          <w:sz w:val="24"/>
          <w:szCs w:val="24"/>
          <w:lang w:val="sq-AL"/>
        </w:rPr>
        <w:t>, Partia Republikane</w:t>
      </w:r>
      <w:r w:rsidR="00A86279" w:rsidRPr="00037FB1">
        <w:rPr>
          <w:rFonts w:ascii="Times New Roman" w:hAnsi="Times New Roman"/>
          <w:sz w:val="24"/>
          <w:szCs w:val="24"/>
          <w:lang w:val="sq-AL"/>
        </w:rPr>
        <w:t xml:space="preserve"> Shqiptare</w:t>
      </w:r>
      <w:r w:rsidRPr="00037FB1">
        <w:rPr>
          <w:rFonts w:ascii="Times New Roman" w:hAnsi="Times New Roman"/>
          <w:sz w:val="24"/>
          <w:szCs w:val="24"/>
          <w:lang w:val="sq-AL"/>
        </w:rPr>
        <w:t>, ka vënë në lëvizje Gjy</w:t>
      </w:r>
      <w:r w:rsidR="0029010F" w:rsidRPr="00037FB1">
        <w:rPr>
          <w:rFonts w:ascii="Times New Roman" w:hAnsi="Times New Roman"/>
          <w:sz w:val="24"/>
          <w:szCs w:val="24"/>
          <w:lang w:val="sq-AL"/>
        </w:rPr>
        <w:t>katën për kontrollin e kushtetu</w:t>
      </w:r>
      <w:r w:rsidRPr="00037FB1">
        <w:rPr>
          <w:rFonts w:ascii="Times New Roman" w:hAnsi="Times New Roman"/>
          <w:sz w:val="24"/>
          <w:szCs w:val="24"/>
          <w:lang w:val="sq-AL"/>
        </w:rPr>
        <w:t>tshmërisë së urdhrit nr.633/2020. Prandaj</w:t>
      </w:r>
      <w:r w:rsidR="00A86279" w:rsidRPr="00037FB1">
        <w:rPr>
          <w:rFonts w:ascii="Times New Roman" w:hAnsi="Times New Roman"/>
          <w:sz w:val="24"/>
          <w:szCs w:val="24"/>
          <w:lang w:val="sq-AL"/>
        </w:rPr>
        <w:t>,</w:t>
      </w:r>
      <w:r w:rsidRPr="00037FB1">
        <w:rPr>
          <w:rFonts w:ascii="Times New Roman" w:hAnsi="Times New Roman"/>
          <w:sz w:val="24"/>
          <w:szCs w:val="24"/>
          <w:lang w:val="sq-AL"/>
        </w:rPr>
        <w:t xml:space="preserve"> fillimisht</w:t>
      </w:r>
      <w:r w:rsidR="00A86279" w:rsidRPr="00037FB1">
        <w:rPr>
          <w:rFonts w:ascii="Times New Roman" w:hAnsi="Times New Roman"/>
          <w:sz w:val="24"/>
          <w:szCs w:val="24"/>
          <w:lang w:val="sq-AL"/>
        </w:rPr>
        <w:t>,</w:t>
      </w:r>
      <w:r w:rsidRPr="00037FB1">
        <w:rPr>
          <w:rFonts w:ascii="Times New Roman" w:hAnsi="Times New Roman"/>
          <w:sz w:val="24"/>
          <w:szCs w:val="24"/>
          <w:lang w:val="sq-AL"/>
        </w:rPr>
        <w:t xml:space="preserve"> Gjykata do të analizojë natyrën e aktit të kundërshtuar. </w:t>
      </w:r>
    </w:p>
    <w:p w:rsidR="00A86279" w:rsidRPr="00037FB1" w:rsidRDefault="007B623F" w:rsidP="0037360A">
      <w:pPr>
        <w:pStyle w:val="ListParagraph"/>
        <w:numPr>
          <w:ilvl w:val="0"/>
          <w:numId w:val="21"/>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Në jurisprudencën e saj Gjykata është shprehur se një akt ka karakter normativ kur vendos norma të përgjithshme sjelljeje, me karakter abstrakt, që rregullojnë marrëdhënie të caktuara juridike, të cilat i shtrijnë efektet e tyre mbi një kategori të pacaktuar subjektesh</w:t>
      </w:r>
      <w:r w:rsidRPr="00037FB1">
        <w:rPr>
          <w:rFonts w:ascii="Times New Roman" w:hAnsi="Times New Roman"/>
          <w:i/>
          <w:sz w:val="24"/>
          <w:szCs w:val="24"/>
          <w:lang w:val="sq-AL"/>
        </w:rPr>
        <w:t xml:space="preserve"> (shih vendimin nr. 86, datë 30.12.2016  të Gjykatës Kushtetuese)</w:t>
      </w:r>
      <w:r w:rsidRPr="00037FB1">
        <w:rPr>
          <w:rFonts w:ascii="Times New Roman" w:hAnsi="Times New Roman"/>
          <w:iCs/>
          <w:sz w:val="24"/>
          <w:szCs w:val="24"/>
          <w:lang w:val="sq-AL"/>
        </w:rPr>
        <w:t>. Nisur nga ky këndvështrim</w:t>
      </w:r>
      <w:r w:rsidR="00A86279" w:rsidRPr="00037FB1">
        <w:rPr>
          <w:rFonts w:ascii="Times New Roman" w:hAnsi="Times New Roman"/>
          <w:iCs/>
          <w:sz w:val="24"/>
          <w:szCs w:val="24"/>
          <w:lang w:val="sq-AL"/>
        </w:rPr>
        <w:t>,</w:t>
      </w:r>
      <w:r w:rsidRPr="00037FB1">
        <w:rPr>
          <w:rFonts w:ascii="Times New Roman" w:hAnsi="Times New Roman"/>
          <w:iCs/>
          <w:sz w:val="24"/>
          <w:szCs w:val="24"/>
          <w:lang w:val="sq-AL"/>
        </w:rPr>
        <w:t xml:space="preserve"> si dhe nga përmbajtja e urdhrit nr. 633/2020, Gjykata vlerës</w:t>
      </w:r>
      <w:r w:rsidR="00A86279" w:rsidRPr="00037FB1">
        <w:rPr>
          <w:rFonts w:ascii="Times New Roman" w:hAnsi="Times New Roman"/>
          <w:iCs/>
          <w:sz w:val="24"/>
          <w:szCs w:val="24"/>
          <w:lang w:val="sq-AL"/>
        </w:rPr>
        <w:t xml:space="preserve">on se ai ka karakter normativ. </w:t>
      </w:r>
    </w:p>
    <w:p w:rsidR="00A86279" w:rsidRPr="00037FB1" w:rsidRDefault="007B623F" w:rsidP="0037360A">
      <w:pPr>
        <w:pStyle w:val="ListParagraph"/>
        <w:numPr>
          <w:ilvl w:val="0"/>
          <w:numId w:val="21"/>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Nga ana tjetër, Gjykata ka theksuar se natyra e pretendimeve të ngritura para saj është një nga elementet përcaktuese të juridiksionit kushtetues për shqyrtimin e një çështjeje dhe se, në përputhje me kompetencat e parashikuara nga Kushtetuta</w:t>
      </w:r>
      <w:r w:rsidR="00A86279" w:rsidRPr="00037FB1">
        <w:rPr>
          <w:rFonts w:ascii="Times New Roman" w:hAnsi="Times New Roman"/>
          <w:sz w:val="24"/>
          <w:szCs w:val="24"/>
          <w:lang w:val="sq-AL"/>
        </w:rPr>
        <w:t>,</w:t>
      </w:r>
      <w:r w:rsidRPr="00037FB1">
        <w:rPr>
          <w:rFonts w:ascii="Times New Roman" w:hAnsi="Times New Roman"/>
          <w:sz w:val="24"/>
          <w:szCs w:val="24"/>
          <w:lang w:val="sq-AL"/>
        </w:rPr>
        <w:t xml:space="preserve"> ajo e përcakton vetë juridiksionin e saj gjatë shqyrtimit të çështjeve, rast pas rasti (</w:t>
      </w:r>
      <w:r w:rsidRPr="00037FB1">
        <w:rPr>
          <w:rFonts w:ascii="Times New Roman" w:hAnsi="Times New Roman"/>
          <w:i/>
          <w:iCs/>
          <w:sz w:val="24"/>
          <w:szCs w:val="24"/>
          <w:lang w:val="sq-AL"/>
        </w:rPr>
        <w:t>shih vendimin nr.4, datë 15.02.2021 të Gjykatës Kushtetuese</w:t>
      </w:r>
      <w:r w:rsidRPr="00037FB1">
        <w:rPr>
          <w:rFonts w:ascii="Times New Roman" w:hAnsi="Times New Roman"/>
          <w:sz w:val="24"/>
          <w:szCs w:val="24"/>
          <w:lang w:val="sq-AL"/>
        </w:rPr>
        <w:t xml:space="preserve">). </w:t>
      </w:r>
    </w:p>
    <w:p w:rsidR="00A86279" w:rsidRPr="00037FB1" w:rsidRDefault="007B623F" w:rsidP="0037360A">
      <w:pPr>
        <w:pStyle w:val="ListParagraph"/>
        <w:numPr>
          <w:ilvl w:val="0"/>
          <w:numId w:val="21"/>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 xml:space="preserve">Kërkuesja i është drejtuar Gjykatës duke pretenduar se urdhri nr. 633/2020 ka cenuar në mënyrë disproporcionale rolin kushtetues të saj në formimin e vullnetit politik të zgjedhësve, lirinë e tubimit dhe atë të shprehjes. Në vlerësimin e Gjykatës, pretendimet e kërkueses janë të natyrës kushtetuese. Për rrjedhojë, duke pasur parasysh karakterin normativ të aktit të kundërshtuar dhe natyrën kushtetuese të pretendimeve të ngritura nga kërkuesja, Gjykata çmon se çështja, sipas objektit të kërkesës, hyn në juridiksionin e saj. </w:t>
      </w:r>
    </w:p>
    <w:p w:rsidR="00A86279" w:rsidRPr="00037FB1" w:rsidRDefault="00A86279" w:rsidP="0037360A">
      <w:pPr>
        <w:tabs>
          <w:tab w:val="left" w:pos="1080"/>
        </w:tabs>
        <w:spacing w:after="0" w:line="360" w:lineRule="auto"/>
        <w:jc w:val="both"/>
        <w:rPr>
          <w:rFonts w:ascii="Times New Roman" w:eastAsia="Times New Roman" w:hAnsi="Times New Roman"/>
          <w:i/>
          <w:sz w:val="24"/>
          <w:szCs w:val="24"/>
          <w:lang w:val="sq-AL"/>
        </w:rPr>
      </w:pPr>
    </w:p>
    <w:p w:rsidR="00A86279" w:rsidRPr="00037FB1" w:rsidRDefault="00A86279" w:rsidP="0037360A">
      <w:pPr>
        <w:tabs>
          <w:tab w:val="left" w:pos="1080"/>
        </w:tabs>
        <w:spacing w:after="0" w:line="360" w:lineRule="auto"/>
        <w:jc w:val="both"/>
        <w:rPr>
          <w:rFonts w:ascii="Times New Roman" w:hAnsi="Times New Roman"/>
          <w:sz w:val="24"/>
          <w:szCs w:val="24"/>
          <w:lang w:val="sq-AL"/>
        </w:rPr>
      </w:pPr>
      <w:r w:rsidRPr="00037FB1">
        <w:rPr>
          <w:rFonts w:ascii="Times New Roman" w:eastAsia="Times New Roman" w:hAnsi="Times New Roman"/>
          <w:i/>
          <w:sz w:val="24"/>
          <w:szCs w:val="24"/>
          <w:lang w:val="sq-AL"/>
        </w:rPr>
        <w:tab/>
        <w:t xml:space="preserve">B. </w:t>
      </w:r>
      <w:r w:rsidR="007B623F" w:rsidRPr="00037FB1">
        <w:rPr>
          <w:rFonts w:ascii="Times New Roman" w:eastAsia="Times New Roman" w:hAnsi="Times New Roman"/>
          <w:i/>
          <w:sz w:val="24"/>
          <w:szCs w:val="24"/>
          <w:lang w:val="sq-AL"/>
        </w:rPr>
        <w:t xml:space="preserve">Për legjitimimin e kërkueses </w:t>
      </w:r>
    </w:p>
    <w:p w:rsidR="007B623F" w:rsidRPr="00037FB1" w:rsidRDefault="007B623F" w:rsidP="0037360A">
      <w:pPr>
        <w:pStyle w:val="ListParagraph"/>
        <w:numPr>
          <w:ilvl w:val="0"/>
          <w:numId w:val="21"/>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 xml:space="preserve">Çështja e legjitimimit të kërkuesit </w:t>
      </w:r>
      <w:r w:rsidRPr="00037FB1">
        <w:rPr>
          <w:rFonts w:ascii="Times New Roman" w:hAnsi="Times New Roman"/>
          <w:i/>
          <w:iCs/>
          <w:sz w:val="24"/>
          <w:szCs w:val="24"/>
          <w:lang w:val="sq-AL"/>
        </w:rPr>
        <w:t>(locus standi</w:t>
      </w:r>
      <w:r w:rsidRPr="00037FB1">
        <w:rPr>
          <w:rFonts w:ascii="Times New Roman" w:hAnsi="Times New Roman"/>
          <w:sz w:val="24"/>
          <w:szCs w:val="24"/>
          <w:lang w:val="sq-AL"/>
        </w:rPr>
        <w:t>) është një ndër aspektet kryesore që lidhet me inicimin e një procesi kushtetues. Partitë</w:t>
      </w:r>
      <w:r w:rsidRPr="00037FB1">
        <w:rPr>
          <w:rFonts w:ascii="Times New Roman" w:hAnsi="Times New Roman"/>
          <w:i/>
          <w:sz w:val="24"/>
          <w:szCs w:val="24"/>
          <w:lang w:val="sq-AL"/>
        </w:rPr>
        <w:t xml:space="preserve"> </w:t>
      </w:r>
      <w:r w:rsidRPr="00037FB1">
        <w:rPr>
          <w:rFonts w:ascii="Times New Roman" w:hAnsi="Times New Roman"/>
          <w:sz w:val="24"/>
          <w:szCs w:val="24"/>
          <w:lang w:val="sq-AL"/>
        </w:rPr>
        <w:t xml:space="preserve">politike, bazuar në nenin 134, pika 1, shkronja “gj” dhe pika 2 të Kushtetutës, si dhe në nenin 49, pika 3, shkronja “d” dhe pika 4, të ligjit nr. 8577/2000, janë subjekte që mund të paraqesin kërkesë në Gjykatën Kushtetuese për kontrollin e pajtueshmërisë së akteve normative me Kushtetutën. Gjithsesi, në gjykime të kësaj natyre, subjektet që parashikohen në nenin 134, pika 2, të Kushtetutës kanë detyrimin për të provuar lidhjen e domosdoshme që duhet të ekzistojë ndërmjet veprimtarisë ligjore që ato kryejnë dhe çështjes kushtetuese të ngritur. </w:t>
      </w:r>
    </w:p>
    <w:p w:rsidR="00A86279" w:rsidRPr="00037FB1" w:rsidRDefault="007B623F" w:rsidP="0037360A">
      <w:pPr>
        <w:pStyle w:val="ListParagraph"/>
        <w:numPr>
          <w:ilvl w:val="0"/>
          <w:numId w:val="21"/>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Në kuptimin kushtetues dhe ligjor, partitë politike paraqiten si bashkime vullnetare të shtetasve mbi bazën e ideve, të bindjeve e të pikëpamjeve politike të përbashkëta, që synojnë të ndikojnë në jetën e vendit nëpërmjet pjesëmarrjes në zgjedhje dhe përfaqësimit të popullit në organet e zgjedhura të pushtetit. Partitë politike në sistemin e zgjedhjeve e veçanërisht në procesin zgjedhor, që nga fushata parazgjedhore, paraqitja e kandidatëve, formimi i trupave zgjedhore, ndjekja e zgjedhjeve e deri te ndarja e mandateve, paraqiten si një faktor përcaktues shumë i rëndësishëm. Prandaj, demokracia përfaqësuese, ashtu edhe sistemi i zgjedhjeve nuk mund të paramendohen pa ekzistencën dhe funksionimin e partive politike. Ky pozicion i veçantë që partitë politike kanë në raport me zgjedhjet, përcakton njëkohësisht dhe interesin e tyre për të pasur një legjislacion dhe rregulla sa më të qarta e të drejta (</w:t>
      </w:r>
      <w:r w:rsidRPr="00037FB1">
        <w:rPr>
          <w:rFonts w:ascii="Times New Roman" w:hAnsi="Times New Roman"/>
          <w:i/>
          <w:sz w:val="24"/>
          <w:szCs w:val="24"/>
          <w:lang w:val="sq-AL"/>
        </w:rPr>
        <w:t xml:space="preserve">shih </w:t>
      </w:r>
      <w:r w:rsidRPr="00037FB1">
        <w:rPr>
          <w:rFonts w:ascii="Times New Roman" w:hAnsi="Times New Roman"/>
          <w:sz w:val="24"/>
          <w:szCs w:val="24"/>
          <w:lang w:val="sq-AL"/>
        </w:rPr>
        <w:t>v</w:t>
      </w:r>
      <w:r w:rsidRPr="00037FB1">
        <w:rPr>
          <w:rFonts w:ascii="Times New Roman" w:hAnsi="Times New Roman"/>
          <w:i/>
          <w:iCs/>
          <w:sz w:val="24"/>
          <w:szCs w:val="24"/>
          <w:lang w:val="sq-AL"/>
        </w:rPr>
        <w:t>endimin nr.1, datë 07.01.2005 të Gjykatës Kushtetuese</w:t>
      </w:r>
      <w:r w:rsidRPr="00037FB1">
        <w:rPr>
          <w:rFonts w:ascii="Times New Roman" w:hAnsi="Times New Roman"/>
          <w:sz w:val="24"/>
          <w:szCs w:val="24"/>
          <w:lang w:val="sq-AL"/>
        </w:rPr>
        <w:t xml:space="preserve">). </w:t>
      </w:r>
    </w:p>
    <w:p w:rsidR="007B623F" w:rsidRPr="00037FB1" w:rsidRDefault="007B623F" w:rsidP="0037360A">
      <w:pPr>
        <w:pStyle w:val="ListParagraph"/>
        <w:numPr>
          <w:ilvl w:val="0"/>
          <w:numId w:val="21"/>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Në rastin në shqyrtim kërkesa është paraqitur nga Partia Republikane</w:t>
      </w:r>
      <w:r w:rsidR="00A86279" w:rsidRPr="00037FB1">
        <w:rPr>
          <w:rFonts w:ascii="Times New Roman" w:hAnsi="Times New Roman"/>
          <w:sz w:val="24"/>
          <w:szCs w:val="24"/>
          <w:lang w:val="sq-AL"/>
        </w:rPr>
        <w:t xml:space="preserve"> Shqiptare</w:t>
      </w:r>
      <w:r w:rsidRPr="00037FB1">
        <w:rPr>
          <w:rFonts w:ascii="Times New Roman" w:hAnsi="Times New Roman"/>
          <w:sz w:val="24"/>
          <w:szCs w:val="24"/>
          <w:lang w:val="sq-AL"/>
        </w:rPr>
        <w:t>, e cila është një person juridik</w:t>
      </w:r>
      <w:r w:rsidR="00A86279" w:rsidRPr="00037FB1">
        <w:rPr>
          <w:rFonts w:ascii="Times New Roman" w:hAnsi="Times New Roman"/>
          <w:sz w:val="24"/>
          <w:szCs w:val="24"/>
          <w:lang w:val="sq-AL"/>
        </w:rPr>
        <w:t>,</w:t>
      </w:r>
      <w:r w:rsidRPr="00037FB1">
        <w:rPr>
          <w:rFonts w:ascii="Times New Roman" w:hAnsi="Times New Roman"/>
          <w:sz w:val="24"/>
          <w:szCs w:val="24"/>
          <w:lang w:val="sq-AL"/>
        </w:rPr>
        <w:t xml:space="preserve"> i regjistruar si parti politike që në vitin 1991. Sikurse u përmend më lart, ajo ka pretenduar se urdhri nr. 633/2020 cenon në mënyrë disproporcionale rolin kushtetues të saj në formimin e vullnetit politik të zgjedhësve, lirinë e tubimit dhe atë të shprehjes. Për pasojë, Gjykata vlerëson se kërkuesja legjitimohet </w:t>
      </w:r>
      <w:r w:rsidRPr="00037FB1">
        <w:rPr>
          <w:rFonts w:ascii="Times New Roman" w:hAnsi="Times New Roman"/>
          <w:i/>
          <w:iCs/>
          <w:sz w:val="24"/>
          <w:szCs w:val="24"/>
          <w:lang w:val="sq-AL"/>
        </w:rPr>
        <w:t xml:space="preserve">ratione personae </w:t>
      </w:r>
      <w:r w:rsidRPr="00037FB1">
        <w:rPr>
          <w:rFonts w:ascii="Times New Roman" w:hAnsi="Times New Roman"/>
          <w:sz w:val="24"/>
          <w:szCs w:val="24"/>
          <w:lang w:val="sq-AL"/>
        </w:rPr>
        <w:t xml:space="preserve">t’i drejtohet Gjykatës Kushtetuese.  </w:t>
      </w:r>
    </w:p>
    <w:p w:rsidR="007B623F" w:rsidRPr="00037FB1" w:rsidRDefault="007B623F" w:rsidP="0037360A">
      <w:pPr>
        <w:pStyle w:val="ListParagraph"/>
        <w:numPr>
          <w:ilvl w:val="0"/>
          <w:numId w:val="21"/>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 xml:space="preserve">Në </w:t>
      </w:r>
      <w:r w:rsidRPr="00037FB1">
        <w:rPr>
          <w:rFonts w:ascii="Times New Roman" w:hAnsi="Times New Roman"/>
          <w:sz w:val="24"/>
          <w:szCs w:val="24"/>
          <w:lang w:val="sq-AL" w:eastAsia="fr-FR"/>
        </w:rPr>
        <w:t xml:space="preserve">lidhje me legjitimimin </w:t>
      </w:r>
      <w:r w:rsidRPr="00037FB1">
        <w:rPr>
          <w:rFonts w:ascii="Times New Roman" w:hAnsi="Times New Roman"/>
          <w:i/>
          <w:iCs/>
          <w:sz w:val="24"/>
          <w:szCs w:val="24"/>
          <w:lang w:val="sq-AL" w:eastAsia="fr-FR"/>
        </w:rPr>
        <w:t xml:space="preserve">ratione temporis </w:t>
      </w:r>
      <w:r w:rsidRPr="00037FB1">
        <w:rPr>
          <w:rFonts w:ascii="Times New Roman" w:hAnsi="Times New Roman"/>
          <w:sz w:val="24"/>
          <w:szCs w:val="24"/>
          <w:lang w:val="sq-AL" w:eastAsia="fr-FR"/>
        </w:rPr>
        <w:t>të kërkueses</w:t>
      </w:r>
      <w:r w:rsidRPr="00037FB1">
        <w:rPr>
          <w:rFonts w:ascii="Times New Roman" w:hAnsi="Times New Roman"/>
          <w:i/>
          <w:iCs/>
          <w:sz w:val="24"/>
          <w:szCs w:val="24"/>
          <w:lang w:val="sq-AL" w:eastAsia="fr-FR"/>
        </w:rPr>
        <w:t xml:space="preserve">, </w:t>
      </w:r>
      <w:r w:rsidRPr="00037FB1">
        <w:rPr>
          <w:rFonts w:ascii="Times New Roman" w:hAnsi="Times New Roman"/>
          <w:sz w:val="24"/>
          <w:szCs w:val="24"/>
          <w:lang w:val="sq-AL"/>
        </w:rPr>
        <w:t>sipas nenit 50, pika 1, të ligjit nr. 8577/2000, kërkesa për pajtueshmërinë e ligjit ose të akteve të tjera me Kushtetutën duhet të paraqitet brenda 2 vjetëve nga hyrja në fuqi e aktit.</w:t>
      </w:r>
      <w:r w:rsidR="00A86279" w:rsidRPr="00037FB1">
        <w:rPr>
          <w:rFonts w:ascii="Times New Roman" w:hAnsi="Times New Roman"/>
          <w:sz w:val="24"/>
          <w:szCs w:val="24"/>
          <w:lang w:val="sq-AL"/>
        </w:rPr>
        <w:t xml:space="preserve"> Rezulton se urdhri nr.633/2020</w:t>
      </w:r>
      <w:r w:rsidRPr="00037FB1">
        <w:rPr>
          <w:rFonts w:ascii="Times New Roman" w:hAnsi="Times New Roman"/>
          <w:sz w:val="24"/>
          <w:szCs w:val="24"/>
          <w:lang w:val="sq-AL"/>
        </w:rPr>
        <w:t xml:space="preserve"> është botuar në Fletoren Zyrtare nr.</w:t>
      </w:r>
      <w:r w:rsidR="00A86279" w:rsidRPr="00037FB1">
        <w:rPr>
          <w:rFonts w:ascii="Times New Roman" w:hAnsi="Times New Roman"/>
          <w:sz w:val="24"/>
          <w:szCs w:val="24"/>
          <w:lang w:val="sq-AL"/>
        </w:rPr>
        <w:t xml:space="preserve"> </w:t>
      </w:r>
      <w:r w:rsidRPr="00037FB1">
        <w:rPr>
          <w:rFonts w:ascii="Times New Roman" w:hAnsi="Times New Roman"/>
          <w:sz w:val="24"/>
          <w:szCs w:val="24"/>
          <w:lang w:val="sq-AL"/>
        </w:rPr>
        <w:t xml:space="preserve">210, datë 02.12.2020 dhe kërkesa në Gjykatën Kushtetuese është paraqitur në datën 04.12.2020, pra menjëherë pas hyrjes në fuqi të tij, që do të thotë brenda afatit ligjor 2-vjeçar. </w:t>
      </w:r>
    </w:p>
    <w:p w:rsidR="007B623F" w:rsidRPr="00037FB1" w:rsidRDefault="007B623F" w:rsidP="0037360A">
      <w:pPr>
        <w:pStyle w:val="ListParagraph"/>
        <w:numPr>
          <w:ilvl w:val="0"/>
          <w:numId w:val="21"/>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 xml:space="preserve">Për sa </w:t>
      </w:r>
      <w:r w:rsidR="00A86279" w:rsidRPr="00037FB1">
        <w:rPr>
          <w:rFonts w:ascii="Times New Roman" w:hAnsi="Times New Roman"/>
          <w:sz w:val="24"/>
          <w:szCs w:val="24"/>
          <w:lang w:val="sq-AL"/>
        </w:rPr>
        <w:t>u</w:t>
      </w:r>
      <w:r w:rsidRPr="00037FB1">
        <w:rPr>
          <w:rFonts w:ascii="Times New Roman" w:hAnsi="Times New Roman"/>
          <w:sz w:val="24"/>
          <w:szCs w:val="24"/>
          <w:lang w:val="sq-AL"/>
        </w:rPr>
        <w:t xml:space="preserve"> përket pretendimeve</w:t>
      </w:r>
      <w:r w:rsidR="0029010F" w:rsidRPr="00037FB1">
        <w:rPr>
          <w:rFonts w:ascii="Times New Roman" w:hAnsi="Times New Roman"/>
          <w:sz w:val="24"/>
          <w:szCs w:val="24"/>
          <w:lang w:val="sq-AL"/>
        </w:rPr>
        <w:t xml:space="preserve"> </w:t>
      </w:r>
      <w:r w:rsidRPr="00037FB1">
        <w:rPr>
          <w:rFonts w:ascii="Times New Roman" w:hAnsi="Times New Roman"/>
          <w:sz w:val="24"/>
          <w:szCs w:val="24"/>
          <w:lang w:val="sq-AL"/>
        </w:rPr>
        <w:t xml:space="preserve">të kërkueses në aspektin </w:t>
      </w:r>
      <w:r w:rsidRPr="00037FB1">
        <w:rPr>
          <w:rFonts w:ascii="Times New Roman" w:hAnsi="Times New Roman"/>
          <w:i/>
          <w:sz w:val="24"/>
          <w:szCs w:val="24"/>
          <w:lang w:val="sq-AL"/>
        </w:rPr>
        <w:t>ratione materiae</w:t>
      </w:r>
      <w:r w:rsidRPr="00037FB1">
        <w:rPr>
          <w:rFonts w:ascii="Times New Roman" w:hAnsi="Times New Roman"/>
          <w:sz w:val="24"/>
          <w:szCs w:val="24"/>
          <w:lang w:val="sq-AL"/>
        </w:rPr>
        <w:t xml:space="preserve">, ato </w:t>
      </w:r>
      <w:r w:rsidRPr="00037FB1">
        <w:rPr>
          <w:rFonts w:ascii="Times New Roman" w:hAnsi="Times New Roman"/>
          <w:i/>
          <w:iCs/>
          <w:sz w:val="24"/>
          <w:szCs w:val="24"/>
          <w:lang w:val="sq-AL"/>
        </w:rPr>
        <w:t>prima facie</w:t>
      </w:r>
      <w:r w:rsidRPr="00037FB1">
        <w:rPr>
          <w:rFonts w:ascii="Times New Roman" w:hAnsi="Times New Roman"/>
          <w:sz w:val="24"/>
          <w:szCs w:val="24"/>
          <w:lang w:val="sq-AL"/>
        </w:rPr>
        <w:t xml:space="preserve"> hyjnë në juridiksionin e Gjykatës </w:t>
      </w:r>
      <w:r w:rsidR="00A86279" w:rsidRPr="00037FB1">
        <w:rPr>
          <w:rFonts w:ascii="Times New Roman" w:hAnsi="Times New Roman"/>
          <w:sz w:val="24"/>
          <w:szCs w:val="24"/>
          <w:lang w:val="sq-AL"/>
        </w:rPr>
        <w:t>dh</w:t>
      </w:r>
      <w:r w:rsidRPr="00037FB1">
        <w:rPr>
          <w:rFonts w:ascii="Times New Roman" w:hAnsi="Times New Roman"/>
          <w:sz w:val="24"/>
          <w:szCs w:val="24"/>
          <w:lang w:val="sq-AL"/>
        </w:rPr>
        <w:t>e do të vlerësohen në vijim</w:t>
      </w:r>
      <w:r w:rsidR="00A86279" w:rsidRPr="00037FB1">
        <w:rPr>
          <w:rFonts w:ascii="Times New Roman" w:hAnsi="Times New Roman"/>
          <w:sz w:val="24"/>
          <w:szCs w:val="24"/>
          <w:lang w:val="sq-AL"/>
        </w:rPr>
        <w:t xml:space="preserve"> prej saj</w:t>
      </w:r>
      <w:r w:rsidRPr="00037FB1">
        <w:rPr>
          <w:rFonts w:ascii="Times New Roman" w:hAnsi="Times New Roman"/>
          <w:sz w:val="24"/>
          <w:szCs w:val="24"/>
          <w:lang w:val="sq-AL"/>
        </w:rPr>
        <w:t xml:space="preserve">. </w:t>
      </w:r>
    </w:p>
    <w:p w:rsidR="007B623F" w:rsidRPr="00037FB1" w:rsidRDefault="007B623F" w:rsidP="0037360A">
      <w:pPr>
        <w:pStyle w:val="ListParagraph"/>
        <w:spacing w:after="0" w:line="360" w:lineRule="auto"/>
        <w:ind w:left="270"/>
        <w:jc w:val="both"/>
        <w:rPr>
          <w:rFonts w:ascii="Times New Roman" w:hAnsi="Times New Roman"/>
          <w:sz w:val="24"/>
          <w:szCs w:val="24"/>
          <w:lang w:val="sq-AL"/>
        </w:rPr>
      </w:pPr>
    </w:p>
    <w:p w:rsidR="00FC0A85" w:rsidRPr="00037FB1" w:rsidRDefault="00A86279" w:rsidP="0037360A">
      <w:pPr>
        <w:pStyle w:val="ListParagraph"/>
        <w:tabs>
          <w:tab w:val="left" w:pos="1080"/>
        </w:tabs>
        <w:spacing w:after="0" w:line="360" w:lineRule="auto"/>
        <w:jc w:val="both"/>
        <w:rPr>
          <w:rFonts w:ascii="Times New Roman" w:hAnsi="Times New Roman"/>
          <w:i/>
          <w:sz w:val="24"/>
          <w:szCs w:val="24"/>
          <w:lang w:val="sq-AL"/>
        </w:rPr>
      </w:pPr>
      <w:r w:rsidRPr="00037FB1">
        <w:rPr>
          <w:rFonts w:ascii="Times New Roman" w:eastAsia="Times New Roman" w:hAnsi="Times New Roman"/>
          <w:i/>
          <w:sz w:val="24"/>
          <w:szCs w:val="24"/>
          <w:lang w:val="sq-AL"/>
        </w:rPr>
        <w:t xml:space="preserve">C. </w:t>
      </w:r>
      <w:r w:rsidR="00367EB7" w:rsidRPr="00037FB1">
        <w:rPr>
          <w:rFonts w:ascii="Times New Roman" w:eastAsia="Times New Roman" w:hAnsi="Times New Roman"/>
          <w:i/>
          <w:sz w:val="24"/>
          <w:szCs w:val="24"/>
          <w:lang w:val="sq-AL"/>
        </w:rPr>
        <w:t xml:space="preserve">Për </w:t>
      </w:r>
      <w:r w:rsidR="00FC0A85" w:rsidRPr="00037FB1">
        <w:rPr>
          <w:rFonts w:ascii="Times New Roman" w:eastAsia="Times New Roman" w:hAnsi="Times New Roman"/>
          <w:i/>
          <w:sz w:val="24"/>
          <w:szCs w:val="24"/>
          <w:lang w:val="sq-AL"/>
        </w:rPr>
        <w:t>themelin</w:t>
      </w:r>
      <w:r w:rsidR="00685EC5" w:rsidRPr="00037FB1">
        <w:rPr>
          <w:rFonts w:ascii="Times New Roman" w:eastAsia="Times New Roman" w:hAnsi="Times New Roman"/>
          <w:i/>
          <w:sz w:val="24"/>
          <w:szCs w:val="24"/>
          <w:lang w:val="sq-AL"/>
        </w:rPr>
        <w:t xml:space="preserve"> e </w:t>
      </w:r>
      <w:r w:rsidR="000F43E1" w:rsidRPr="00037FB1">
        <w:rPr>
          <w:rFonts w:ascii="Times New Roman" w:eastAsia="Times New Roman" w:hAnsi="Times New Roman"/>
          <w:i/>
          <w:sz w:val="24"/>
          <w:szCs w:val="24"/>
          <w:lang w:val="sq-AL"/>
        </w:rPr>
        <w:t xml:space="preserve">pretendimeve </w:t>
      </w:r>
    </w:p>
    <w:p w:rsidR="00367EB7" w:rsidRPr="00037FB1" w:rsidRDefault="00FC0A85" w:rsidP="0037360A">
      <w:pPr>
        <w:tabs>
          <w:tab w:val="left" w:pos="1080"/>
        </w:tabs>
        <w:spacing w:after="0" w:line="360" w:lineRule="auto"/>
        <w:ind w:firstLine="720"/>
        <w:jc w:val="both"/>
        <w:rPr>
          <w:rFonts w:ascii="Times New Roman" w:hAnsi="Times New Roman"/>
          <w:i/>
          <w:sz w:val="24"/>
          <w:szCs w:val="24"/>
          <w:lang w:val="sq-AL"/>
        </w:rPr>
      </w:pPr>
      <w:r w:rsidRPr="00037FB1">
        <w:rPr>
          <w:rFonts w:ascii="Times New Roman" w:eastAsia="Times New Roman" w:hAnsi="Times New Roman"/>
          <w:i/>
          <w:sz w:val="24"/>
          <w:szCs w:val="24"/>
          <w:lang w:val="sq-AL"/>
        </w:rPr>
        <w:t xml:space="preserve">C.1. Për </w:t>
      </w:r>
      <w:r w:rsidR="003D1CDC" w:rsidRPr="00037FB1">
        <w:rPr>
          <w:rFonts w:ascii="Times New Roman" w:eastAsia="Times New Roman" w:hAnsi="Times New Roman"/>
          <w:i/>
          <w:sz w:val="24"/>
          <w:szCs w:val="24"/>
          <w:lang w:val="sq-AL"/>
        </w:rPr>
        <w:t>c</w:t>
      </w:r>
      <w:r w:rsidR="00367EB7" w:rsidRPr="00037FB1">
        <w:rPr>
          <w:rFonts w:ascii="Times New Roman" w:hAnsi="Times New Roman"/>
          <w:i/>
          <w:sz w:val="24"/>
          <w:szCs w:val="24"/>
          <w:lang w:val="sq-AL"/>
        </w:rPr>
        <w:t>enimi</w:t>
      </w:r>
      <w:r w:rsidR="00B55954" w:rsidRPr="00037FB1">
        <w:rPr>
          <w:rFonts w:ascii="Times New Roman" w:hAnsi="Times New Roman"/>
          <w:i/>
          <w:sz w:val="24"/>
          <w:szCs w:val="24"/>
          <w:lang w:val="sq-AL"/>
        </w:rPr>
        <w:t xml:space="preserve">n e </w:t>
      </w:r>
      <w:r w:rsidR="00173FDB" w:rsidRPr="00037FB1">
        <w:rPr>
          <w:rFonts w:ascii="Times New Roman" w:hAnsi="Times New Roman"/>
          <w:i/>
          <w:sz w:val="24"/>
          <w:szCs w:val="24"/>
          <w:lang w:val="sq-AL"/>
        </w:rPr>
        <w:t>veprimtarisë së partisë politike (neni 9 i</w:t>
      </w:r>
      <w:r w:rsidR="00367EB7" w:rsidRPr="00037FB1">
        <w:rPr>
          <w:rFonts w:ascii="Times New Roman" w:hAnsi="Times New Roman"/>
          <w:i/>
          <w:sz w:val="24"/>
          <w:szCs w:val="24"/>
          <w:lang w:val="sq-AL"/>
        </w:rPr>
        <w:t xml:space="preserve"> Kushtetutës</w:t>
      </w:r>
      <w:r w:rsidR="00173FDB" w:rsidRPr="00037FB1">
        <w:rPr>
          <w:rFonts w:ascii="Times New Roman" w:hAnsi="Times New Roman"/>
          <w:i/>
          <w:sz w:val="24"/>
          <w:szCs w:val="24"/>
          <w:lang w:val="sq-AL"/>
        </w:rPr>
        <w:t>)</w:t>
      </w:r>
      <w:r w:rsidR="00367EB7" w:rsidRPr="00037FB1">
        <w:rPr>
          <w:rFonts w:ascii="Times New Roman" w:hAnsi="Times New Roman"/>
          <w:i/>
          <w:sz w:val="24"/>
          <w:szCs w:val="24"/>
          <w:lang w:val="sq-AL"/>
        </w:rPr>
        <w:t xml:space="preserve"> në lidhje me parimin e </w:t>
      </w:r>
      <w:r w:rsidR="00173FDB" w:rsidRPr="00037FB1">
        <w:rPr>
          <w:rFonts w:ascii="Times New Roman" w:hAnsi="Times New Roman"/>
          <w:i/>
          <w:sz w:val="24"/>
          <w:szCs w:val="24"/>
          <w:lang w:val="sq-AL"/>
        </w:rPr>
        <w:t>barazisë pë</w:t>
      </w:r>
      <w:r w:rsidR="00685EC5" w:rsidRPr="00037FB1">
        <w:rPr>
          <w:rFonts w:ascii="Times New Roman" w:hAnsi="Times New Roman"/>
          <w:i/>
          <w:sz w:val="24"/>
          <w:szCs w:val="24"/>
          <w:lang w:val="sq-AL"/>
        </w:rPr>
        <w:t>rpara ligji</w:t>
      </w:r>
      <w:r w:rsidR="00173FDB" w:rsidRPr="00037FB1">
        <w:rPr>
          <w:rFonts w:ascii="Times New Roman" w:hAnsi="Times New Roman"/>
          <w:i/>
          <w:sz w:val="24"/>
          <w:szCs w:val="24"/>
          <w:lang w:val="sq-AL"/>
        </w:rPr>
        <w:t xml:space="preserve">t </w:t>
      </w:r>
      <w:r w:rsidR="004E4953" w:rsidRPr="00037FB1">
        <w:rPr>
          <w:rFonts w:ascii="Times New Roman" w:hAnsi="Times New Roman"/>
          <w:i/>
          <w:sz w:val="24"/>
          <w:szCs w:val="24"/>
          <w:lang w:val="sq-AL"/>
        </w:rPr>
        <w:t>(neni 18 i Kushtetutës)</w:t>
      </w:r>
      <w:r w:rsidR="00367EB7" w:rsidRPr="00037FB1">
        <w:rPr>
          <w:rFonts w:ascii="Times New Roman" w:hAnsi="Times New Roman"/>
          <w:i/>
          <w:sz w:val="24"/>
          <w:szCs w:val="24"/>
          <w:lang w:val="sq-AL"/>
        </w:rPr>
        <w:t xml:space="preserve"> </w:t>
      </w:r>
    </w:p>
    <w:p w:rsidR="00367EB7"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eastAsia="Times New Roman" w:hAnsi="Times New Roman"/>
          <w:sz w:val="24"/>
          <w:szCs w:val="24"/>
          <w:lang w:val="sq-AL"/>
        </w:rPr>
        <w:t>17</w:t>
      </w:r>
      <w:r w:rsidRPr="00037FB1">
        <w:rPr>
          <w:rFonts w:ascii="Times New Roman" w:eastAsia="Times New Roman" w:hAnsi="Times New Roman"/>
          <w:i/>
          <w:sz w:val="24"/>
          <w:szCs w:val="24"/>
          <w:lang w:val="sq-AL"/>
        </w:rPr>
        <w:t xml:space="preserve">. </w:t>
      </w:r>
      <w:r w:rsidR="007A4681" w:rsidRPr="00037FB1">
        <w:rPr>
          <w:rFonts w:ascii="Times New Roman" w:eastAsia="Times New Roman" w:hAnsi="Times New Roman"/>
          <w:i/>
          <w:sz w:val="24"/>
          <w:szCs w:val="24"/>
          <w:lang w:val="sq-AL"/>
        </w:rPr>
        <w:t xml:space="preserve"> </w:t>
      </w:r>
      <w:r w:rsidR="00277985" w:rsidRPr="00037FB1">
        <w:rPr>
          <w:rFonts w:ascii="Times New Roman" w:hAnsi="Times New Roman"/>
          <w:sz w:val="24"/>
          <w:szCs w:val="24"/>
          <w:lang w:val="sq-AL"/>
        </w:rPr>
        <w:t xml:space="preserve">Kërkuesja </w:t>
      </w:r>
      <w:r w:rsidR="00A86279" w:rsidRPr="00037FB1">
        <w:rPr>
          <w:rFonts w:ascii="Times New Roman" w:hAnsi="Times New Roman"/>
          <w:sz w:val="24"/>
          <w:szCs w:val="24"/>
          <w:lang w:val="sq-AL"/>
        </w:rPr>
        <w:t xml:space="preserve">ka </w:t>
      </w:r>
      <w:r w:rsidR="00277985" w:rsidRPr="00037FB1">
        <w:rPr>
          <w:rFonts w:ascii="Times New Roman" w:hAnsi="Times New Roman"/>
          <w:sz w:val="24"/>
          <w:szCs w:val="24"/>
          <w:lang w:val="sq-AL"/>
        </w:rPr>
        <w:t>pretend</w:t>
      </w:r>
      <w:r w:rsidR="00A86279" w:rsidRPr="00037FB1">
        <w:rPr>
          <w:rFonts w:ascii="Times New Roman" w:hAnsi="Times New Roman"/>
          <w:sz w:val="24"/>
          <w:szCs w:val="24"/>
          <w:lang w:val="sq-AL"/>
        </w:rPr>
        <w:t xml:space="preserve">uar </w:t>
      </w:r>
      <w:r w:rsidR="00367EB7" w:rsidRPr="00037FB1">
        <w:rPr>
          <w:rFonts w:ascii="Times New Roman" w:hAnsi="Times New Roman"/>
          <w:sz w:val="24"/>
          <w:szCs w:val="24"/>
          <w:lang w:val="sq-AL"/>
        </w:rPr>
        <w:t>se urdhri nr. 633/2020</w:t>
      </w:r>
      <w:r w:rsidR="00024F27" w:rsidRPr="00037FB1">
        <w:rPr>
          <w:rFonts w:ascii="Times New Roman" w:hAnsi="Times New Roman"/>
          <w:sz w:val="24"/>
          <w:szCs w:val="24"/>
          <w:lang w:val="sq-AL"/>
        </w:rPr>
        <w:t>, në shkelje të neneve 9 dhe 18 të Kushtetutës,</w:t>
      </w:r>
      <w:r w:rsidR="00367EB7" w:rsidRPr="00037FB1">
        <w:rPr>
          <w:rFonts w:ascii="Times New Roman" w:hAnsi="Times New Roman"/>
          <w:sz w:val="24"/>
          <w:szCs w:val="24"/>
          <w:lang w:val="sq-AL"/>
        </w:rPr>
        <w:t xml:space="preserve"> ka cenuar në mënyrë disproporcionale rolin kushtetues të </w:t>
      </w:r>
      <w:r w:rsidR="00024F27" w:rsidRPr="00037FB1">
        <w:rPr>
          <w:rFonts w:ascii="Times New Roman" w:hAnsi="Times New Roman"/>
          <w:sz w:val="24"/>
          <w:szCs w:val="24"/>
          <w:lang w:val="sq-AL"/>
        </w:rPr>
        <w:t>saj</w:t>
      </w:r>
      <w:r w:rsidR="00367EB7" w:rsidRPr="00037FB1">
        <w:rPr>
          <w:rFonts w:ascii="Times New Roman" w:hAnsi="Times New Roman"/>
          <w:sz w:val="24"/>
          <w:szCs w:val="24"/>
          <w:lang w:val="sq-AL"/>
        </w:rPr>
        <w:t xml:space="preserve"> në formimin e v</w:t>
      </w:r>
      <w:r w:rsidR="00024F27" w:rsidRPr="00037FB1">
        <w:rPr>
          <w:rFonts w:ascii="Times New Roman" w:hAnsi="Times New Roman"/>
          <w:sz w:val="24"/>
          <w:szCs w:val="24"/>
          <w:lang w:val="sq-AL"/>
        </w:rPr>
        <w:t xml:space="preserve">ullnetit politik të zgjedhësve. </w:t>
      </w:r>
      <w:r w:rsidR="00995D09" w:rsidRPr="00037FB1">
        <w:rPr>
          <w:rFonts w:ascii="Times New Roman" w:hAnsi="Times New Roman"/>
          <w:sz w:val="24"/>
          <w:szCs w:val="24"/>
          <w:lang w:val="sq-AL"/>
        </w:rPr>
        <w:t>Ai ndalon t</w:t>
      </w:r>
      <w:r w:rsidR="00F5002D" w:rsidRPr="00037FB1">
        <w:rPr>
          <w:rFonts w:ascii="Times New Roman" w:hAnsi="Times New Roman"/>
          <w:sz w:val="24"/>
          <w:szCs w:val="24"/>
          <w:lang w:val="sq-AL"/>
        </w:rPr>
        <w:t>ë</w:t>
      </w:r>
      <w:r w:rsidR="00995D09" w:rsidRPr="00037FB1">
        <w:rPr>
          <w:rFonts w:ascii="Times New Roman" w:hAnsi="Times New Roman"/>
          <w:sz w:val="24"/>
          <w:szCs w:val="24"/>
          <w:lang w:val="sq-AL"/>
        </w:rPr>
        <w:t>r</w:t>
      </w:r>
      <w:r w:rsidR="00F5002D" w:rsidRPr="00037FB1">
        <w:rPr>
          <w:rFonts w:ascii="Times New Roman" w:hAnsi="Times New Roman"/>
          <w:sz w:val="24"/>
          <w:szCs w:val="24"/>
          <w:lang w:val="sq-AL"/>
        </w:rPr>
        <w:t>ë</w:t>
      </w:r>
      <w:r w:rsidR="00995D09" w:rsidRPr="00037FB1">
        <w:rPr>
          <w:rFonts w:ascii="Times New Roman" w:hAnsi="Times New Roman"/>
          <w:sz w:val="24"/>
          <w:szCs w:val="24"/>
          <w:lang w:val="sq-AL"/>
        </w:rPr>
        <w:t>sisht zhvillimin e mbledhjeve partiak</w:t>
      </w:r>
      <w:r w:rsidR="00A86279" w:rsidRPr="00037FB1">
        <w:rPr>
          <w:rFonts w:ascii="Times New Roman" w:hAnsi="Times New Roman"/>
          <w:sz w:val="24"/>
          <w:szCs w:val="24"/>
          <w:lang w:val="sq-AL"/>
        </w:rPr>
        <w:t xml:space="preserve">e, pa asnjë dallim, specifikim </w:t>
      </w:r>
      <w:r w:rsidR="00995D09" w:rsidRPr="00037FB1">
        <w:rPr>
          <w:rFonts w:ascii="Times New Roman" w:hAnsi="Times New Roman"/>
          <w:sz w:val="24"/>
          <w:szCs w:val="24"/>
          <w:lang w:val="sq-AL"/>
        </w:rPr>
        <w:t>o</w:t>
      </w:r>
      <w:r w:rsidR="00A86279" w:rsidRPr="00037FB1">
        <w:rPr>
          <w:rFonts w:ascii="Times New Roman" w:hAnsi="Times New Roman"/>
          <w:sz w:val="24"/>
          <w:szCs w:val="24"/>
          <w:lang w:val="sq-AL"/>
        </w:rPr>
        <w:t>se</w:t>
      </w:r>
      <w:r w:rsidR="00995D09" w:rsidRPr="00037FB1">
        <w:rPr>
          <w:rFonts w:ascii="Times New Roman" w:hAnsi="Times New Roman"/>
          <w:sz w:val="24"/>
          <w:szCs w:val="24"/>
          <w:lang w:val="sq-AL"/>
        </w:rPr>
        <w:t xml:space="preserve"> saktësim, q</w:t>
      </w:r>
      <w:r w:rsidR="00F5002D" w:rsidRPr="00037FB1">
        <w:rPr>
          <w:rFonts w:ascii="Times New Roman" w:hAnsi="Times New Roman"/>
          <w:sz w:val="24"/>
          <w:szCs w:val="24"/>
          <w:lang w:val="sq-AL"/>
        </w:rPr>
        <w:t>ë</w:t>
      </w:r>
      <w:r w:rsidR="00995D09" w:rsidRPr="00037FB1">
        <w:rPr>
          <w:rFonts w:ascii="Times New Roman" w:hAnsi="Times New Roman"/>
          <w:sz w:val="24"/>
          <w:szCs w:val="24"/>
          <w:lang w:val="sq-AL"/>
        </w:rPr>
        <w:t xml:space="preserve"> passjell ndalim efektivisht t</w:t>
      </w:r>
      <w:r w:rsidR="00F5002D" w:rsidRPr="00037FB1">
        <w:rPr>
          <w:rFonts w:ascii="Times New Roman" w:hAnsi="Times New Roman"/>
          <w:sz w:val="24"/>
          <w:szCs w:val="24"/>
          <w:lang w:val="sq-AL"/>
        </w:rPr>
        <w:t>ë</w:t>
      </w:r>
      <w:r w:rsidR="00995D09" w:rsidRPr="00037FB1">
        <w:rPr>
          <w:rFonts w:ascii="Times New Roman" w:hAnsi="Times New Roman"/>
          <w:sz w:val="24"/>
          <w:szCs w:val="24"/>
          <w:lang w:val="sq-AL"/>
        </w:rPr>
        <w:t xml:space="preserve"> aktivitetit politik të partive opozitare në tërësi dhe të kërkueses në veçanti. </w:t>
      </w:r>
      <w:r w:rsidR="00367EB7" w:rsidRPr="00037FB1">
        <w:rPr>
          <w:rFonts w:ascii="Times New Roman" w:hAnsi="Times New Roman"/>
          <w:sz w:val="24"/>
          <w:szCs w:val="24"/>
          <w:lang w:val="sq-AL"/>
        </w:rPr>
        <w:t xml:space="preserve">Duke ndaluar aktivitetin </w:t>
      </w:r>
      <w:r w:rsidR="00995D09" w:rsidRPr="00037FB1">
        <w:rPr>
          <w:rFonts w:ascii="Times New Roman" w:hAnsi="Times New Roman"/>
          <w:sz w:val="24"/>
          <w:szCs w:val="24"/>
          <w:lang w:val="sq-AL"/>
        </w:rPr>
        <w:t>politik t</w:t>
      </w:r>
      <w:r w:rsidR="00F5002D" w:rsidRPr="00037FB1">
        <w:rPr>
          <w:rFonts w:ascii="Times New Roman" w:hAnsi="Times New Roman"/>
          <w:sz w:val="24"/>
          <w:szCs w:val="24"/>
          <w:lang w:val="sq-AL"/>
        </w:rPr>
        <w:t>ë</w:t>
      </w:r>
      <w:r w:rsidR="00995D09"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 xml:space="preserve">saj dhe </w:t>
      </w:r>
      <w:r w:rsidR="00A86279" w:rsidRPr="00037FB1">
        <w:rPr>
          <w:rFonts w:ascii="Times New Roman" w:hAnsi="Times New Roman"/>
          <w:sz w:val="24"/>
          <w:szCs w:val="24"/>
          <w:lang w:val="sq-AL"/>
        </w:rPr>
        <w:t xml:space="preserve">të </w:t>
      </w:r>
      <w:r w:rsidR="00367EB7" w:rsidRPr="00037FB1">
        <w:rPr>
          <w:rFonts w:ascii="Times New Roman" w:hAnsi="Times New Roman"/>
          <w:sz w:val="24"/>
          <w:szCs w:val="24"/>
          <w:lang w:val="sq-AL"/>
        </w:rPr>
        <w:t xml:space="preserve">partive të tjera opozitare, akti, objekt shqyrtimi, ka kufizuar shanset e barabarta që duhet të kenë partitë politike në konkurrimin zgjedhor. Si barazia e votës, ashtu </w:t>
      </w:r>
      <w:r w:rsidR="00A86279" w:rsidRPr="00037FB1">
        <w:rPr>
          <w:rFonts w:ascii="Times New Roman" w:hAnsi="Times New Roman"/>
          <w:sz w:val="24"/>
          <w:szCs w:val="24"/>
          <w:lang w:val="sq-AL"/>
        </w:rPr>
        <w:t>e</w:t>
      </w:r>
      <w:r w:rsidR="00367EB7" w:rsidRPr="00037FB1">
        <w:rPr>
          <w:rFonts w:ascii="Times New Roman" w:hAnsi="Times New Roman"/>
          <w:sz w:val="24"/>
          <w:szCs w:val="24"/>
          <w:lang w:val="sq-AL"/>
        </w:rPr>
        <w:t>dhe barazia e konkurruesve në zgjedhje janë të domosdoshme për realizimin e një procesi zgjedhor të drejtë. Ky akt krijon një situatë të pabarabartë mes pa</w:t>
      </w:r>
      <w:r w:rsidR="00A86279" w:rsidRPr="00037FB1">
        <w:rPr>
          <w:rFonts w:ascii="Times New Roman" w:hAnsi="Times New Roman"/>
          <w:sz w:val="24"/>
          <w:szCs w:val="24"/>
          <w:lang w:val="sq-AL"/>
        </w:rPr>
        <w:t>rtive politike në fushatën para</w:t>
      </w:r>
      <w:r w:rsidR="00367EB7" w:rsidRPr="00037FB1">
        <w:rPr>
          <w:rFonts w:ascii="Times New Roman" w:hAnsi="Times New Roman"/>
          <w:sz w:val="24"/>
          <w:szCs w:val="24"/>
          <w:lang w:val="sq-AL"/>
        </w:rPr>
        <w:t>zgjedhore dhe zgjedhore,</w:t>
      </w:r>
      <w:r w:rsidR="00024F27" w:rsidRPr="00037FB1">
        <w:rPr>
          <w:rFonts w:ascii="Times New Roman" w:hAnsi="Times New Roman"/>
          <w:sz w:val="24"/>
          <w:szCs w:val="24"/>
          <w:lang w:val="sq-AL"/>
        </w:rPr>
        <w:t xml:space="preserve"> në cenim të nenit 18 të Kushtetutës,</w:t>
      </w:r>
      <w:r w:rsidR="00367EB7" w:rsidRPr="00037FB1">
        <w:rPr>
          <w:rFonts w:ascii="Times New Roman" w:hAnsi="Times New Roman"/>
          <w:sz w:val="24"/>
          <w:szCs w:val="24"/>
          <w:lang w:val="sq-AL"/>
        </w:rPr>
        <w:t xml:space="preserve"> duke sjellë avantazh për Partinë Socialiste</w:t>
      </w:r>
      <w:r w:rsidR="00995D09" w:rsidRPr="00037FB1">
        <w:rPr>
          <w:rFonts w:ascii="Times New Roman" w:hAnsi="Times New Roman"/>
          <w:sz w:val="24"/>
          <w:szCs w:val="24"/>
          <w:lang w:val="sq-AL"/>
        </w:rPr>
        <w:t>,</w:t>
      </w:r>
      <w:r w:rsidR="00367EB7" w:rsidRPr="00037FB1">
        <w:rPr>
          <w:rFonts w:ascii="Times New Roman" w:hAnsi="Times New Roman"/>
          <w:sz w:val="24"/>
          <w:szCs w:val="24"/>
          <w:lang w:val="sq-AL"/>
        </w:rPr>
        <w:t xml:space="preserve"> e cila si parti në pushtet ka më shumë vizibilitet dhe mundësi për të bërë fushatë në kuadër të ushtrimit të funksioneve të rëndësishme publike</w:t>
      </w:r>
      <w:r w:rsidR="00A86279" w:rsidRPr="00037FB1">
        <w:rPr>
          <w:rFonts w:ascii="Times New Roman" w:hAnsi="Times New Roman"/>
          <w:sz w:val="24"/>
          <w:szCs w:val="24"/>
          <w:lang w:val="sq-AL"/>
        </w:rPr>
        <w:t>,</w:t>
      </w:r>
      <w:r w:rsidR="00367EB7" w:rsidRPr="00037FB1">
        <w:rPr>
          <w:rFonts w:ascii="Times New Roman" w:hAnsi="Times New Roman"/>
          <w:sz w:val="24"/>
          <w:szCs w:val="24"/>
          <w:lang w:val="sq-AL"/>
        </w:rPr>
        <w:t xml:space="preserve"> si</w:t>
      </w:r>
      <w:r w:rsidR="00995D09" w:rsidRPr="00037FB1">
        <w:rPr>
          <w:rFonts w:ascii="Times New Roman" w:hAnsi="Times New Roman"/>
          <w:sz w:val="24"/>
          <w:szCs w:val="24"/>
          <w:lang w:val="sq-AL"/>
        </w:rPr>
        <w:t>ç jan</w:t>
      </w:r>
      <w:r w:rsidR="00F5002D" w:rsidRPr="00037FB1">
        <w:rPr>
          <w:rFonts w:ascii="Times New Roman" w:hAnsi="Times New Roman"/>
          <w:sz w:val="24"/>
          <w:szCs w:val="24"/>
          <w:lang w:val="sq-AL"/>
        </w:rPr>
        <w:t>ë</w:t>
      </w:r>
      <w:r w:rsidR="00367EB7" w:rsidRPr="00037FB1">
        <w:rPr>
          <w:rFonts w:ascii="Times New Roman" w:hAnsi="Times New Roman"/>
          <w:sz w:val="24"/>
          <w:szCs w:val="24"/>
          <w:lang w:val="sq-AL"/>
        </w:rPr>
        <w:t xml:space="preserve"> aktivitete</w:t>
      </w:r>
      <w:r w:rsidR="00995D09" w:rsidRPr="00037FB1">
        <w:rPr>
          <w:rFonts w:ascii="Times New Roman" w:hAnsi="Times New Roman"/>
          <w:sz w:val="24"/>
          <w:szCs w:val="24"/>
          <w:lang w:val="sq-AL"/>
        </w:rPr>
        <w:t>t</w:t>
      </w:r>
      <w:r w:rsidR="00367EB7" w:rsidRPr="00037FB1">
        <w:rPr>
          <w:rFonts w:ascii="Times New Roman" w:hAnsi="Times New Roman"/>
          <w:sz w:val="24"/>
          <w:szCs w:val="24"/>
          <w:lang w:val="sq-AL"/>
        </w:rPr>
        <w:t xml:space="preserve"> ministrore, të Kryeministrit</w:t>
      </w:r>
      <w:r w:rsidR="00995D09" w:rsidRPr="00037FB1">
        <w:rPr>
          <w:rFonts w:ascii="Times New Roman" w:hAnsi="Times New Roman"/>
          <w:sz w:val="24"/>
          <w:szCs w:val="24"/>
          <w:lang w:val="sq-AL"/>
        </w:rPr>
        <w:t xml:space="preserve"> o</w:t>
      </w:r>
      <w:r w:rsidR="00A86279" w:rsidRPr="00037FB1">
        <w:rPr>
          <w:rFonts w:ascii="Times New Roman" w:hAnsi="Times New Roman"/>
          <w:sz w:val="24"/>
          <w:szCs w:val="24"/>
          <w:lang w:val="sq-AL"/>
        </w:rPr>
        <w:t>se</w:t>
      </w:r>
      <w:r w:rsidR="00995D09"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të deputetëve. Kufizimi që vendos akti i kundërshtuar nuk është proporcional edhe për shkak se ndalimi t</w:t>
      </w:r>
      <w:r w:rsidR="00F5002D" w:rsidRPr="00037FB1">
        <w:rPr>
          <w:rFonts w:ascii="Times New Roman" w:hAnsi="Times New Roman"/>
          <w:sz w:val="24"/>
          <w:szCs w:val="24"/>
          <w:lang w:val="sq-AL"/>
        </w:rPr>
        <w:t>ë</w:t>
      </w:r>
      <w:r w:rsidR="00995D09" w:rsidRPr="00037FB1">
        <w:rPr>
          <w:rFonts w:ascii="Times New Roman" w:hAnsi="Times New Roman"/>
          <w:sz w:val="24"/>
          <w:szCs w:val="24"/>
          <w:lang w:val="sq-AL"/>
        </w:rPr>
        <w:t>r</w:t>
      </w:r>
      <w:r w:rsidR="00F5002D" w:rsidRPr="00037FB1">
        <w:rPr>
          <w:rFonts w:ascii="Times New Roman" w:hAnsi="Times New Roman"/>
          <w:sz w:val="24"/>
          <w:szCs w:val="24"/>
          <w:lang w:val="sq-AL"/>
        </w:rPr>
        <w:t>ë</w:t>
      </w:r>
      <w:r w:rsidR="00995D09" w:rsidRPr="00037FB1">
        <w:rPr>
          <w:rFonts w:ascii="Times New Roman" w:hAnsi="Times New Roman"/>
          <w:sz w:val="24"/>
          <w:szCs w:val="24"/>
          <w:lang w:val="sq-AL"/>
        </w:rPr>
        <w:t>sor</w:t>
      </w:r>
      <w:r w:rsidR="00367EB7" w:rsidRPr="00037FB1">
        <w:rPr>
          <w:rFonts w:ascii="Times New Roman" w:hAnsi="Times New Roman"/>
          <w:sz w:val="24"/>
          <w:szCs w:val="24"/>
          <w:lang w:val="sq-AL"/>
        </w:rPr>
        <w:t xml:space="preserve"> i aktiviteteve të partive politike nuk përbën mjetin më të përshtatshëm dhe të nev</w:t>
      </w:r>
      <w:r w:rsidR="00F13863" w:rsidRPr="00037FB1">
        <w:rPr>
          <w:rFonts w:ascii="Times New Roman" w:hAnsi="Times New Roman"/>
          <w:sz w:val="24"/>
          <w:szCs w:val="24"/>
          <w:lang w:val="sq-AL"/>
        </w:rPr>
        <w:t>ojshëm për të arritur qëllimin e mospërhapjes së</w:t>
      </w:r>
      <w:r w:rsidR="00367EB7" w:rsidRPr="00037FB1">
        <w:rPr>
          <w:rFonts w:ascii="Times New Roman" w:hAnsi="Times New Roman"/>
          <w:sz w:val="24"/>
          <w:szCs w:val="24"/>
          <w:lang w:val="sq-AL"/>
        </w:rPr>
        <w:t xml:space="preserve"> </w:t>
      </w:r>
      <w:r w:rsidR="00293B82">
        <w:rPr>
          <w:rFonts w:ascii="Times New Roman" w:hAnsi="Times New Roman"/>
          <w:sz w:val="24"/>
          <w:szCs w:val="24"/>
          <w:lang w:val="sq-AL"/>
        </w:rPr>
        <w:t>COVID</w:t>
      </w:r>
      <w:r w:rsidR="00F13863" w:rsidRPr="00037FB1">
        <w:rPr>
          <w:rFonts w:ascii="Times New Roman" w:hAnsi="Times New Roman"/>
          <w:sz w:val="24"/>
          <w:szCs w:val="24"/>
          <w:lang w:val="sq-AL"/>
        </w:rPr>
        <w:t>-19</w:t>
      </w:r>
      <w:r w:rsidR="00367EB7" w:rsidRPr="00037FB1">
        <w:rPr>
          <w:rFonts w:ascii="Times New Roman" w:hAnsi="Times New Roman"/>
          <w:sz w:val="24"/>
          <w:szCs w:val="24"/>
          <w:lang w:val="sq-AL"/>
        </w:rPr>
        <w:t>. Në kushtet kur aktiviteti i Kuvendit është lejuar për sa kohë respektohen distancimi fizik dhe mbajtja e maskave, këto rregulla mund të zbatohen edhe në rastet e tubimeve politike. Pra, lejimi i tubimeve politike, duke respektuar rregullat e vendosjes së maskave dhe distancimit fizik</w:t>
      </w:r>
      <w:r w:rsidR="00A86279" w:rsidRPr="00037FB1">
        <w:rPr>
          <w:rFonts w:ascii="Times New Roman" w:hAnsi="Times New Roman"/>
          <w:sz w:val="24"/>
          <w:szCs w:val="24"/>
          <w:lang w:val="sq-AL"/>
        </w:rPr>
        <w:t>,</w:t>
      </w:r>
      <w:r w:rsidR="00367EB7" w:rsidRPr="00037FB1">
        <w:rPr>
          <w:rFonts w:ascii="Times New Roman" w:hAnsi="Times New Roman"/>
          <w:sz w:val="24"/>
          <w:szCs w:val="24"/>
          <w:lang w:val="sq-AL"/>
        </w:rPr>
        <w:t xml:space="preserve"> do të përbënte, sipas kërkueses, mjetin më të përshtatshëm dhe proporcional në rastin konkret për arritjen e qëllimit</w:t>
      </w:r>
      <w:r w:rsidR="00995D09" w:rsidRPr="00037FB1">
        <w:rPr>
          <w:rFonts w:ascii="Times New Roman" w:hAnsi="Times New Roman"/>
          <w:sz w:val="24"/>
          <w:szCs w:val="24"/>
          <w:lang w:val="sq-AL"/>
        </w:rPr>
        <w:t xml:space="preserve"> t</w:t>
      </w:r>
      <w:r w:rsidR="00F5002D" w:rsidRPr="00037FB1">
        <w:rPr>
          <w:rFonts w:ascii="Times New Roman" w:hAnsi="Times New Roman"/>
          <w:sz w:val="24"/>
          <w:szCs w:val="24"/>
          <w:lang w:val="sq-AL"/>
        </w:rPr>
        <w:t>ë</w:t>
      </w:r>
      <w:r w:rsidR="00995D09" w:rsidRPr="00037FB1">
        <w:rPr>
          <w:rFonts w:ascii="Times New Roman" w:hAnsi="Times New Roman"/>
          <w:sz w:val="24"/>
          <w:szCs w:val="24"/>
          <w:lang w:val="sq-AL"/>
        </w:rPr>
        <w:t xml:space="preserve"> p</w:t>
      </w:r>
      <w:r w:rsidR="00F5002D" w:rsidRPr="00037FB1">
        <w:rPr>
          <w:rFonts w:ascii="Times New Roman" w:hAnsi="Times New Roman"/>
          <w:sz w:val="24"/>
          <w:szCs w:val="24"/>
          <w:lang w:val="sq-AL"/>
        </w:rPr>
        <w:t>ë</w:t>
      </w:r>
      <w:r w:rsidR="00995D09" w:rsidRPr="00037FB1">
        <w:rPr>
          <w:rFonts w:ascii="Times New Roman" w:hAnsi="Times New Roman"/>
          <w:sz w:val="24"/>
          <w:szCs w:val="24"/>
          <w:lang w:val="sq-AL"/>
        </w:rPr>
        <w:t>rballimit t</w:t>
      </w:r>
      <w:r w:rsidR="00F13863" w:rsidRPr="00037FB1">
        <w:rPr>
          <w:rFonts w:ascii="Times New Roman" w:hAnsi="Times New Roman"/>
          <w:sz w:val="24"/>
          <w:szCs w:val="24"/>
          <w:lang w:val="sq-AL"/>
        </w:rPr>
        <w:t>ë pandemisë.</w:t>
      </w:r>
      <w:r w:rsidR="00024F27" w:rsidRPr="00037FB1">
        <w:rPr>
          <w:rFonts w:ascii="Times New Roman" w:hAnsi="Times New Roman"/>
          <w:sz w:val="24"/>
          <w:szCs w:val="24"/>
          <w:lang w:val="sq-AL"/>
        </w:rPr>
        <w:t xml:space="preserve"> </w:t>
      </w:r>
    </w:p>
    <w:p w:rsidR="00367EB7"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 xml:space="preserve">18. </w:t>
      </w:r>
      <w:r w:rsidR="00367EB7" w:rsidRPr="00037FB1">
        <w:rPr>
          <w:rFonts w:ascii="Times New Roman" w:hAnsi="Times New Roman"/>
          <w:sz w:val="24"/>
          <w:szCs w:val="24"/>
          <w:lang w:val="sq-AL"/>
        </w:rPr>
        <w:t xml:space="preserve">Subjekti i interesuar, Këshilli i Ministrave, ka prapësuar se mbrojtja e shëndetit dhe jetës së individëve nga </w:t>
      </w:r>
      <w:r w:rsidR="00293B82">
        <w:rPr>
          <w:rFonts w:ascii="Times New Roman" w:hAnsi="Times New Roman"/>
          <w:sz w:val="24"/>
          <w:szCs w:val="24"/>
          <w:lang w:val="sq-AL"/>
        </w:rPr>
        <w:t>COVID</w:t>
      </w:r>
      <w:r w:rsidR="00367EB7" w:rsidRPr="00037FB1">
        <w:rPr>
          <w:rFonts w:ascii="Times New Roman" w:hAnsi="Times New Roman"/>
          <w:sz w:val="24"/>
          <w:szCs w:val="24"/>
          <w:lang w:val="sq-AL"/>
        </w:rPr>
        <w:t>-19, si dhe pasojat që vijnë prej tij, është domosdoshmëri dhe detyrim i përgjithshëm i shteteve, bazuar në</w:t>
      </w:r>
      <w:r w:rsidR="00B6412E" w:rsidRPr="00037FB1">
        <w:rPr>
          <w:rFonts w:ascii="Times New Roman" w:hAnsi="Times New Roman"/>
          <w:sz w:val="24"/>
          <w:szCs w:val="24"/>
          <w:lang w:val="sq-AL"/>
        </w:rPr>
        <w:t xml:space="preserve"> KEDNJ</w:t>
      </w:r>
      <w:r w:rsidR="00367EB7" w:rsidRPr="00037FB1">
        <w:rPr>
          <w:rFonts w:ascii="Times New Roman" w:hAnsi="Times New Roman"/>
          <w:sz w:val="24"/>
          <w:szCs w:val="24"/>
          <w:lang w:val="sq-AL"/>
        </w:rPr>
        <w:t xml:space="preserve">. </w:t>
      </w:r>
      <w:r w:rsidR="00F41F18" w:rsidRPr="00037FB1">
        <w:rPr>
          <w:rFonts w:ascii="Times New Roman" w:hAnsi="Times New Roman"/>
          <w:sz w:val="24"/>
          <w:szCs w:val="24"/>
          <w:lang w:val="sq-AL"/>
        </w:rPr>
        <w:t>N</w:t>
      </w:r>
      <w:r w:rsidR="00C4630B" w:rsidRPr="00037FB1">
        <w:rPr>
          <w:rFonts w:ascii="Times New Roman" w:hAnsi="Times New Roman"/>
          <w:sz w:val="24"/>
          <w:szCs w:val="24"/>
          <w:lang w:val="sq-AL"/>
        </w:rPr>
        <w:t>ë</w:t>
      </w:r>
      <w:r w:rsidR="00F41F18" w:rsidRPr="00037FB1">
        <w:rPr>
          <w:rFonts w:ascii="Times New Roman" w:hAnsi="Times New Roman"/>
          <w:sz w:val="24"/>
          <w:szCs w:val="24"/>
          <w:lang w:val="sq-AL"/>
        </w:rPr>
        <w:t xml:space="preserve"> k</w:t>
      </w:r>
      <w:r w:rsidR="00C4630B" w:rsidRPr="00037FB1">
        <w:rPr>
          <w:rFonts w:ascii="Times New Roman" w:hAnsi="Times New Roman"/>
          <w:sz w:val="24"/>
          <w:szCs w:val="24"/>
          <w:lang w:val="sq-AL"/>
        </w:rPr>
        <w:t>ë</w:t>
      </w:r>
      <w:r w:rsidR="00F41F18" w:rsidRPr="00037FB1">
        <w:rPr>
          <w:rFonts w:ascii="Times New Roman" w:hAnsi="Times New Roman"/>
          <w:sz w:val="24"/>
          <w:szCs w:val="24"/>
          <w:lang w:val="sq-AL"/>
        </w:rPr>
        <w:t>t</w:t>
      </w:r>
      <w:r w:rsidR="00C4630B" w:rsidRPr="00037FB1">
        <w:rPr>
          <w:rFonts w:ascii="Times New Roman" w:hAnsi="Times New Roman"/>
          <w:sz w:val="24"/>
          <w:szCs w:val="24"/>
          <w:lang w:val="sq-AL"/>
        </w:rPr>
        <w:t>ë</w:t>
      </w:r>
      <w:r w:rsidR="00F41F18" w:rsidRPr="00037FB1">
        <w:rPr>
          <w:rFonts w:ascii="Times New Roman" w:hAnsi="Times New Roman"/>
          <w:sz w:val="24"/>
          <w:szCs w:val="24"/>
          <w:lang w:val="sq-AL"/>
        </w:rPr>
        <w:t xml:space="preserve"> kuad</w:t>
      </w:r>
      <w:r w:rsidR="00C4630B" w:rsidRPr="00037FB1">
        <w:rPr>
          <w:rFonts w:ascii="Times New Roman" w:hAnsi="Times New Roman"/>
          <w:sz w:val="24"/>
          <w:szCs w:val="24"/>
          <w:lang w:val="sq-AL"/>
        </w:rPr>
        <w:t>ë</w:t>
      </w:r>
      <w:r w:rsidR="00F41F18" w:rsidRPr="00037FB1">
        <w:rPr>
          <w:rFonts w:ascii="Times New Roman" w:hAnsi="Times New Roman"/>
          <w:sz w:val="24"/>
          <w:szCs w:val="24"/>
          <w:lang w:val="sq-AL"/>
        </w:rPr>
        <w:t>r</w:t>
      </w:r>
      <w:r w:rsidR="00B6412E" w:rsidRPr="00037FB1">
        <w:rPr>
          <w:rFonts w:ascii="Times New Roman" w:hAnsi="Times New Roman"/>
          <w:sz w:val="24"/>
          <w:szCs w:val="24"/>
          <w:lang w:val="sq-AL"/>
        </w:rPr>
        <w:t>,</w:t>
      </w:r>
      <w:r w:rsidR="00F41F18"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 xml:space="preserve">pas shpalljes së gjendjes së pandemisë nga OBSH-ja, </w:t>
      </w:r>
      <w:r w:rsidR="00F41F18" w:rsidRPr="00037FB1">
        <w:rPr>
          <w:rFonts w:ascii="Times New Roman" w:hAnsi="Times New Roman"/>
          <w:sz w:val="24"/>
          <w:szCs w:val="24"/>
          <w:lang w:val="sq-AL"/>
        </w:rPr>
        <w:t xml:space="preserve">Këshilli i Ministrave </w:t>
      </w:r>
      <w:r w:rsidR="00367EB7" w:rsidRPr="00037FB1">
        <w:rPr>
          <w:rFonts w:ascii="Times New Roman" w:hAnsi="Times New Roman"/>
          <w:sz w:val="24"/>
          <w:szCs w:val="24"/>
          <w:lang w:val="sq-AL"/>
        </w:rPr>
        <w:t>ka nxjerrë një sërë aktesh normative në përgjigje të situatës së krijuar. I gjithë kuadri ligjor dhe nënligjor</w:t>
      </w:r>
      <w:r w:rsidR="00B6412E" w:rsidRPr="00037FB1">
        <w:rPr>
          <w:rFonts w:ascii="Times New Roman" w:hAnsi="Times New Roman"/>
          <w:sz w:val="24"/>
          <w:szCs w:val="24"/>
          <w:lang w:val="sq-AL"/>
        </w:rPr>
        <w:t>,</w:t>
      </w:r>
      <w:r w:rsidR="00367EB7" w:rsidRPr="00037FB1">
        <w:rPr>
          <w:rFonts w:ascii="Times New Roman" w:hAnsi="Times New Roman"/>
          <w:sz w:val="24"/>
          <w:szCs w:val="24"/>
          <w:lang w:val="sq-AL"/>
        </w:rPr>
        <w:t xml:space="preserve"> i miratuar nga Këshilli i Ministrave dhe MSHMS-ja</w:t>
      </w:r>
      <w:r w:rsidR="00B6412E" w:rsidRPr="00037FB1">
        <w:rPr>
          <w:rFonts w:ascii="Times New Roman" w:hAnsi="Times New Roman"/>
          <w:sz w:val="24"/>
          <w:szCs w:val="24"/>
          <w:lang w:val="sq-AL"/>
        </w:rPr>
        <w:t>,</w:t>
      </w:r>
      <w:r w:rsidR="00367EB7" w:rsidRPr="00037FB1">
        <w:rPr>
          <w:rFonts w:ascii="Times New Roman" w:hAnsi="Times New Roman"/>
          <w:sz w:val="24"/>
          <w:szCs w:val="24"/>
          <w:lang w:val="sq-AL"/>
        </w:rPr>
        <w:t xml:space="preserve"> parashikon detyrime të njëjta për të gjithë personat fizikë dhe juridikë në Republikën e Shqipërisë dhe, ndryshe nga sa pretendon kërkuesja, </w:t>
      </w:r>
      <w:r w:rsidR="00E40A82" w:rsidRPr="00037FB1">
        <w:rPr>
          <w:rFonts w:ascii="Times New Roman" w:hAnsi="Times New Roman"/>
          <w:sz w:val="24"/>
          <w:szCs w:val="24"/>
          <w:lang w:val="sq-AL"/>
        </w:rPr>
        <w:t>urdhri nr. 633/2020 nuk përmban favorizime o</w:t>
      </w:r>
      <w:r w:rsidR="00B6412E" w:rsidRPr="00037FB1">
        <w:rPr>
          <w:rFonts w:ascii="Times New Roman" w:hAnsi="Times New Roman"/>
          <w:sz w:val="24"/>
          <w:szCs w:val="24"/>
          <w:lang w:val="sq-AL"/>
        </w:rPr>
        <w:t>se</w:t>
      </w:r>
      <w:r w:rsidR="00E40A82" w:rsidRPr="00037FB1">
        <w:rPr>
          <w:rFonts w:ascii="Times New Roman" w:hAnsi="Times New Roman"/>
          <w:sz w:val="24"/>
          <w:szCs w:val="24"/>
          <w:lang w:val="sq-AL"/>
        </w:rPr>
        <w:t xml:space="preserve"> privilegje për grupe të caktuara, e aq më </w:t>
      </w:r>
      <w:r w:rsidR="00F41F18" w:rsidRPr="00037FB1">
        <w:rPr>
          <w:rFonts w:ascii="Times New Roman" w:hAnsi="Times New Roman"/>
          <w:sz w:val="24"/>
          <w:szCs w:val="24"/>
          <w:lang w:val="sq-AL"/>
        </w:rPr>
        <w:t xml:space="preserve">pak </w:t>
      </w:r>
      <w:r w:rsidR="00B6412E" w:rsidRPr="00037FB1">
        <w:rPr>
          <w:rFonts w:ascii="Times New Roman" w:hAnsi="Times New Roman"/>
          <w:sz w:val="24"/>
          <w:szCs w:val="24"/>
          <w:lang w:val="sq-AL"/>
        </w:rPr>
        <w:t xml:space="preserve"> për ndonjë subjekt politik. </w:t>
      </w:r>
      <w:r w:rsidR="00E40A82" w:rsidRPr="00037FB1">
        <w:rPr>
          <w:rFonts w:ascii="Times New Roman" w:hAnsi="Times New Roman"/>
          <w:sz w:val="24"/>
          <w:szCs w:val="24"/>
          <w:lang w:val="sq-AL"/>
        </w:rPr>
        <w:t xml:space="preserve">Ky urdhër nuk i ndalon partitë politike të ushtrojnë veprimtarinë në përmbushje të misionit të tyre nëpërmjet komunikimit </w:t>
      </w:r>
      <w:r w:rsidR="00687598" w:rsidRPr="00037FB1">
        <w:rPr>
          <w:rFonts w:ascii="Times New Roman" w:hAnsi="Times New Roman"/>
          <w:i/>
          <w:sz w:val="24"/>
          <w:szCs w:val="24"/>
          <w:lang w:val="sq-AL"/>
        </w:rPr>
        <w:t>on</w:t>
      </w:r>
      <w:r w:rsidR="00E40A82" w:rsidRPr="00037FB1">
        <w:rPr>
          <w:rFonts w:ascii="Times New Roman" w:hAnsi="Times New Roman"/>
          <w:i/>
          <w:sz w:val="24"/>
          <w:szCs w:val="24"/>
          <w:lang w:val="sq-AL"/>
        </w:rPr>
        <w:t>line</w:t>
      </w:r>
      <w:r w:rsidR="00E40A82" w:rsidRPr="00037FB1">
        <w:rPr>
          <w:rFonts w:ascii="Times New Roman" w:hAnsi="Times New Roman"/>
          <w:sz w:val="24"/>
          <w:szCs w:val="24"/>
          <w:lang w:val="sq-AL"/>
        </w:rPr>
        <w:t xml:space="preserve"> dhe me anë të mjeteve të tjera që janë të lejueshme</w:t>
      </w:r>
      <w:r w:rsidR="00995D09" w:rsidRPr="00037FB1">
        <w:rPr>
          <w:rFonts w:ascii="Times New Roman" w:hAnsi="Times New Roman"/>
          <w:sz w:val="24"/>
          <w:szCs w:val="24"/>
          <w:lang w:val="sq-AL"/>
        </w:rPr>
        <w:t>, q</w:t>
      </w:r>
      <w:r w:rsidR="00F5002D" w:rsidRPr="00037FB1">
        <w:rPr>
          <w:rFonts w:ascii="Times New Roman" w:hAnsi="Times New Roman"/>
          <w:sz w:val="24"/>
          <w:szCs w:val="24"/>
          <w:lang w:val="sq-AL"/>
        </w:rPr>
        <w:t>ë</w:t>
      </w:r>
      <w:r w:rsidR="00E40A82" w:rsidRPr="00037FB1">
        <w:rPr>
          <w:rFonts w:ascii="Times New Roman" w:hAnsi="Times New Roman"/>
          <w:sz w:val="24"/>
          <w:szCs w:val="24"/>
          <w:lang w:val="sq-AL"/>
        </w:rPr>
        <w:t xml:space="preserve"> nuk cenojnë shëndetin e individëve. Argumenti i kërkueses se partia në pushtet ka më shumë vizibilitet dhe mundësi për të bërë fushatë është i pabazuar.</w:t>
      </w:r>
    </w:p>
    <w:p w:rsidR="007A6C1C" w:rsidRPr="00037FB1" w:rsidRDefault="00887727"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1</w:t>
      </w:r>
      <w:r w:rsidR="009F1F66" w:rsidRPr="00037FB1">
        <w:rPr>
          <w:rFonts w:ascii="Times New Roman" w:hAnsi="Times New Roman"/>
          <w:sz w:val="24"/>
          <w:szCs w:val="24"/>
          <w:lang w:val="sq-AL"/>
        </w:rPr>
        <w:t>9</w:t>
      </w:r>
      <w:r w:rsidRPr="00037FB1">
        <w:rPr>
          <w:rFonts w:ascii="Times New Roman" w:hAnsi="Times New Roman"/>
          <w:sz w:val="24"/>
          <w:szCs w:val="24"/>
          <w:lang w:val="sq-AL"/>
        </w:rPr>
        <w:t xml:space="preserve">. </w:t>
      </w:r>
      <w:r w:rsidR="007A6C1C" w:rsidRPr="00037FB1">
        <w:rPr>
          <w:rFonts w:ascii="Times New Roman" w:hAnsi="Times New Roman"/>
          <w:sz w:val="24"/>
          <w:szCs w:val="24"/>
          <w:lang w:val="sq-AL"/>
        </w:rPr>
        <w:t xml:space="preserve">Gjykata vë në dukje se me </w:t>
      </w:r>
      <w:r w:rsidR="00B6412E" w:rsidRPr="00037FB1">
        <w:rPr>
          <w:rFonts w:ascii="Times New Roman" w:hAnsi="Times New Roman"/>
          <w:sz w:val="24"/>
          <w:szCs w:val="24"/>
          <w:lang w:val="sq-AL"/>
        </w:rPr>
        <w:t>d</w:t>
      </w:r>
      <w:r w:rsidR="007A6C1C" w:rsidRPr="00037FB1">
        <w:rPr>
          <w:rFonts w:ascii="Times New Roman" w:hAnsi="Times New Roman"/>
          <w:sz w:val="24"/>
          <w:szCs w:val="24"/>
          <w:lang w:val="sq-AL"/>
        </w:rPr>
        <w:t xml:space="preserve">ekretin nr. </w:t>
      </w:r>
      <w:r w:rsidR="00017CDB" w:rsidRPr="00037FB1">
        <w:rPr>
          <w:rFonts w:ascii="Times New Roman" w:hAnsi="Times New Roman"/>
          <w:sz w:val="24"/>
          <w:szCs w:val="24"/>
          <w:lang w:val="sq-AL"/>
        </w:rPr>
        <w:t>11700, datë</w:t>
      </w:r>
      <w:r w:rsidR="00017CDB" w:rsidRPr="00037FB1">
        <w:rPr>
          <w:rFonts w:ascii="Times New Roman" w:hAnsi="Times New Roman"/>
          <w:b/>
          <w:sz w:val="24"/>
          <w:szCs w:val="24"/>
          <w:lang w:val="sq-AL"/>
        </w:rPr>
        <w:t xml:space="preserve"> </w:t>
      </w:r>
      <w:r w:rsidR="00B6412E" w:rsidRPr="00037FB1">
        <w:rPr>
          <w:rStyle w:val="Strong"/>
          <w:rFonts w:ascii="Times New Roman" w:hAnsi="Times New Roman"/>
          <w:b w:val="0"/>
          <w:sz w:val="24"/>
          <w:szCs w:val="24"/>
          <w:lang w:val="sq-AL"/>
        </w:rPr>
        <w:t>06.09.2020</w:t>
      </w:r>
      <w:r w:rsidR="00017CDB" w:rsidRPr="00037FB1">
        <w:rPr>
          <w:rStyle w:val="Strong"/>
          <w:rFonts w:ascii="Times New Roman" w:hAnsi="Times New Roman"/>
          <w:b w:val="0"/>
          <w:sz w:val="24"/>
          <w:szCs w:val="24"/>
          <w:lang w:val="sq-AL"/>
        </w:rPr>
        <w:t xml:space="preserve"> Presidenti i Republikës, ka </w:t>
      </w:r>
      <w:r w:rsidR="00F41F18" w:rsidRPr="00037FB1">
        <w:rPr>
          <w:rStyle w:val="Strong"/>
          <w:rFonts w:ascii="Times New Roman" w:hAnsi="Times New Roman"/>
          <w:b w:val="0"/>
          <w:sz w:val="24"/>
          <w:szCs w:val="24"/>
          <w:lang w:val="sq-AL"/>
        </w:rPr>
        <w:t xml:space="preserve">caktuar </w:t>
      </w:r>
      <w:r w:rsidR="00017CDB" w:rsidRPr="00037FB1">
        <w:rPr>
          <w:rStyle w:val="Strong"/>
          <w:rFonts w:ascii="Times New Roman" w:hAnsi="Times New Roman"/>
          <w:b w:val="0"/>
          <w:sz w:val="24"/>
          <w:szCs w:val="24"/>
          <w:lang w:val="sq-AL"/>
        </w:rPr>
        <w:t>se “</w:t>
      </w:r>
      <w:r w:rsidR="00017CDB" w:rsidRPr="00037FB1">
        <w:rPr>
          <w:rFonts w:ascii="Times New Roman" w:hAnsi="Times New Roman"/>
          <w:sz w:val="24"/>
          <w:szCs w:val="24"/>
          <w:lang w:val="sq-AL"/>
        </w:rPr>
        <w:t xml:space="preserve">zgjedhjet për Kuvendin të zhvillohen ditën e diel, më datë </w:t>
      </w:r>
      <w:r w:rsidR="00017CDB" w:rsidRPr="00037FB1">
        <w:rPr>
          <w:rStyle w:val="Strong"/>
          <w:rFonts w:ascii="Times New Roman" w:hAnsi="Times New Roman"/>
          <w:b w:val="0"/>
          <w:sz w:val="24"/>
          <w:szCs w:val="24"/>
          <w:lang w:val="sq-AL"/>
        </w:rPr>
        <w:t>25 prill 2021”</w:t>
      </w:r>
      <w:r w:rsidR="0079100A" w:rsidRPr="00037FB1">
        <w:rPr>
          <w:rStyle w:val="Strong"/>
          <w:rFonts w:ascii="Times New Roman" w:hAnsi="Times New Roman"/>
          <w:b w:val="0"/>
          <w:sz w:val="24"/>
          <w:szCs w:val="24"/>
          <w:lang w:val="sq-AL"/>
        </w:rPr>
        <w:t>, nd</w:t>
      </w:r>
      <w:r w:rsidR="00E2419D" w:rsidRPr="00037FB1">
        <w:rPr>
          <w:rStyle w:val="Strong"/>
          <w:rFonts w:ascii="Times New Roman" w:hAnsi="Times New Roman"/>
          <w:b w:val="0"/>
          <w:sz w:val="24"/>
          <w:szCs w:val="24"/>
          <w:lang w:val="sq-AL"/>
        </w:rPr>
        <w:t>ë</w:t>
      </w:r>
      <w:r w:rsidR="0079100A" w:rsidRPr="00037FB1">
        <w:rPr>
          <w:rStyle w:val="Strong"/>
          <w:rFonts w:ascii="Times New Roman" w:hAnsi="Times New Roman"/>
          <w:b w:val="0"/>
          <w:sz w:val="24"/>
          <w:szCs w:val="24"/>
          <w:lang w:val="sq-AL"/>
        </w:rPr>
        <w:t>rkoh</w:t>
      </w:r>
      <w:r w:rsidR="00E2419D" w:rsidRPr="00037FB1">
        <w:rPr>
          <w:rStyle w:val="Strong"/>
          <w:rFonts w:ascii="Times New Roman" w:hAnsi="Times New Roman"/>
          <w:b w:val="0"/>
          <w:sz w:val="24"/>
          <w:szCs w:val="24"/>
          <w:lang w:val="sq-AL"/>
        </w:rPr>
        <w:t>ë</w:t>
      </w:r>
      <w:r w:rsidR="0079100A" w:rsidRPr="00037FB1">
        <w:rPr>
          <w:rStyle w:val="Strong"/>
          <w:rFonts w:ascii="Times New Roman" w:hAnsi="Times New Roman"/>
          <w:b w:val="0"/>
          <w:sz w:val="24"/>
          <w:szCs w:val="24"/>
          <w:lang w:val="sq-AL"/>
        </w:rPr>
        <w:t xml:space="preserve"> q</w:t>
      </w:r>
      <w:r w:rsidR="00E2419D" w:rsidRPr="00037FB1">
        <w:rPr>
          <w:rStyle w:val="Strong"/>
          <w:rFonts w:ascii="Times New Roman" w:hAnsi="Times New Roman"/>
          <w:b w:val="0"/>
          <w:sz w:val="24"/>
          <w:szCs w:val="24"/>
          <w:lang w:val="sq-AL"/>
        </w:rPr>
        <w:t>ë</w:t>
      </w:r>
      <w:r w:rsidR="0079100A" w:rsidRPr="00037FB1">
        <w:rPr>
          <w:rStyle w:val="Strong"/>
          <w:rFonts w:ascii="Times New Roman" w:hAnsi="Times New Roman"/>
          <w:b w:val="0"/>
          <w:sz w:val="24"/>
          <w:szCs w:val="24"/>
          <w:lang w:val="sq-AL"/>
        </w:rPr>
        <w:t xml:space="preserve"> </w:t>
      </w:r>
      <w:r w:rsidR="0079100A" w:rsidRPr="00037FB1">
        <w:rPr>
          <w:rFonts w:ascii="Times New Roman" w:hAnsi="Times New Roman"/>
          <w:sz w:val="24"/>
          <w:szCs w:val="24"/>
          <w:lang w:val="sq-AL"/>
        </w:rPr>
        <w:t>n</w:t>
      </w:r>
      <w:r w:rsidR="00E2419D" w:rsidRPr="00037FB1">
        <w:rPr>
          <w:rFonts w:ascii="Times New Roman" w:hAnsi="Times New Roman"/>
          <w:sz w:val="24"/>
          <w:szCs w:val="24"/>
          <w:lang w:val="sq-AL"/>
        </w:rPr>
        <w:t>ë</w:t>
      </w:r>
      <w:r w:rsidR="0079100A" w:rsidRPr="00037FB1">
        <w:rPr>
          <w:rFonts w:ascii="Times New Roman" w:hAnsi="Times New Roman"/>
          <w:sz w:val="24"/>
          <w:szCs w:val="24"/>
          <w:lang w:val="sq-AL"/>
        </w:rPr>
        <w:t xml:space="preserve"> koh</w:t>
      </w:r>
      <w:r w:rsidR="00E2419D" w:rsidRPr="00037FB1">
        <w:rPr>
          <w:rFonts w:ascii="Times New Roman" w:hAnsi="Times New Roman"/>
          <w:sz w:val="24"/>
          <w:szCs w:val="24"/>
          <w:lang w:val="sq-AL"/>
        </w:rPr>
        <w:t>ë</w:t>
      </w:r>
      <w:r w:rsidR="0079100A" w:rsidRPr="00037FB1">
        <w:rPr>
          <w:rFonts w:ascii="Times New Roman" w:hAnsi="Times New Roman"/>
          <w:sz w:val="24"/>
          <w:szCs w:val="24"/>
          <w:lang w:val="sq-AL"/>
        </w:rPr>
        <w:t>n e marrjes n</w:t>
      </w:r>
      <w:r w:rsidR="00E2419D" w:rsidRPr="00037FB1">
        <w:rPr>
          <w:rFonts w:ascii="Times New Roman" w:hAnsi="Times New Roman"/>
          <w:sz w:val="24"/>
          <w:szCs w:val="24"/>
          <w:lang w:val="sq-AL"/>
        </w:rPr>
        <w:t>ë</w:t>
      </w:r>
      <w:r w:rsidR="0079100A" w:rsidRPr="00037FB1">
        <w:rPr>
          <w:rFonts w:ascii="Times New Roman" w:hAnsi="Times New Roman"/>
          <w:sz w:val="24"/>
          <w:szCs w:val="24"/>
          <w:lang w:val="sq-AL"/>
        </w:rPr>
        <w:t xml:space="preserve"> shqyrtim t</w:t>
      </w:r>
      <w:r w:rsidR="00E2419D" w:rsidRPr="00037FB1">
        <w:rPr>
          <w:rFonts w:ascii="Times New Roman" w:hAnsi="Times New Roman"/>
          <w:sz w:val="24"/>
          <w:szCs w:val="24"/>
          <w:lang w:val="sq-AL"/>
        </w:rPr>
        <w:t>ë</w:t>
      </w:r>
      <w:r w:rsidR="0079100A" w:rsidRPr="00037FB1">
        <w:rPr>
          <w:rFonts w:ascii="Times New Roman" w:hAnsi="Times New Roman"/>
          <w:sz w:val="24"/>
          <w:szCs w:val="24"/>
          <w:lang w:val="sq-AL"/>
        </w:rPr>
        <w:t xml:space="preserve"> k</w:t>
      </w:r>
      <w:r w:rsidR="00E2419D" w:rsidRPr="00037FB1">
        <w:rPr>
          <w:rFonts w:ascii="Times New Roman" w:hAnsi="Times New Roman"/>
          <w:sz w:val="24"/>
          <w:szCs w:val="24"/>
          <w:lang w:val="sq-AL"/>
        </w:rPr>
        <w:t>ë</w:t>
      </w:r>
      <w:r w:rsidR="0079100A" w:rsidRPr="00037FB1">
        <w:rPr>
          <w:rFonts w:ascii="Times New Roman" w:hAnsi="Times New Roman"/>
          <w:sz w:val="24"/>
          <w:szCs w:val="24"/>
          <w:lang w:val="sq-AL"/>
        </w:rPr>
        <w:t>saj ç</w:t>
      </w:r>
      <w:r w:rsidR="00E2419D" w:rsidRPr="00037FB1">
        <w:rPr>
          <w:rFonts w:ascii="Times New Roman" w:hAnsi="Times New Roman"/>
          <w:sz w:val="24"/>
          <w:szCs w:val="24"/>
          <w:lang w:val="sq-AL"/>
        </w:rPr>
        <w:t>ë</w:t>
      </w:r>
      <w:r w:rsidR="0079100A" w:rsidRPr="00037FB1">
        <w:rPr>
          <w:rFonts w:ascii="Times New Roman" w:hAnsi="Times New Roman"/>
          <w:sz w:val="24"/>
          <w:szCs w:val="24"/>
          <w:lang w:val="sq-AL"/>
        </w:rPr>
        <w:t>shtjeje, bazuar n</w:t>
      </w:r>
      <w:r w:rsidR="00E2419D" w:rsidRPr="00037FB1">
        <w:rPr>
          <w:rFonts w:ascii="Times New Roman" w:hAnsi="Times New Roman"/>
          <w:sz w:val="24"/>
          <w:szCs w:val="24"/>
          <w:lang w:val="sq-AL"/>
        </w:rPr>
        <w:t>ë</w:t>
      </w:r>
      <w:r w:rsidR="0079100A" w:rsidRPr="00037FB1">
        <w:rPr>
          <w:rFonts w:ascii="Times New Roman" w:hAnsi="Times New Roman"/>
          <w:sz w:val="24"/>
          <w:szCs w:val="24"/>
          <w:lang w:val="sq-AL"/>
        </w:rPr>
        <w:t xml:space="preserve"> dispozitat e Kodit Zgjedhor, kanë filluar përgatitjet për procesin zgjedhor, janë regjistruar partitë politike dhe subjektet zgjedhore, si dhe vendi është në prag të fushatës zgjedhore. Nga ana tjet</w:t>
      </w:r>
      <w:r w:rsidR="00E2419D" w:rsidRPr="00037FB1">
        <w:rPr>
          <w:rFonts w:ascii="Times New Roman" w:hAnsi="Times New Roman"/>
          <w:sz w:val="24"/>
          <w:szCs w:val="24"/>
          <w:lang w:val="sq-AL"/>
        </w:rPr>
        <w:t>ë</w:t>
      </w:r>
      <w:r w:rsidR="0079100A" w:rsidRPr="00037FB1">
        <w:rPr>
          <w:rFonts w:ascii="Times New Roman" w:hAnsi="Times New Roman"/>
          <w:sz w:val="24"/>
          <w:szCs w:val="24"/>
          <w:lang w:val="sq-AL"/>
        </w:rPr>
        <w:t xml:space="preserve">r, </w:t>
      </w:r>
      <w:r w:rsidR="0079100A" w:rsidRPr="00037FB1">
        <w:rPr>
          <w:rStyle w:val="Strong"/>
          <w:rFonts w:ascii="Times New Roman" w:hAnsi="Times New Roman"/>
          <w:b w:val="0"/>
          <w:sz w:val="24"/>
          <w:szCs w:val="24"/>
          <w:lang w:val="sq-AL"/>
        </w:rPr>
        <w:t>u</w:t>
      </w:r>
      <w:r w:rsidR="00017CDB" w:rsidRPr="00037FB1">
        <w:rPr>
          <w:rStyle w:val="Strong"/>
          <w:rFonts w:ascii="Times New Roman" w:hAnsi="Times New Roman"/>
          <w:b w:val="0"/>
          <w:sz w:val="24"/>
          <w:szCs w:val="24"/>
          <w:lang w:val="sq-AL"/>
        </w:rPr>
        <w:t>rdhri nr.</w:t>
      </w:r>
      <w:r w:rsidR="00017CDB" w:rsidRPr="00037FB1">
        <w:rPr>
          <w:rFonts w:ascii="Times New Roman" w:hAnsi="Times New Roman"/>
          <w:sz w:val="24"/>
          <w:szCs w:val="24"/>
          <w:lang w:val="sq-AL"/>
        </w:rPr>
        <w:t xml:space="preserve"> 633/2020, objekt shqyrtimi</w:t>
      </w:r>
      <w:r w:rsidR="007742AD" w:rsidRPr="00037FB1">
        <w:rPr>
          <w:rFonts w:ascii="Times New Roman" w:hAnsi="Times New Roman"/>
          <w:sz w:val="24"/>
          <w:szCs w:val="24"/>
          <w:lang w:val="sq-AL"/>
        </w:rPr>
        <w:t>,</w:t>
      </w:r>
      <w:r w:rsidR="00017CDB" w:rsidRPr="00037FB1">
        <w:rPr>
          <w:rFonts w:ascii="Times New Roman" w:hAnsi="Times New Roman"/>
          <w:sz w:val="24"/>
          <w:szCs w:val="24"/>
          <w:lang w:val="sq-AL"/>
        </w:rPr>
        <w:t xml:space="preserve"> </w:t>
      </w:r>
      <w:r w:rsidR="007742AD" w:rsidRPr="00037FB1">
        <w:rPr>
          <w:rFonts w:ascii="Times New Roman" w:hAnsi="Times New Roman"/>
          <w:sz w:val="24"/>
          <w:szCs w:val="24"/>
          <w:lang w:val="sq-AL"/>
        </w:rPr>
        <w:t>mban dat</w:t>
      </w:r>
      <w:r w:rsidR="009B612F" w:rsidRPr="00037FB1">
        <w:rPr>
          <w:rFonts w:ascii="Times New Roman" w:hAnsi="Times New Roman"/>
          <w:sz w:val="24"/>
          <w:szCs w:val="24"/>
          <w:lang w:val="sq-AL"/>
        </w:rPr>
        <w:t>ën 17.11.2020 dhe është në fuqi, pasi nuk ka dalë ende një urdhër i dytë</w:t>
      </w:r>
      <w:r w:rsidR="007742AD" w:rsidRPr="00037FB1">
        <w:rPr>
          <w:rFonts w:ascii="Times New Roman" w:hAnsi="Times New Roman"/>
          <w:sz w:val="24"/>
          <w:szCs w:val="24"/>
          <w:lang w:val="sq-AL"/>
        </w:rPr>
        <w:t xml:space="preserve">. </w:t>
      </w:r>
    </w:p>
    <w:p w:rsidR="003D1CDC" w:rsidRPr="00037FB1" w:rsidRDefault="009F1F66" w:rsidP="0037360A">
      <w:pPr>
        <w:tabs>
          <w:tab w:val="left" w:pos="1080"/>
        </w:tabs>
        <w:spacing w:after="0" w:line="360" w:lineRule="auto"/>
        <w:ind w:firstLine="720"/>
        <w:jc w:val="both"/>
        <w:rPr>
          <w:rFonts w:ascii="Times New Roman" w:hAnsi="Times New Roman"/>
          <w:i/>
          <w:sz w:val="24"/>
          <w:szCs w:val="24"/>
          <w:lang w:val="sq-AL"/>
        </w:rPr>
      </w:pPr>
      <w:r w:rsidRPr="00037FB1">
        <w:rPr>
          <w:rFonts w:ascii="Times New Roman" w:hAnsi="Times New Roman"/>
          <w:sz w:val="24"/>
          <w:szCs w:val="24"/>
          <w:lang w:val="sq-AL"/>
        </w:rPr>
        <w:t>20</w:t>
      </w:r>
      <w:r w:rsidR="00887727" w:rsidRPr="00037FB1">
        <w:rPr>
          <w:rFonts w:ascii="Times New Roman" w:hAnsi="Times New Roman"/>
          <w:sz w:val="24"/>
          <w:szCs w:val="24"/>
          <w:lang w:val="sq-AL"/>
        </w:rPr>
        <w:t xml:space="preserve">. </w:t>
      </w:r>
      <w:r w:rsidR="003D1CDC" w:rsidRPr="00037FB1">
        <w:rPr>
          <w:rFonts w:ascii="Times New Roman" w:hAnsi="Times New Roman"/>
          <w:sz w:val="24"/>
          <w:szCs w:val="24"/>
          <w:lang w:val="sq-AL"/>
        </w:rPr>
        <w:t>Gjykata ka çmuar se partitë politike luajnë një rol të rëndësishëm në sistemin demokratik pluralist</w:t>
      </w:r>
      <w:r w:rsidR="00486641" w:rsidRPr="00037FB1">
        <w:rPr>
          <w:rFonts w:ascii="Times New Roman" w:hAnsi="Times New Roman"/>
          <w:sz w:val="24"/>
          <w:szCs w:val="24"/>
          <w:lang w:val="sq-AL"/>
        </w:rPr>
        <w:t>,</w:t>
      </w:r>
      <w:r w:rsidR="003D1CDC" w:rsidRPr="00037FB1">
        <w:rPr>
          <w:rFonts w:ascii="Times New Roman" w:hAnsi="Times New Roman"/>
          <w:sz w:val="24"/>
          <w:szCs w:val="24"/>
          <w:lang w:val="sq-AL"/>
        </w:rPr>
        <w:t xml:space="preserve"> pasi kontribuojnë në shfaqjen e vullnetit politik të popullit përmes pjesëmarrjes në zgjedhje dhe ndihmojnë në realizimin e sovranitetit të tij. Falë këtyre funksioneve ato kanë status kushtetues dhe konsiderohen element</w:t>
      </w:r>
      <w:r w:rsidR="00486641" w:rsidRPr="00037FB1">
        <w:rPr>
          <w:rFonts w:ascii="Times New Roman" w:hAnsi="Times New Roman"/>
          <w:sz w:val="24"/>
          <w:szCs w:val="24"/>
          <w:lang w:val="sq-AL"/>
        </w:rPr>
        <w:t>e</w:t>
      </w:r>
      <w:r w:rsidR="003D1CDC" w:rsidRPr="00037FB1">
        <w:rPr>
          <w:rFonts w:ascii="Times New Roman" w:hAnsi="Times New Roman"/>
          <w:sz w:val="24"/>
          <w:szCs w:val="24"/>
          <w:lang w:val="sq-AL"/>
        </w:rPr>
        <w:t xml:space="preserve"> të domosdoshm</w:t>
      </w:r>
      <w:r w:rsidR="00486641" w:rsidRPr="00037FB1">
        <w:rPr>
          <w:rFonts w:ascii="Times New Roman" w:hAnsi="Times New Roman"/>
          <w:sz w:val="24"/>
          <w:szCs w:val="24"/>
          <w:lang w:val="sq-AL"/>
        </w:rPr>
        <w:t>e</w:t>
      </w:r>
      <w:r w:rsidR="003D1CDC" w:rsidRPr="00037FB1">
        <w:rPr>
          <w:rFonts w:ascii="Times New Roman" w:hAnsi="Times New Roman"/>
          <w:sz w:val="24"/>
          <w:szCs w:val="24"/>
          <w:lang w:val="sq-AL"/>
        </w:rPr>
        <w:t xml:space="preserve"> të jetës politike (</w:t>
      </w:r>
      <w:r w:rsidR="003D1CDC" w:rsidRPr="00037FB1">
        <w:rPr>
          <w:rFonts w:ascii="Times New Roman" w:hAnsi="Times New Roman"/>
          <w:i/>
          <w:sz w:val="24"/>
          <w:szCs w:val="24"/>
          <w:lang w:val="sq-AL"/>
        </w:rPr>
        <w:t xml:space="preserve">shih vendimin nr. 28, datë 09.05.2012 të Gjykatës Kushtetuese). </w:t>
      </w:r>
    </w:p>
    <w:p w:rsidR="00367EB7"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21</w:t>
      </w:r>
      <w:r w:rsidR="00887727" w:rsidRPr="00037FB1">
        <w:rPr>
          <w:rFonts w:ascii="Times New Roman" w:hAnsi="Times New Roman"/>
          <w:sz w:val="24"/>
          <w:szCs w:val="24"/>
          <w:lang w:val="sq-AL"/>
        </w:rPr>
        <w:t xml:space="preserve">. </w:t>
      </w:r>
      <w:r w:rsidR="004C2216" w:rsidRPr="00037FB1">
        <w:rPr>
          <w:rFonts w:ascii="Times New Roman" w:hAnsi="Times New Roman"/>
          <w:sz w:val="24"/>
          <w:szCs w:val="24"/>
          <w:lang w:val="sq-AL"/>
        </w:rPr>
        <w:t xml:space="preserve">Pluralizmi </w:t>
      </w:r>
      <w:r w:rsidR="00367EB7" w:rsidRPr="00037FB1">
        <w:rPr>
          <w:rFonts w:ascii="Times New Roman" w:hAnsi="Times New Roman"/>
          <w:sz w:val="24"/>
          <w:szCs w:val="24"/>
          <w:lang w:val="sq-AL"/>
        </w:rPr>
        <w:t>ës</w:t>
      </w:r>
      <w:r w:rsidR="00486641" w:rsidRPr="00037FB1">
        <w:rPr>
          <w:rFonts w:ascii="Times New Roman" w:hAnsi="Times New Roman"/>
          <w:sz w:val="24"/>
          <w:szCs w:val="24"/>
          <w:lang w:val="sq-AL"/>
        </w:rPr>
        <w:t xml:space="preserve">htë një tërësi rrethanash, </w:t>
      </w:r>
      <w:r w:rsidR="00367EB7" w:rsidRPr="00037FB1">
        <w:rPr>
          <w:rFonts w:ascii="Times New Roman" w:hAnsi="Times New Roman"/>
          <w:sz w:val="24"/>
          <w:szCs w:val="24"/>
          <w:lang w:val="sq-AL"/>
        </w:rPr>
        <w:t>ku pushteti politik është i shpërndarë në atë mënyrë që asnjë grup interesi ose klasë e caktuar shoqërore të mos mbizotërojë mbi të tjerët. Në çdo sistem demokratik, përfaqësuesit e popullit në qeverisje zgjidhen përmes zgjedhjeve shumëpartiake, të lira, të barabarta dhe të ndershme. Pushteti i përfaqësuesve kufizohet nga Kushtetuta dhe mekanizma të tjerë të balancimit dhe kontrollit të pushteteve. Problemet e përfaqësimit të drejtë janë çështje të shanseve të barabarta që zëri i gjithkujt të dëgjohet o</w:t>
      </w:r>
      <w:r w:rsidR="00486641" w:rsidRPr="00037FB1">
        <w:rPr>
          <w:rFonts w:ascii="Times New Roman" w:hAnsi="Times New Roman"/>
          <w:sz w:val="24"/>
          <w:szCs w:val="24"/>
          <w:lang w:val="sq-AL"/>
        </w:rPr>
        <w:t>se</w:t>
      </w:r>
      <w:r w:rsidR="00367EB7" w:rsidRPr="00037FB1">
        <w:rPr>
          <w:rFonts w:ascii="Times New Roman" w:hAnsi="Times New Roman"/>
          <w:sz w:val="24"/>
          <w:szCs w:val="24"/>
          <w:lang w:val="sq-AL"/>
        </w:rPr>
        <w:t xml:space="preserve"> të jetë i përfaqësuar. Neni 3 i Kushtetutës parashikon pluralizmin si një nga bazat e shtetit, ndërsa neni 1, paragrafi 3 i saj sanksionon parimin e barazisë së votës. Ky parim ka komponentin e tij aktiv (e drejta për të votuar) dhe atë pasiv (e drejta për t’u votuar/zgjedhur). Gjykata thekson se parimi i barazisë </w:t>
      </w:r>
      <w:r w:rsidR="00486641" w:rsidRPr="00037FB1">
        <w:rPr>
          <w:rFonts w:ascii="Times New Roman" w:hAnsi="Times New Roman"/>
          <w:sz w:val="24"/>
          <w:szCs w:val="24"/>
          <w:lang w:val="sq-AL"/>
        </w:rPr>
        <w:t>t</w:t>
      </w:r>
      <w:r w:rsidR="00367EB7" w:rsidRPr="00037FB1">
        <w:rPr>
          <w:rFonts w:ascii="Times New Roman" w:hAnsi="Times New Roman"/>
          <w:sz w:val="24"/>
          <w:szCs w:val="24"/>
          <w:lang w:val="sq-AL"/>
        </w:rPr>
        <w:t xml:space="preserve">ë </w:t>
      </w:r>
      <w:r w:rsidR="00486641" w:rsidRPr="00037FB1">
        <w:rPr>
          <w:rFonts w:ascii="Times New Roman" w:hAnsi="Times New Roman"/>
          <w:sz w:val="24"/>
          <w:szCs w:val="24"/>
          <w:lang w:val="sq-AL"/>
        </w:rPr>
        <w:t>s</w:t>
      </w:r>
      <w:r w:rsidR="00367EB7" w:rsidRPr="00037FB1">
        <w:rPr>
          <w:rFonts w:ascii="Times New Roman" w:hAnsi="Times New Roman"/>
          <w:sz w:val="24"/>
          <w:szCs w:val="24"/>
          <w:lang w:val="sq-AL"/>
        </w:rPr>
        <w:t xml:space="preserve">ë drejtës për t’u votuar/zgjedhur ndalon shtetin të diskriminojë ose të privilegjojë kandidatë të caktuar, parti politike ose grupe të tjera politike në përballjen konkurruese për të tërhequr votën e zgjedhësit. Barazia në </w:t>
      </w:r>
      <w:r w:rsidR="004C2216" w:rsidRPr="00037FB1">
        <w:rPr>
          <w:rFonts w:ascii="Times New Roman" w:hAnsi="Times New Roman"/>
          <w:sz w:val="24"/>
          <w:szCs w:val="24"/>
          <w:lang w:val="sq-AL"/>
        </w:rPr>
        <w:t xml:space="preserve">çështjet zgjedhore </w:t>
      </w:r>
      <w:r w:rsidR="00367EB7" w:rsidRPr="00037FB1">
        <w:rPr>
          <w:rFonts w:ascii="Times New Roman" w:hAnsi="Times New Roman"/>
          <w:sz w:val="24"/>
          <w:szCs w:val="24"/>
          <w:lang w:val="sq-AL"/>
        </w:rPr>
        <w:t>përfshin shumë aspekte</w:t>
      </w:r>
      <w:r w:rsidR="004C2216" w:rsidRPr="00037FB1">
        <w:rPr>
          <w:rFonts w:ascii="Times New Roman" w:hAnsi="Times New Roman"/>
          <w:sz w:val="24"/>
          <w:szCs w:val="24"/>
          <w:lang w:val="sq-AL"/>
        </w:rPr>
        <w:t>. P</w:t>
      </w:r>
      <w:r w:rsidR="00367EB7" w:rsidRPr="00037FB1">
        <w:rPr>
          <w:rFonts w:ascii="Times New Roman" w:hAnsi="Times New Roman"/>
          <w:sz w:val="24"/>
          <w:szCs w:val="24"/>
          <w:lang w:val="sq-AL"/>
        </w:rPr>
        <w:t>arimet që duhen respektuar në të gjitha rastet janë barazia në votën numerike, barazia për sa i përket fuqisë zgjedhore dhe mundësive të barabarta (</w:t>
      </w:r>
      <w:r w:rsidR="00367EB7" w:rsidRPr="00037FB1">
        <w:rPr>
          <w:rFonts w:ascii="Times New Roman" w:hAnsi="Times New Roman"/>
          <w:i/>
          <w:sz w:val="24"/>
          <w:szCs w:val="24"/>
          <w:lang w:val="sq-AL"/>
        </w:rPr>
        <w:t>shih vendimin nr.32, datë 21.06.2010 të Gjykatës Kushtetuese).</w:t>
      </w:r>
    </w:p>
    <w:p w:rsidR="00367EB7"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22</w:t>
      </w:r>
      <w:r w:rsidR="00887727"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 xml:space="preserve">Gjykata ka vlerësuar se midis partive dhe kandidatëve duhet të krijohen shanse të barabarta dhe shteti duhet të jetë i paanshëm ndaj tyre, duke zbatuar ligjet në mënyrë të njëjtë për të gjithë. Në veçanti, kërkesa për asnjanësi </w:t>
      </w:r>
      <w:r w:rsidR="00E97E1F" w:rsidRPr="00037FB1">
        <w:rPr>
          <w:rFonts w:ascii="Times New Roman" w:hAnsi="Times New Roman"/>
          <w:sz w:val="24"/>
          <w:szCs w:val="24"/>
          <w:lang w:val="sq-AL"/>
        </w:rPr>
        <w:t xml:space="preserve">zbatohet për fushatën zgjedhore, </w:t>
      </w:r>
      <w:r w:rsidR="00367EB7" w:rsidRPr="00037FB1">
        <w:rPr>
          <w:rFonts w:ascii="Times New Roman" w:hAnsi="Times New Roman"/>
          <w:sz w:val="24"/>
          <w:szCs w:val="24"/>
          <w:lang w:val="sq-AL"/>
        </w:rPr>
        <w:t xml:space="preserve">e cila mund të realizohet si në formën e një barazie “strikte”, ashtu </w:t>
      </w:r>
      <w:r w:rsidR="00E647FE" w:rsidRPr="00037FB1">
        <w:rPr>
          <w:rFonts w:ascii="Times New Roman" w:hAnsi="Times New Roman"/>
          <w:sz w:val="24"/>
          <w:szCs w:val="24"/>
          <w:lang w:val="sq-AL"/>
        </w:rPr>
        <w:t>e</w:t>
      </w:r>
      <w:r w:rsidR="00367EB7" w:rsidRPr="00037FB1">
        <w:rPr>
          <w:rFonts w:ascii="Times New Roman" w:hAnsi="Times New Roman"/>
          <w:sz w:val="24"/>
          <w:szCs w:val="24"/>
          <w:lang w:val="sq-AL"/>
        </w:rPr>
        <w:t xml:space="preserve">dhe të barazisë “proporcionale”. Sipas barazisë “strikte”, partitë politike trajtohen pa marrë në konsideratë forcën e tyre aktuale në Kuvend ose të zgjedhësve, ndërsa sipas barazisë “proporcionale”, trajtimi i partive bëhet në raport me numrin e votave. Disa forma mbështetjeje mund t’u nënshtrohen, nga një anë, barazisë strikte dhe, nga ana tjetër, barazisë proporcionale </w:t>
      </w:r>
      <w:r w:rsidR="00367EB7" w:rsidRPr="00037FB1">
        <w:rPr>
          <w:rFonts w:ascii="Times New Roman" w:hAnsi="Times New Roman"/>
          <w:i/>
          <w:sz w:val="24"/>
          <w:szCs w:val="24"/>
          <w:lang w:val="sq-AL"/>
        </w:rPr>
        <w:t>(shih vendimin nr.</w:t>
      </w:r>
      <w:r w:rsidR="00E647FE" w:rsidRPr="00037FB1">
        <w:rPr>
          <w:rFonts w:ascii="Times New Roman" w:hAnsi="Times New Roman"/>
          <w:i/>
          <w:sz w:val="24"/>
          <w:szCs w:val="24"/>
          <w:lang w:val="sq-AL"/>
        </w:rPr>
        <w:t xml:space="preserve"> </w:t>
      </w:r>
      <w:r w:rsidR="00367EB7" w:rsidRPr="00037FB1">
        <w:rPr>
          <w:rFonts w:ascii="Times New Roman" w:hAnsi="Times New Roman"/>
          <w:i/>
          <w:sz w:val="24"/>
          <w:szCs w:val="24"/>
          <w:lang w:val="sq-AL"/>
        </w:rPr>
        <w:t>32, datë 21.06.2010 të Gjykatës Kushtetuese).</w:t>
      </w:r>
    </w:p>
    <w:p w:rsidR="00367EB7"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23</w:t>
      </w:r>
      <w:r w:rsidR="00887727"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Duke qenë se qëllimi kryesor i partive politike është marrja e pushtetit me mjete dhe mënyra demokratike, elementi kryesor që karakterizon veprimtarinë politike të partive është konkurrenca midis tyre. Konkurrimi i lirë është shprehje e drejtpërdrejtë e natyrës pluraliste të një shoqërie demokratike dhe bazohet edhe në faktin që për të gjitha partitë politike zbatohen të njëjtat rregulla të përcaktuara më parë. Këto rregulla bazohen në parimin e mosdiskriminimit, të mostrajtimit preferencial të disa partive ndaj disa të tjerave, duke u dhënë atyre mundësi të njëjta në konkurrimin politik. Çdo kufizim në barazinë e palëve në konkurrimin elektoral nuk mund të arrijë deri në atë masë që të bëjë të pamundur vetë pjesëmarrjen e partive politike në konkurrim</w:t>
      </w:r>
      <w:r w:rsidR="00E647FE"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w:t>
      </w:r>
      <w:r w:rsidR="00367EB7" w:rsidRPr="00037FB1">
        <w:rPr>
          <w:rFonts w:ascii="Times New Roman" w:hAnsi="Times New Roman"/>
          <w:i/>
          <w:sz w:val="24"/>
          <w:szCs w:val="24"/>
          <w:lang w:val="sq-AL"/>
        </w:rPr>
        <w:t>shih vendimin nr.28, datë 09.05.2012 të Gjykatës Kushtetuese).</w:t>
      </w:r>
      <w:r w:rsidR="00367EB7" w:rsidRPr="00037FB1">
        <w:rPr>
          <w:rFonts w:ascii="Times New Roman" w:hAnsi="Times New Roman"/>
          <w:sz w:val="24"/>
          <w:szCs w:val="24"/>
          <w:lang w:val="sq-AL"/>
        </w:rPr>
        <w:t xml:space="preserve">  </w:t>
      </w:r>
    </w:p>
    <w:p w:rsidR="00367EB7"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24</w:t>
      </w:r>
      <w:r w:rsidR="00887727"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Në koncept, parimi i konkurrimit të lirë të partive politike përfshin detyrimin e shtetit për të respektuar shanset e barabarta të të gjitha partive dhe zbatohet në legjislacionin që rregullon kushtet e këtij konkurrimi, si dhe në konfliktet ndërmjet pjesëmarrësve në të. Duke qenë se një efekt i tillë ndikon në respektimin e parimit të barazisë, Gjykata vlerëson se çfarëdolloj ndërhyrjeje nga ligjvënësi mbi këto kushte duhet të udhëhiqet nga interesi publik. Ligjvënësi e ka të ndaluar të trajtojë palët në mënyrë të dallueshme nga njëra-tjetra, përveçse kur ekzistojnë arsye të forta përjashtimore për ta bërë këtë (</w:t>
      </w:r>
      <w:r w:rsidR="00E97E1F" w:rsidRPr="00037FB1">
        <w:rPr>
          <w:rFonts w:ascii="Times New Roman" w:hAnsi="Times New Roman"/>
          <w:i/>
          <w:sz w:val="24"/>
          <w:szCs w:val="24"/>
          <w:lang w:val="sq-AL"/>
        </w:rPr>
        <w:t>shih vendimin</w:t>
      </w:r>
      <w:r w:rsidR="00367EB7" w:rsidRPr="00037FB1">
        <w:rPr>
          <w:rFonts w:ascii="Times New Roman" w:hAnsi="Times New Roman"/>
          <w:i/>
          <w:sz w:val="24"/>
          <w:szCs w:val="24"/>
          <w:lang w:val="sq-AL"/>
        </w:rPr>
        <w:t xml:space="preserve"> nr.</w:t>
      </w:r>
      <w:r w:rsidR="00E647FE" w:rsidRPr="00037FB1">
        <w:rPr>
          <w:rFonts w:ascii="Times New Roman" w:hAnsi="Times New Roman"/>
          <w:i/>
          <w:sz w:val="24"/>
          <w:szCs w:val="24"/>
          <w:lang w:val="sq-AL"/>
        </w:rPr>
        <w:t xml:space="preserve"> </w:t>
      </w:r>
      <w:r w:rsidR="00367EB7" w:rsidRPr="00037FB1">
        <w:rPr>
          <w:rFonts w:ascii="Times New Roman" w:hAnsi="Times New Roman"/>
          <w:i/>
          <w:sz w:val="24"/>
          <w:szCs w:val="24"/>
          <w:lang w:val="sq-AL"/>
        </w:rPr>
        <w:t>32, datë 21.06.2010 të Gjykatës Kushtetuese</w:t>
      </w:r>
      <w:r w:rsidR="00367EB7" w:rsidRPr="00037FB1">
        <w:rPr>
          <w:rFonts w:ascii="Times New Roman" w:hAnsi="Times New Roman"/>
          <w:sz w:val="24"/>
          <w:szCs w:val="24"/>
          <w:lang w:val="sq-AL"/>
        </w:rPr>
        <w:t xml:space="preserve">). </w:t>
      </w:r>
    </w:p>
    <w:p w:rsidR="00776349"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25</w:t>
      </w:r>
      <w:r w:rsidR="00325B6E"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 xml:space="preserve">Duke </w:t>
      </w:r>
      <w:r w:rsidR="00995D09" w:rsidRPr="00037FB1">
        <w:rPr>
          <w:rFonts w:ascii="Times New Roman" w:hAnsi="Times New Roman"/>
          <w:sz w:val="24"/>
          <w:szCs w:val="24"/>
          <w:lang w:val="sq-AL"/>
        </w:rPr>
        <w:t>i</w:t>
      </w:r>
      <w:r w:rsidR="00367EB7" w:rsidRPr="00037FB1">
        <w:rPr>
          <w:rFonts w:ascii="Times New Roman" w:hAnsi="Times New Roman"/>
          <w:sz w:val="24"/>
          <w:szCs w:val="24"/>
          <w:lang w:val="sq-AL"/>
        </w:rPr>
        <w:t xml:space="preserve">u kthyer rastit konkret, Gjykata vëren se urdhri nr. 633/2020 ka </w:t>
      </w:r>
      <w:r w:rsidR="00995D09" w:rsidRPr="00037FB1">
        <w:rPr>
          <w:rFonts w:ascii="Times New Roman" w:hAnsi="Times New Roman"/>
          <w:sz w:val="24"/>
          <w:szCs w:val="24"/>
          <w:lang w:val="sq-AL"/>
        </w:rPr>
        <w:t>ndaluar</w:t>
      </w:r>
      <w:r w:rsidR="007A135E" w:rsidRPr="00037FB1">
        <w:rPr>
          <w:rFonts w:ascii="Times New Roman" w:hAnsi="Times New Roman"/>
          <w:sz w:val="24"/>
          <w:szCs w:val="24"/>
          <w:lang w:val="sq-AL"/>
        </w:rPr>
        <w:t>, ndër të tjera,</w:t>
      </w:r>
      <w:r w:rsidR="00367EB7" w:rsidRPr="00037FB1">
        <w:rPr>
          <w:rFonts w:ascii="Times New Roman" w:hAnsi="Times New Roman"/>
          <w:sz w:val="24"/>
          <w:szCs w:val="24"/>
          <w:lang w:val="sq-AL"/>
        </w:rPr>
        <w:t xml:space="preserve"> grumbullimet me më shumë se 10 persona në v</w:t>
      </w:r>
      <w:r w:rsidR="00B56B20" w:rsidRPr="00037FB1">
        <w:rPr>
          <w:rFonts w:ascii="Times New Roman" w:hAnsi="Times New Roman"/>
          <w:sz w:val="24"/>
          <w:szCs w:val="24"/>
          <w:lang w:val="sq-AL"/>
        </w:rPr>
        <w:t>ende të mbyllura o</w:t>
      </w:r>
      <w:r w:rsidR="00E647FE" w:rsidRPr="00037FB1">
        <w:rPr>
          <w:rFonts w:ascii="Times New Roman" w:hAnsi="Times New Roman"/>
          <w:sz w:val="24"/>
          <w:szCs w:val="24"/>
          <w:lang w:val="sq-AL"/>
        </w:rPr>
        <w:t>se</w:t>
      </w:r>
      <w:r w:rsidR="00B56B20" w:rsidRPr="00037FB1">
        <w:rPr>
          <w:rFonts w:ascii="Times New Roman" w:hAnsi="Times New Roman"/>
          <w:sz w:val="24"/>
          <w:szCs w:val="24"/>
          <w:lang w:val="sq-AL"/>
        </w:rPr>
        <w:t xml:space="preserve"> të hapura,</w:t>
      </w:r>
      <w:r w:rsidR="00612958" w:rsidRPr="00037FB1">
        <w:rPr>
          <w:rFonts w:ascii="Times New Roman" w:hAnsi="Times New Roman"/>
          <w:sz w:val="24"/>
          <w:szCs w:val="24"/>
          <w:lang w:val="sq-AL"/>
        </w:rPr>
        <w:t xml:space="preserve"> tubimet</w:t>
      </w:r>
      <w:r w:rsidR="00E647FE" w:rsidRPr="00037FB1">
        <w:rPr>
          <w:rFonts w:ascii="Times New Roman" w:hAnsi="Times New Roman"/>
          <w:sz w:val="24"/>
          <w:szCs w:val="24"/>
          <w:lang w:val="sq-AL"/>
        </w:rPr>
        <w:t xml:space="preserve"> dhe</w:t>
      </w:r>
      <w:r w:rsidR="00612958" w:rsidRPr="00037FB1">
        <w:rPr>
          <w:rFonts w:ascii="Times New Roman" w:hAnsi="Times New Roman"/>
          <w:sz w:val="24"/>
          <w:szCs w:val="24"/>
          <w:lang w:val="sq-AL"/>
        </w:rPr>
        <w:t xml:space="preserve"> mbledhjet partiake </w:t>
      </w:r>
      <w:r w:rsidR="00367EB7" w:rsidRPr="00037FB1">
        <w:rPr>
          <w:rFonts w:ascii="Times New Roman" w:hAnsi="Times New Roman"/>
          <w:sz w:val="24"/>
          <w:szCs w:val="24"/>
          <w:lang w:val="sq-AL"/>
        </w:rPr>
        <w:t xml:space="preserve">deri në një urdhër të dytë. Kërkuesja </w:t>
      </w:r>
      <w:r w:rsidR="006C42DD" w:rsidRPr="00037FB1">
        <w:rPr>
          <w:rFonts w:ascii="Times New Roman" w:hAnsi="Times New Roman"/>
          <w:sz w:val="24"/>
          <w:szCs w:val="24"/>
          <w:lang w:val="sq-AL"/>
        </w:rPr>
        <w:t xml:space="preserve">ka </w:t>
      </w:r>
      <w:r w:rsidR="00367EB7" w:rsidRPr="00037FB1">
        <w:rPr>
          <w:rFonts w:ascii="Times New Roman" w:hAnsi="Times New Roman"/>
          <w:sz w:val="24"/>
          <w:szCs w:val="24"/>
          <w:lang w:val="sq-AL"/>
        </w:rPr>
        <w:t>pretend</w:t>
      </w:r>
      <w:r w:rsidR="006C42DD" w:rsidRPr="00037FB1">
        <w:rPr>
          <w:rFonts w:ascii="Times New Roman" w:hAnsi="Times New Roman"/>
          <w:sz w:val="24"/>
          <w:szCs w:val="24"/>
          <w:lang w:val="sq-AL"/>
        </w:rPr>
        <w:t xml:space="preserve">uar </w:t>
      </w:r>
      <w:r w:rsidR="00367EB7" w:rsidRPr="00037FB1">
        <w:rPr>
          <w:rFonts w:ascii="Times New Roman" w:hAnsi="Times New Roman"/>
          <w:sz w:val="24"/>
          <w:szCs w:val="24"/>
          <w:lang w:val="sq-AL"/>
        </w:rPr>
        <w:t>se ky akt</w:t>
      </w:r>
      <w:r w:rsidR="00776349" w:rsidRPr="00037FB1">
        <w:rPr>
          <w:rFonts w:ascii="Times New Roman" w:hAnsi="Times New Roman"/>
          <w:sz w:val="24"/>
          <w:szCs w:val="24"/>
          <w:lang w:val="sq-AL"/>
        </w:rPr>
        <w:t xml:space="preserve"> </w:t>
      </w:r>
      <w:r w:rsidR="0003220F" w:rsidRPr="00037FB1">
        <w:rPr>
          <w:rFonts w:ascii="Times New Roman" w:hAnsi="Times New Roman"/>
          <w:sz w:val="24"/>
          <w:szCs w:val="24"/>
          <w:lang w:val="sq-AL"/>
        </w:rPr>
        <w:t>ka paqartësi në tekstin e tij, pasi m</w:t>
      </w:r>
      <w:r w:rsidR="00C4630B" w:rsidRPr="00037FB1">
        <w:rPr>
          <w:rFonts w:ascii="Times New Roman" w:hAnsi="Times New Roman"/>
          <w:sz w:val="24"/>
          <w:szCs w:val="24"/>
          <w:lang w:val="sq-AL"/>
        </w:rPr>
        <w:t>ë</w:t>
      </w:r>
      <w:r w:rsidR="0003220F" w:rsidRPr="00037FB1">
        <w:rPr>
          <w:rFonts w:ascii="Times New Roman" w:hAnsi="Times New Roman"/>
          <w:sz w:val="24"/>
          <w:szCs w:val="24"/>
          <w:lang w:val="sq-AL"/>
        </w:rPr>
        <w:t>nyra e formulimit ndalon t</w:t>
      </w:r>
      <w:r w:rsidR="00C4630B" w:rsidRPr="00037FB1">
        <w:rPr>
          <w:rFonts w:ascii="Times New Roman" w:hAnsi="Times New Roman"/>
          <w:sz w:val="24"/>
          <w:szCs w:val="24"/>
          <w:lang w:val="sq-AL"/>
        </w:rPr>
        <w:t>ë</w:t>
      </w:r>
      <w:r w:rsidR="0003220F" w:rsidRPr="00037FB1">
        <w:rPr>
          <w:rFonts w:ascii="Times New Roman" w:hAnsi="Times New Roman"/>
          <w:sz w:val="24"/>
          <w:szCs w:val="24"/>
          <w:lang w:val="sq-AL"/>
        </w:rPr>
        <w:t>r</w:t>
      </w:r>
      <w:r w:rsidR="00C4630B" w:rsidRPr="00037FB1">
        <w:rPr>
          <w:rFonts w:ascii="Times New Roman" w:hAnsi="Times New Roman"/>
          <w:sz w:val="24"/>
          <w:szCs w:val="24"/>
          <w:lang w:val="sq-AL"/>
        </w:rPr>
        <w:t>ë</w:t>
      </w:r>
      <w:r w:rsidR="0003220F" w:rsidRPr="00037FB1">
        <w:rPr>
          <w:rFonts w:ascii="Times New Roman" w:hAnsi="Times New Roman"/>
          <w:sz w:val="24"/>
          <w:szCs w:val="24"/>
          <w:lang w:val="sq-AL"/>
        </w:rPr>
        <w:t>sisht tubimet dhe mbledhjet partiake, pavar</w:t>
      </w:r>
      <w:r w:rsidR="00C4630B" w:rsidRPr="00037FB1">
        <w:rPr>
          <w:rFonts w:ascii="Times New Roman" w:hAnsi="Times New Roman"/>
          <w:sz w:val="24"/>
          <w:szCs w:val="24"/>
          <w:lang w:val="sq-AL"/>
        </w:rPr>
        <w:t>ë</w:t>
      </w:r>
      <w:r w:rsidR="0003220F" w:rsidRPr="00037FB1">
        <w:rPr>
          <w:rFonts w:ascii="Times New Roman" w:hAnsi="Times New Roman"/>
          <w:sz w:val="24"/>
          <w:szCs w:val="24"/>
          <w:lang w:val="sq-AL"/>
        </w:rPr>
        <w:t>sisht numrit t</w:t>
      </w:r>
      <w:r w:rsidR="00C4630B" w:rsidRPr="00037FB1">
        <w:rPr>
          <w:rFonts w:ascii="Times New Roman" w:hAnsi="Times New Roman"/>
          <w:sz w:val="24"/>
          <w:szCs w:val="24"/>
          <w:lang w:val="sq-AL"/>
        </w:rPr>
        <w:t>ë</w:t>
      </w:r>
      <w:r w:rsidR="0003220F" w:rsidRPr="00037FB1">
        <w:rPr>
          <w:rFonts w:ascii="Times New Roman" w:hAnsi="Times New Roman"/>
          <w:sz w:val="24"/>
          <w:szCs w:val="24"/>
          <w:lang w:val="sq-AL"/>
        </w:rPr>
        <w:t xml:space="preserve"> personave, duke </w:t>
      </w:r>
      <w:r w:rsidR="00776349" w:rsidRPr="00037FB1">
        <w:rPr>
          <w:rFonts w:ascii="Times New Roman" w:hAnsi="Times New Roman"/>
          <w:sz w:val="24"/>
          <w:szCs w:val="24"/>
          <w:lang w:val="sq-AL"/>
        </w:rPr>
        <w:t>krij</w:t>
      </w:r>
      <w:r w:rsidR="0003220F" w:rsidRPr="00037FB1">
        <w:rPr>
          <w:rFonts w:ascii="Times New Roman" w:hAnsi="Times New Roman"/>
          <w:sz w:val="24"/>
          <w:szCs w:val="24"/>
          <w:lang w:val="sq-AL"/>
        </w:rPr>
        <w:t xml:space="preserve">uar </w:t>
      </w:r>
      <w:r w:rsidR="00776349" w:rsidRPr="00037FB1">
        <w:rPr>
          <w:rFonts w:ascii="Times New Roman" w:hAnsi="Times New Roman"/>
          <w:sz w:val="24"/>
          <w:szCs w:val="24"/>
          <w:lang w:val="sq-AL"/>
        </w:rPr>
        <w:t>një situatë pabara</w:t>
      </w:r>
      <w:r w:rsidR="0003220F" w:rsidRPr="00037FB1">
        <w:rPr>
          <w:rFonts w:ascii="Times New Roman" w:hAnsi="Times New Roman"/>
          <w:sz w:val="24"/>
          <w:szCs w:val="24"/>
          <w:lang w:val="sq-AL"/>
        </w:rPr>
        <w:t xml:space="preserve">zie </w:t>
      </w:r>
      <w:r w:rsidR="00776349" w:rsidRPr="00037FB1">
        <w:rPr>
          <w:rFonts w:ascii="Times New Roman" w:hAnsi="Times New Roman"/>
          <w:sz w:val="24"/>
          <w:szCs w:val="24"/>
          <w:lang w:val="sq-AL"/>
        </w:rPr>
        <w:t>mes partive politike në fushatën parazgjedhore dhe zgjedhore</w:t>
      </w:r>
      <w:r w:rsidR="00002956" w:rsidRPr="00037FB1">
        <w:rPr>
          <w:rFonts w:ascii="Times New Roman" w:hAnsi="Times New Roman"/>
          <w:sz w:val="24"/>
          <w:szCs w:val="24"/>
          <w:lang w:val="sq-AL"/>
        </w:rPr>
        <w:t xml:space="preserve">. Ndërsa subjekti i interesuar, Këshilli i Ministrave, </w:t>
      </w:r>
      <w:r w:rsidR="006C42DD" w:rsidRPr="00037FB1">
        <w:rPr>
          <w:rFonts w:ascii="Times New Roman" w:hAnsi="Times New Roman"/>
          <w:sz w:val="24"/>
          <w:szCs w:val="24"/>
          <w:lang w:val="sq-AL"/>
        </w:rPr>
        <w:t xml:space="preserve">ka </w:t>
      </w:r>
      <w:r w:rsidR="00002956" w:rsidRPr="00037FB1">
        <w:rPr>
          <w:rFonts w:ascii="Times New Roman" w:hAnsi="Times New Roman"/>
          <w:sz w:val="24"/>
          <w:szCs w:val="24"/>
          <w:lang w:val="sq-AL"/>
        </w:rPr>
        <w:t>prapës</w:t>
      </w:r>
      <w:r w:rsidR="006C42DD" w:rsidRPr="00037FB1">
        <w:rPr>
          <w:rFonts w:ascii="Times New Roman" w:hAnsi="Times New Roman"/>
          <w:sz w:val="24"/>
          <w:szCs w:val="24"/>
          <w:lang w:val="sq-AL"/>
        </w:rPr>
        <w:t xml:space="preserve">uar </w:t>
      </w:r>
      <w:r w:rsidR="00002956" w:rsidRPr="00037FB1">
        <w:rPr>
          <w:rFonts w:ascii="Times New Roman" w:hAnsi="Times New Roman"/>
          <w:sz w:val="24"/>
          <w:szCs w:val="24"/>
          <w:lang w:val="sq-AL"/>
        </w:rPr>
        <w:t xml:space="preserve">se akti </w:t>
      </w:r>
      <w:r w:rsidR="00EF426F" w:rsidRPr="00037FB1">
        <w:rPr>
          <w:rFonts w:ascii="Times New Roman" w:hAnsi="Times New Roman"/>
          <w:sz w:val="24"/>
          <w:szCs w:val="24"/>
          <w:lang w:val="sq-AL"/>
        </w:rPr>
        <w:t xml:space="preserve">parashikon detyrime të njëjta për të gjithë personat fizikë dhe juridikë në Republikën e Shqipërisë dhe </w:t>
      </w:r>
      <w:r w:rsidR="00002956" w:rsidRPr="00037FB1">
        <w:rPr>
          <w:rFonts w:ascii="Times New Roman" w:hAnsi="Times New Roman"/>
          <w:sz w:val="24"/>
          <w:szCs w:val="24"/>
          <w:lang w:val="sq-AL"/>
        </w:rPr>
        <w:t xml:space="preserve">është i qartë </w:t>
      </w:r>
      <w:r w:rsidR="00EF426F" w:rsidRPr="00037FB1">
        <w:rPr>
          <w:rFonts w:ascii="Times New Roman" w:hAnsi="Times New Roman"/>
          <w:sz w:val="24"/>
          <w:szCs w:val="24"/>
          <w:lang w:val="sq-AL"/>
        </w:rPr>
        <w:t>n</w:t>
      </w:r>
      <w:r w:rsidR="00E2419D" w:rsidRPr="00037FB1">
        <w:rPr>
          <w:rFonts w:ascii="Times New Roman" w:hAnsi="Times New Roman"/>
          <w:sz w:val="24"/>
          <w:szCs w:val="24"/>
          <w:lang w:val="sq-AL"/>
        </w:rPr>
        <w:t>ë</w:t>
      </w:r>
      <w:r w:rsidR="00EF426F" w:rsidRPr="00037FB1">
        <w:rPr>
          <w:rFonts w:ascii="Times New Roman" w:hAnsi="Times New Roman"/>
          <w:sz w:val="24"/>
          <w:szCs w:val="24"/>
          <w:lang w:val="sq-AL"/>
        </w:rPr>
        <w:t xml:space="preserve"> p</w:t>
      </w:r>
      <w:r w:rsidR="00E2419D" w:rsidRPr="00037FB1">
        <w:rPr>
          <w:rFonts w:ascii="Times New Roman" w:hAnsi="Times New Roman"/>
          <w:sz w:val="24"/>
          <w:szCs w:val="24"/>
          <w:lang w:val="sq-AL"/>
        </w:rPr>
        <w:t>ë</w:t>
      </w:r>
      <w:r w:rsidR="00EF426F" w:rsidRPr="00037FB1">
        <w:rPr>
          <w:rFonts w:ascii="Times New Roman" w:hAnsi="Times New Roman"/>
          <w:sz w:val="24"/>
          <w:szCs w:val="24"/>
          <w:lang w:val="sq-AL"/>
        </w:rPr>
        <w:t xml:space="preserve">rmbajtjen e tij. Ai </w:t>
      </w:r>
      <w:r w:rsidR="00002956" w:rsidRPr="00037FB1">
        <w:rPr>
          <w:rFonts w:ascii="Times New Roman" w:hAnsi="Times New Roman"/>
          <w:sz w:val="24"/>
          <w:szCs w:val="24"/>
          <w:lang w:val="sq-AL"/>
        </w:rPr>
        <w:t xml:space="preserve">duhet kuptuar se lejon </w:t>
      </w:r>
      <w:r w:rsidR="0003220F" w:rsidRPr="00037FB1">
        <w:rPr>
          <w:rFonts w:ascii="Times New Roman" w:hAnsi="Times New Roman"/>
          <w:sz w:val="24"/>
          <w:szCs w:val="24"/>
          <w:lang w:val="sq-AL"/>
        </w:rPr>
        <w:t xml:space="preserve">çdo lloj </w:t>
      </w:r>
      <w:r w:rsidR="00002956" w:rsidRPr="00037FB1">
        <w:rPr>
          <w:rFonts w:ascii="Times New Roman" w:hAnsi="Times New Roman"/>
          <w:sz w:val="24"/>
          <w:szCs w:val="24"/>
          <w:lang w:val="sq-AL"/>
        </w:rPr>
        <w:t>grumbullim</w:t>
      </w:r>
      <w:r w:rsidR="0003220F" w:rsidRPr="00037FB1">
        <w:rPr>
          <w:rFonts w:ascii="Times New Roman" w:hAnsi="Times New Roman"/>
          <w:sz w:val="24"/>
          <w:szCs w:val="24"/>
          <w:lang w:val="sq-AL"/>
        </w:rPr>
        <w:t>i</w:t>
      </w:r>
      <w:r w:rsidR="00002956" w:rsidRPr="00037FB1">
        <w:rPr>
          <w:rFonts w:ascii="Times New Roman" w:hAnsi="Times New Roman"/>
          <w:sz w:val="24"/>
          <w:szCs w:val="24"/>
          <w:lang w:val="sq-AL"/>
        </w:rPr>
        <w:t xml:space="preserve"> deri në 10 persona</w:t>
      </w:r>
      <w:r w:rsidR="003178F9" w:rsidRPr="00037FB1">
        <w:rPr>
          <w:rFonts w:ascii="Times New Roman" w:hAnsi="Times New Roman"/>
          <w:sz w:val="24"/>
          <w:szCs w:val="24"/>
          <w:lang w:val="sq-AL"/>
        </w:rPr>
        <w:t>, duke p</w:t>
      </w:r>
      <w:r w:rsidR="00C4630B" w:rsidRPr="00037FB1">
        <w:rPr>
          <w:rFonts w:ascii="Times New Roman" w:hAnsi="Times New Roman"/>
          <w:sz w:val="24"/>
          <w:szCs w:val="24"/>
          <w:lang w:val="sq-AL"/>
        </w:rPr>
        <w:t>ë</w:t>
      </w:r>
      <w:r w:rsidR="003178F9" w:rsidRPr="00037FB1">
        <w:rPr>
          <w:rFonts w:ascii="Times New Roman" w:hAnsi="Times New Roman"/>
          <w:sz w:val="24"/>
          <w:szCs w:val="24"/>
          <w:lang w:val="sq-AL"/>
        </w:rPr>
        <w:t>rfshir</w:t>
      </w:r>
      <w:r w:rsidR="00C4630B" w:rsidRPr="00037FB1">
        <w:rPr>
          <w:rFonts w:ascii="Times New Roman" w:hAnsi="Times New Roman"/>
          <w:sz w:val="24"/>
          <w:szCs w:val="24"/>
          <w:lang w:val="sq-AL"/>
        </w:rPr>
        <w:t>ë</w:t>
      </w:r>
      <w:r w:rsidR="00325B6E" w:rsidRPr="00037FB1">
        <w:rPr>
          <w:rFonts w:ascii="Times New Roman" w:hAnsi="Times New Roman"/>
          <w:sz w:val="24"/>
          <w:szCs w:val="24"/>
          <w:lang w:val="sq-AL"/>
        </w:rPr>
        <w:t xml:space="preserve"> edhe tubimet dhe mb</w:t>
      </w:r>
      <w:r w:rsidR="003178F9" w:rsidRPr="00037FB1">
        <w:rPr>
          <w:rFonts w:ascii="Times New Roman" w:hAnsi="Times New Roman"/>
          <w:sz w:val="24"/>
          <w:szCs w:val="24"/>
          <w:lang w:val="sq-AL"/>
        </w:rPr>
        <w:t>ledhjet partiake</w:t>
      </w:r>
      <w:r w:rsidR="00002956" w:rsidRPr="00037FB1">
        <w:rPr>
          <w:rFonts w:ascii="Times New Roman" w:hAnsi="Times New Roman"/>
          <w:sz w:val="24"/>
          <w:szCs w:val="24"/>
          <w:lang w:val="sq-AL"/>
        </w:rPr>
        <w:t>.</w:t>
      </w:r>
      <w:r w:rsidR="00451542" w:rsidRPr="00037FB1">
        <w:rPr>
          <w:rFonts w:ascii="Times New Roman" w:hAnsi="Times New Roman"/>
          <w:sz w:val="24"/>
          <w:szCs w:val="24"/>
          <w:lang w:val="sq-AL"/>
        </w:rPr>
        <w:t xml:space="preserve"> </w:t>
      </w:r>
    </w:p>
    <w:p w:rsidR="001F3A18" w:rsidRPr="00037FB1" w:rsidRDefault="009F1F66" w:rsidP="0037360A">
      <w:pPr>
        <w:tabs>
          <w:tab w:val="left" w:pos="1080"/>
        </w:tabs>
        <w:spacing w:after="0" w:line="360" w:lineRule="auto"/>
        <w:ind w:firstLine="720"/>
        <w:jc w:val="both"/>
        <w:rPr>
          <w:rFonts w:ascii="Times New Roman" w:hAnsi="Times New Roman"/>
          <w:i/>
          <w:sz w:val="24"/>
          <w:szCs w:val="24"/>
          <w:lang w:val="sq-AL"/>
        </w:rPr>
      </w:pPr>
      <w:r w:rsidRPr="00037FB1">
        <w:rPr>
          <w:rFonts w:ascii="Times New Roman" w:hAnsi="Times New Roman"/>
          <w:sz w:val="24"/>
          <w:szCs w:val="24"/>
          <w:lang w:val="sq-AL"/>
        </w:rPr>
        <w:t>26</w:t>
      </w:r>
      <w:r w:rsidR="00325B6E" w:rsidRPr="00037FB1">
        <w:rPr>
          <w:rFonts w:ascii="Times New Roman" w:hAnsi="Times New Roman"/>
          <w:sz w:val="24"/>
          <w:szCs w:val="24"/>
          <w:lang w:val="sq-AL"/>
        </w:rPr>
        <w:t xml:space="preserve">. </w:t>
      </w:r>
      <w:r w:rsidR="00451542" w:rsidRPr="00037FB1">
        <w:rPr>
          <w:rFonts w:ascii="Times New Roman" w:hAnsi="Times New Roman"/>
          <w:sz w:val="24"/>
          <w:szCs w:val="24"/>
          <w:lang w:val="sq-AL"/>
        </w:rPr>
        <w:t xml:space="preserve">Gjykata </w:t>
      </w:r>
      <w:r w:rsidR="0003220F" w:rsidRPr="00037FB1">
        <w:rPr>
          <w:rFonts w:ascii="Times New Roman" w:hAnsi="Times New Roman"/>
          <w:sz w:val="24"/>
          <w:szCs w:val="24"/>
          <w:lang w:val="sq-AL"/>
        </w:rPr>
        <w:t xml:space="preserve">thekson se si rregull </w:t>
      </w:r>
      <w:r w:rsidR="00451542" w:rsidRPr="00037FB1">
        <w:rPr>
          <w:rFonts w:ascii="Times New Roman" w:hAnsi="Times New Roman"/>
          <w:sz w:val="24"/>
          <w:szCs w:val="24"/>
          <w:lang w:val="sq-AL"/>
        </w:rPr>
        <w:t>hartimi i akteve nënligjore në mënyrë të shkurtuar dhe të përmbledhur, pa një pjesë h</w:t>
      </w:r>
      <w:r w:rsidR="006C42DD" w:rsidRPr="00037FB1">
        <w:rPr>
          <w:rFonts w:ascii="Times New Roman" w:hAnsi="Times New Roman"/>
          <w:sz w:val="24"/>
          <w:szCs w:val="24"/>
          <w:lang w:val="sq-AL"/>
        </w:rPr>
        <w:t>yrëse dhe pa raporte shpjeguese</w:t>
      </w:r>
      <w:r w:rsidR="00451542" w:rsidRPr="00037FB1">
        <w:rPr>
          <w:rFonts w:ascii="Times New Roman" w:hAnsi="Times New Roman"/>
          <w:sz w:val="24"/>
          <w:szCs w:val="24"/>
          <w:lang w:val="sq-AL"/>
        </w:rPr>
        <w:t xml:space="preserve"> që i shoqëron ato</w:t>
      </w:r>
      <w:r w:rsidR="006C42DD" w:rsidRPr="00037FB1">
        <w:rPr>
          <w:rFonts w:ascii="Times New Roman" w:hAnsi="Times New Roman"/>
          <w:sz w:val="24"/>
          <w:szCs w:val="24"/>
          <w:lang w:val="sq-AL"/>
        </w:rPr>
        <w:t>,</w:t>
      </w:r>
      <w:r w:rsidR="00451542" w:rsidRPr="00037FB1">
        <w:rPr>
          <w:rFonts w:ascii="Times New Roman" w:hAnsi="Times New Roman"/>
          <w:sz w:val="24"/>
          <w:szCs w:val="24"/>
          <w:lang w:val="sq-AL"/>
        </w:rPr>
        <w:t xml:space="preserve"> e bën më të vështirë vlerësimin nëse një kufizim i veçantë </w:t>
      </w:r>
      <w:r w:rsidR="003178F9" w:rsidRPr="00037FB1">
        <w:rPr>
          <w:rFonts w:ascii="Times New Roman" w:hAnsi="Times New Roman"/>
          <w:sz w:val="24"/>
          <w:szCs w:val="24"/>
          <w:lang w:val="sq-AL"/>
        </w:rPr>
        <w:t>i t</w:t>
      </w:r>
      <w:r w:rsidR="00C4630B" w:rsidRPr="00037FB1">
        <w:rPr>
          <w:rFonts w:ascii="Times New Roman" w:hAnsi="Times New Roman"/>
          <w:sz w:val="24"/>
          <w:szCs w:val="24"/>
          <w:lang w:val="sq-AL"/>
        </w:rPr>
        <w:t>ë</w:t>
      </w:r>
      <w:r w:rsidR="003178F9" w:rsidRPr="00037FB1">
        <w:rPr>
          <w:rFonts w:ascii="Times New Roman" w:hAnsi="Times New Roman"/>
          <w:sz w:val="24"/>
          <w:szCs w:val="24"/>
          <w:lang w:val="sq-AL"/>
        </w:rPr>
        <w:t xml:space="preserve"> drejtave </w:t>
      </w:r>
      <w:r w:rsidR="00451542" w:rsidRPr="00037FB1">
        <w:rPr>
          <w:rFonts w:ascii="Times New Roman" w:hAnsi="Times New Roman"/>
          <w:sz w:val="24"/>
          <w:szCs w:val="24"/>
          <w:lang w:val="sq-AL"/>
        </w:rPr>
        <w:t>përmbush parimet dhe standardet kushtetuese</w:t>
      </w:r>
      <w:r w:rsidR="00776349" w:rsidRPr="00037FB1">
        <w:rPr>
          <w:rFonts w:ascii="Times New Roman" w:hAnsi="Times New Roman"/>
          <w:sz w:val="24"/>
          <w:szCs w:val="24"/>
          <w:lang w:val="sq-AL"/>
        </w:rPr>
        <w:t xml:space="preserve"> dhe kjo situat</w:t>
      </w:r>
      <w:r w:rsidR="00E2419D" w:rsidRPr="00037FB1">
        <w:rPr>
          <w:rFonts w:ascii="Times New Roman" w:hAnsi="Times New Roman"/>
          <w:sz w:val="24"/>
          <w:szCs w:val="24"/>
          <w:lang w:val="sq-AL"/>
        </w:rPr>
        <w:t>ë</w:t>
      </w:r>
      <w:r w:rsidR="00776349" w:rsidRPr="00037FB1">
        <w:rPr>
          <w:rFonts w:ascii="Times New Roman" w:hAnsi="Times New Roman"/>
          <w:sz w:val="24"/>
          <w:szCs w:val="24"/>
          <w:lang w:val="sq-AL"/>
        </w:rPr>
        <w:t xml:space="preserve"> përkeqësohet kur rregullat ndryshojnë shpesh </w:t>
      </w:r>
      <w:r w:rsidR="006C42DD" w:rsidRPr="00037FB1">
        <w:rPr>
          <w:rFonts w:ascii="Times New Roman" w:hAnsi="Times New Roman"/>
          <w:sz w:val="24"/>
          <w:szCs w:val="24"/>
          <w:lang w:val="sq-AL"/>
        </w:rPr>
        <w:t>ose</w:t>
      </w:r>
      <w:r w:rsidR="00776349" w:rsidRPr="00037FB1">
        <w:rPr>
          <w:rFonts w:ascii="Times New Roman" w:hAnsi="Times New Roman"/>
          <w:sz w:val="24"/>
          <w:szCs w:val="24"/>
          <w:lang w:val="sq-AL"/>
        </w:rPr>
        <w:t xml:space="preserve"> kur qasjet janë </w:t>
      </w:r>
      <w:r w:rsidR="00776349" w:rsidRPr="00037FB1">
        <w:rPr>
          <w:rFonts w:ascii="Times New Roman" w:hAnsi="Times New Roman"/>
          <w:i/>
          <w:sz w:val="24"/>
          <w:szCs w:val="24"/>
          <w:lang w:val="sq-AL"/>
        </w:rPr>
        <w:t>ad hoc</w:t>
      </w:r>
      <w:r w:rsidR="00451542" w:rsidRPr="00037FB1">
        <w:rPr>
          <w:rFonts w:ascii="Times New Roman" w:hAnsi="Times New Roman"/>
          <w:sz w:val="24"/>
          <w:szCs w:val="24"/>
          <w:lang w:val="sq-AL"/>
        </w:rPr>
        <w:t xml:space="preserve">. </w:t>
      </w:r>
      <w:r w:rsidR="003178F9" w:rsidRPr="00037FB1">
        <w:rPr>
          <w:rFonts w:ascii="Times New Roman" w:hAnsi="Times New Roman"/>
          <w:sz w:val="24"/>
          <w:szCs w:val="24"/>
          <w:lang w:val="sq-AL"/>
        </w:rPr>
        <w:t>N</w:t>
      </w:r>
      <w:r w:rsidR="00C4630B" w:rsidRPr="00037FB1">
        <w:rPr>
          <w:rFonts w:ascii="Times New Roman" w:hAnsi="Times New Roman"/>
          <w:sz w:val="24"/>
          <w:szCs w:val="24"/>
          <w:lang w:val="sq-AL"/>
        </w:rPr>
        <w:t>ë</w:t>
      </w:r>
      <w:r w:rsidR="003178F9" w:rsidRPr="00037FB1">
        <w:rPr>
          <w:rFonts w:ascii="Times New Roman" w:hAnsi="Times New Roman"/>
          <w:sz w:val="24"/>
          <w:szCs w:val="24"/>
          <w:lang w:val="sq-AL"/>
        </w:rPr>
        <w:t xml:space="preserve"> k</w:t>
      </w:r>
      <w:r w:rsidR="00C4630B" w:rsidRPr="00037FB1">
        <w:rPr>
          <w:rFonts w:ascii="Times New Roman" w:hAnsi="Times New Roman"/>
          <w:sz w:val="24"/>
          <w:szCs w:val="24"/>
          <w:lang w:val="sq-AL"/>
        </w:rPr>
        <w:t>ë</w:t>
      </w:r>
      <w:r w:rsidR="003178F9" w:rsidRPr="00037FB1">
        <w:rPr>
          <w:rFonts w:ascii="Times New Roman" w:hAnsi="Times New Roman"/>
          <w:sz w:val="24"/>
          <w:szCs w:val="24"/>
          <w:lang w:val="sq-AL"/>
        </w:rPr>
        <w:t>t</w:t>
      </w:r>
      <w:r w:rsidR="00C4630B" w:rsidRPr="00037FB1">
        <w:rPr>
          <w:rFonts w:ascii="Times New Roman" w:hAnsi="Times New Roman"/>
          <w:sz w:val="24"/>
          <w:szCs w:val="24"/>
          <w:lang w:val="sq-AL"/>
        </w:rPr>
        <w:t>ë</w:t>
      </w:r>
      <w:r w:rsidR="003178F9" w:rsidRPr="00037FB1">
        <w:rPr>
          <w:rFonts w:ascii="Times New Roman" w:hAnsi="Times New Roman"/>
          <w:sz w:val="24"/>
          <w:szCs w:val="24"/>
          <w:lang w:val="sq-AL"/>
        </w:rPr>
        <w:t xml:space="preserve"> drejtim, urdhri i kund</w:t>
      </w:r>
      <w:r w:rsidR="00C4630B" w:rsidRPr="00037FB1">
        <w:rPr>
          <w:rFonts w:ascii="Times New Roman" w:hAnsi="Times New Roman"/>
          <w:sz w:val="24"/>
          <w:szCs w:val="24"/>
          <w:lang w:val="sq-AL"/>
        </w:rPr>
        <w:t>ë</w:t>
      </w:r>
      <w:r w:rsidR="003178F9" w:rsidRPr="00037FB1">
        <w:rPr>
          <w:rFonts w:ascii="Times New Roman" w:hAnsi="Times New Roman"/>
          <w:sz w:val="24"/>
          <w:szCs w:val="24"/>
          <w:lang w:val="sq-AL"/>
        </w:rPr>
        <w:t>rshtuar duhet t</w:t>
      </w:r>
      <w:r w:rsidR="00C4630B" w:rsidRPr="00037FB1">
        <w:rPr>
          <w:rFonts w:ascii="Times New Roman" w:hAnsi="Times New Roman"/>
          <w:sz w:val="24"/>
          <w:szCs w:val="24"/>
          <w:lang w:val="sq-AL"/>
        </w:rPr>
        <w:t>ë</w:t>
      </w:r>
      <w:r w:rsidR="003178F9" w:rsidRPr="00037FB1">
        <w:rPr>
          <w:rFonts w:ascii="Times New Roman" w:hAnsi="Times New Roman"/>
          <w:sz w:val="24"/>
          <w:szCs w:val="24"/>
          <w:lang w:val="sq-AL"/>
        </w:rPr>
        <w:t xml:space="preserve"> </w:t>
      </w:r>
      <w:r w:rsidR="00905018" w:rsidRPr="00037FB1">
        <w:rPr>
          <w:rFonts w:ascii="Times New Roman" w:hAnsi="Times New Roman"/>
          <w:sz w:val="24"/>
          <w:szCs w:val="24"/>
          <w:lang w:val="sq-AL"/>
        </w:rPr>
        <w:t>arsyetonte</w:t>
      </w:r>
      <w:r w:rsidR="003178F9" w:rsidRPr="00037FB1">
        <w:rPr>
          <w:rFonts w:ascii="Times New Roman" w:hAnsi="Times New Roman"/>
          <w:sz w:val="24"/>
          <w:szCs w:val="24"/>
          <w:lang w:val="sq-AL"/>
        </w:rPr>
        <w:t xml:space="preserve"> p</w:t>
      </w:r>
      <w:r w:rsidR="00C4630B" w:rsidRPr="00037FB1">
        <w:rPr>
          <w:rFonts w:ascii="Times New Roman" w:hAnsi="Times New Roman"/>
          <w:sz w:val="24"/>
          <w:szCs w:val="24"/>
          <w:lang w:val="sq-AL"/>
        </w:rPr>
        <w:t>ë</w:t>
      </w:r>
      <w:r w:rsidR="003178F9" w:rsidRPr="00037FB1">
        <w:rPr>
          <w:rFonts w:ascii="Times New Roman" w:hAnsi="Times New Roman"/>
          <w:sz w:val="24"/>
          <w:szCs w:val="24"/>
          <w:lang w:val="sq-AL"/>
        </w:rPr>
        <w:t>rse disa veprimtari jan</w:t>
      </w:r>
      <w:r w:rsidR="00C4630B" w:rsidRPr="00037FB1">
        <w:rPr>
          <w:rFonts w:ascii="Times New Roman" w:hAnsi="Times New Roman"/>
          <w:sz w:val="24"/>
          <w:szCs w:val="24"/>
          <w:lang w:val="sq-AL"/>
        </w:rPr>
        <w:t>ë</w:t>
      </w:r>
      <w:r w:rsidR="003178F9" w:rsidRPr="00037FB1">
        <w:rPr>
          <w:rFonts w:ascii="Times New Roman" w:hAnsi="Times New Roman"/>
          <w:sz w:val="24"/>
          <w:szCs w:val="24"/>
          <w:lang w:val="sq-AL"/>
        </w:rPr>
        <w:t xml:space="preserve"> grupuar s</w:t>
      </w:r>
      <w:r w:rsidR="00C4630B" w:rsidRPr="00037FB1">
        <w:rPr>
          <w:rFonts w:ascii="Times New Roman" w:hAnsi="Times New Roman"/>
          <w:sz w:val="24"/>
          <w:szCs w:val="24"/>
          <w:lang w:val="sq-AL"/>
        </w:rPr>
        <w:t>ë</w:t>
      </w:r>
      <w:r w:rsidR="003178F9" w:rsidRPr="00037FB1">
        <w:rPr>
          <w:rFonts w:ascii="Times New Roman" w:hAnsi="Times New Roman"/>
          <w:sz w:val="24"/>
          <w:szCs w:val="24"/>
          <w:lang w:val="sq-AL"/>
        </w:rPr>
        <w:t xml:space="preserve"> bashku</w:t>
      </w:r>
      <w:r w:rsidR="00905018" w:rsidRPr="00037FB1">
        <w:rPr>
          <w:rFonts w:ascii="Times New Roman" w:hAnsi="Times New Roman"/>
          <w:sz w:val="24"/>
          <w:szCs w:val="24"/>
          <w:lang w:val="sq-AL"/>
        </w:rPr>
        <w:t xml:space="preserve"> (t</w:t>
      </w:r>
      <w:r w:rsidR="003178F9" w:rsidRPr="00037FB1">
        <w:rPr>
          <w:rFonts w:ascii="Times New Roman" w:hAnsi="Times New Roman"/>
          <w:sz w:val="24"/>
          <w:szCs w:val="24"/>
          <w:lang w:val="sq-AL"/>
        </w:rPr>
        <w:t>ubimet</w:t>
      </w:r>
      <w:r w:rsidR="00905018" w:rsidRPr="00037FB1">
        <w:rPr>
          <w:rFonts w:ascii="Times New Roman" w:hAnsi="Times New Roman"/>
          <w:sz w:val="24"/>
          <w:szCs w:val="24"/>
          <w:lang w:val="sq-AL"/>
        </w:rPr>
        <w:t xml:space="preserve">, </w:t>
      </w:r>
      <w:r w:rsidR="003178F9" w:rsidRPr="00037FB1">
        <w:rPr>
          <w:rFonts w:ascii="Times New Roman" w:hAnsi="Times New Roman"/>
          <w:sz w:val="24"/>
          <w:szCs w:val="24"/>
          <w:lang w:val="sq-AL"/>
        </w:rPr>
        <w:t>mbledhjet partiake</w:t>
      </w:r>
      <w:r w:rsidR="00905018" w:rsidRPr="00037FB1">
        <w:rPr>
          <w:rFonts w:ascii="Times New Roman" w:hAnsi="Times New Roman"/>
          <w:sz w:val="24"/>
          <w:szCs w:val="24"/>
          <w:lang w:val="sq-AL"/>
        </w:rPr>
        <w:t xml:space="preserve"> dhe ceremonitë familjare) dhe trajtohen </w:t>
      </w:r>
      <w:r w:rsidR="003178F9" w:rsidRPr="00037FB1">
        <w:rPr>
          <w:rFonts w:ascii="Times New Roman" w:hAnsi="Times New Roman"/>
          <w:sz w:val="24"/>
          <w:szCs w:val="24"/>
          <w:lang w:val="sq-AL"/>
        </w:rPr>
        <w:t>ndryshe</w:t>
      </w:r>
      <w:r w:rsidR="00905018" w:rsidRPr="00037FB1">
        <w:rPr>
          <w:rFonts w:ascii="Times New Roman" w:hAnsi="Times New Roman"/>
          <w:sz w:val="24"/>
          <w:szCs w:val="24"/>
          <w:lang w:val="sq-AL"/>
        </w:rPr>
        <w:t xml:space="preserve"> nga disa veprimtari të tjera, që përfshijnë grumbullime personash dhe që nuk mbulohen nga ky urdhër</w:t>
      </w:r>
      <w:r w:rsidR="003178F9" w:rsidRPr="00037FB1">
        <w:rPr>
          <w:rFonts w:ascii="Times New Roman" w:hAnsi="Times New Roman"/>
          <w:sz w:val="24"/>
          <w:szCs w:val="24"/>
          <w:lang w:val="sq-AL"/>
        </w:rPr>
        <w:t xml:space="preserve">. </w:t>
      </w:r>
      <w:r w:rsidR="00904146" w:rsidRPr="00037FB1">
        <w:rPr>
          <w:rFonts w:ascii="Times New Roman" w:hAnsi="Times New Roman"/>
          <w:i/>
          <w:sz w:val="24"/>
          <w:szCs w:val="24"/>
          <w:lang w:val="sq-AL"/>
        </w:rPr>
        <w:t xml:space="preserve"> </w:t>
      </w:r>
    </w:p>
    <w:p w:rsidR="00972DA6" w:rsidRPr="00037FB1" w:rsidRDefault="00325B6E" w:rsidP="0037360A">
      <w:pPr>
        <w:pStyle w:val="NormalWeb"/>
        <w:tabs>
          <w:tab w:val="left" w:pos="1080"/>
        </w:tabs>
        <w:spacing w:before="0" w:beforeAutospacing="0" w:after="0" w:afterAutospacing="0" w:line="360" w:lineRule="auto"/>
        <w:ind w:firstLine="720"/>
        <w:jc w:val="both"/>
        <w:textAlignment w:val="baseline"/>
        <w:rPr>
          <w:rFonts w:eastAsia="Calibri"/>
          <w:lang w:val="sq-AL"/>
        </w:rPr>
      </w:pPr>
      <w:r w:rsidRPr="00037FB1">
        <w:rPr>
          <w:color w:val="3C4043"/>
          <w:spacing w:val="2"/>
          <w:shd w:val="clear" w:color="auto" w:fill="FFFFFF"/>
          <w:lang w:val="sq-AL"/>
        </w:rPr>
        <w:t>2</w:t>
      </w:r>
      <w:r w:rsidR="009F1F66" w:rsidRPr="00037FB1">
        <w:rPr>
          <w:color w:val="3C4043"/>
          <w:spacing w:val="2"/>
          <w:shd w:val="clear" w:color="auto" w:fill="FFFFFF"/>
          <w:lang w:val="sq-AL"/>
        </w:rPr>
        <w:t>7</w:t>
      </w:r>
      <w:r w:rsidRPr="00037FB1">
        <w:rPr>
          <w:color w:val="3C4043"/>
          <w:spacing w:val="2"/>
          <w:shd w:val="clear" w:color="auto" w:fill="FFFFFF"/>
          <w:lang w:val="sq-AL"/>
        </w:rPr>
        <w:t xml:space="preserve">. </w:t>
      </w:r>
      <w:r w:rsidR="00EF426F" w:rsidRPr="00037FB1">
        <w:rPr>
          <w:rFonts w:eastAsia="Calibri"/>
          <w:lang w:val="sq-AL"/>
        </w:rPr>
        <w:t>Pavar</w:t>
      </w:r>
      <w:r w:rsidR="00E2419D" w:rsidRPr="00037FB1">
        <w:rPr>
          <w:rFonts w:eastAsia="Calibri"/>
          <w:lang w:val="sq-AL"/>
        </w:rPr>
        <w:t>ë</w:t>
      </w:r>
      <w:r w:rsidR="00EF426F" w:rsidRPr="00037FB1">
        <w:rPr>
          <w:rFonts w:eastAsia="Calibri"/>
          <w:lang w:val="sq-AL"/>
        </w:rPr>
        <w:t>sisht s</w:t>
      </w:r>
      <w:r w:rsidR="003178F9" w:rsidRPr="00037FB1">
        <w:rPr>
          <w:rFonts w:eastAsia="Calibri"/>
          <w:lang w:val="sq-AL"/>
        </w:rPr>
        <w:t xml:space="preserve">e urdhri </w:t>
      </w:r>
      <w:r w:rsidR="0073769B" w:rsidRPr="00037FB1">
        <w:rPr>
          <w:rFonts w:eastAsia="Calibri"/>
          <w:lang w:val="sq-AL"/>
        </w:rPr>
        <w:t>i kund</w:t>
      </w:r>
      <w:r w:rsidR="00C4630B" w:rsidRPr="00037FB1">
        <w:rPr>
          <w:rFonts w:eastAsia="Calibri"/>
          <w:lang w:val="sq-AL"/>
        </w:rPr>
        <w:t>ë</w:t>
      </w:r>
      <w:r w:rsidR="0073769B" w:rsidRPr="00037FB1">
        <w:rPr>
          <w:rFonts w:eastAsia="Calibri"/>
          <w:lang w:val="sq-AL"/>
        </w:rPr>
        <w:t>rshtuar nuk p</w:t>
      </w:r>
      <w:r w:rsidR="00C4630B" w:rsidRPr="00037FB1">
        <w:rPr>
          <w:rFonts w:eastAsia="Calibri"/>
          <w:lang w:val="sq-AL"/>
        </w:rPr>
        <w:t>ë</w:t>
      </w:r>
      <w:r w:rsidR="0073769B" w:rsidRPr="00037FB1">
        <w:rPr>
          <w:rFonts w:eastAsia="Calibri"/>
          <w:lang w:val="sq-AL"/>
        </w:rPr>
        <w:t>rmban element</w:t>
      </w:r>
      <w:r w:rsidR="006C42DD" w:rsidRPr="00037FB1">
        <w:rPr>
          <w:rFonts w:eastAsia="Calibri"/>
          <w:lang w:val="sq-AL"/>
        </w:rPr>
        <w:t>e</w:t>
      </w:r>
      <w:r w:rsidR="0073769B" w:rsidRPr="00037FB1">
        <w:rPr>
          <w:rFonts w:eastAsia="Calibri"/>
          <w:lang w:val="sq-AL"/>
        </w:rPr>
        <w:t>t e cituar</w:t>
      </w:r>
      <w:r w:rsidR="006C42DD" w:rsidRPr="00037FB1">
        <w:rPr>
          <w:rFonts w:eastAsia="Calibri"/>
          <w:lang w:val="sq-AL"/>
        </w:rPr>
        <w:t>a</w:t>
      </w:r>
      <w:r w:rsidR="0073769B" w:rsidRPr="00037FB1">
        <w:rPr>
          <w:rFonts w:eastAsia="Calibri"/>
          <w:lang w:val="sq-AL"/>
        </w:rPr>
        <w:t xml:space="preserve"> m</w:t>
      </w:r>
      <w:r w:rsidR="00C4630B" w:rsidRPr="00037FB1">
        <w:rPr>
          <w:rFonts w:eastAsia="Calibri"/>
          <w:lang w:val="sq-AL"/>
        </w:rPr>
        <w:t>ë</w:t>
      </w:r>
      <w:r w:rsidR="0073769B" w:rsidRPr="00037FB1">
        <w:rPr>
          <w:rFonts w:eastAsia="Calibri"/>
          <w:lang w:val="sq-AL"/>
        </w:rPr>
        <w:t xml:space="preserve"> lart</w:t>
      </w:r>
      <w:r w:rsidR="00972DA6" w:rsidRPr="00037FB1">
        <w:rPr>
          <w:rFonts w:eastAsia="Calibri"/>
          <w:lang w:val="sq-AL"/>
        </w:rPr>
        <w:t>, q</w:t>
      </w:r>
      <w:r w:rsidR="00F5002D" w:rsidRPr="00037FB1">
        <w:rPr>
          <w:rFonts w:eastAsia="Calibri"/>
          <w:lang w:val="sq-AL"/>
        </w:rPr>
        <w:t>ë</w:t>
      </w:r>
      <w:r w:rsidR="00972DA6" w:rsidRPr="00037FB1">
        <w:rPr>
          <w:rFonts w:eastAsia="Calibri"/>
          <w:lang w:val="sq-AL"/>
        </w:rPr>
        <w:t xml:space="preserve"> do t</w:t>
      </w:r>
      <w:r w:rsidR="00F5002D" w:rsidRPr="00037FB1">
        <w:rPr>
          <w:rFonts w:eastAsia="Calibri"/>
          <w:lang w:val="sq-AL"/>
        </w:rPr>
        <w:t>ë</w:t>
      </w:r>
      <w:r w:rsidR="00972DA6" w:rsidRPr="00037FB1">
        <w:rPr>
          <w:rFonts w:eastAsia="Calibri"/>
          <w:lang w:val="sq-AL"/>
        </w:rPr>
        <w:t xml:space="preserve"> ndihmonin n</w:t>
      </w:r>
      <w:r w:rsidR="00F5002D" w:rsidRPr="00037FB1">
        <w:rPr>
          <w:rFonts w:eastAsia="Calibri"/>
          <w:lang w:val="sq-AL"/>
        </w:rPr>
        <w:t>ë</w:t>
      </w:r>
      <w:r w:rsidR="00972DA6" w:rsidRPr="00037FB1">
        <w:rPr>
          <w:rFonts w:eastAsia="Calibri"/>
          <w:lang w:val="sq-AL"/>
        </w:rPr>
        <w:t xml:space="preserve"> </w:t>
      </w:r>
      <w:r w:rsidR="00687598" w:rsidRPr="00037FB1">
        <w:rPr>
          <w:rFonts w:eastAsia="Calibri"/>
          <w:lang w:val="sq-AL"/>
        </w:rPr>
        <w:t>eliminimin</w:t>
      </w:r>
      <w:r w:rsidR="00F5002D" w:rsidRPr="00037FB1">
        <w:rPr>
          <w:rFonts w:eastAsia="Calibri"/>
          <w:lang w:val="sq-AL"/>
        </w:rPr>
        <w:t xml:space="preserve"> e çdo dyshimi për saktësinë e përmbajtjes së tij</w:t>
      </w:r>
      <w:r w:rsidR="0073769B" w:rsidRPr="00037FB1">
        <w:rPr>
          <w:rFonts w:eastAsia="Calibri"/>
          <w:lang w:val="sq-AL"/>
        </w:rPr>
        <w:t xml:space="preserve">, </w:t>
      </w:r>
      <w:r w:rsidR="001F3A18" w:rsidRPr="00037FB1">
        <w:rPr>
          <w:rFonts w:eastAsia="Calibri"/>
          <w:lang w:val="sq-AL"/>
        </w:rPr>
        <w:t>Gjykata çmon se</w:t>
      </w:r>
      <w:r w:rsidR="00972DA6" w:rsidRPr="00037FB1">
        <w:rPr>
          <w:rFonts w:eastAsia="Calibri"/>
          <w:lang w:val="sq-AL"/>
        </w:rPr>
        <w:t xml:space="preserve"> ai duhet kuptuar se lejon grumbullimet </w:t>
      </w:r>
      <w:r w:rsidR="006C42DD" w:rsidRPr="00037FB1">
        <w:rPr>
          <w:rFonts w:eastAsia="Calibri"/>
          <w:lang w:val="sq-AL"/>
        </w:rPr>
        <w:t>e</w:t>
      </w:r>
      <w:r w:rsidR="00972DA6" w:rsidRPr="00037FB1">
        <w:rPr>
          <w:rFonts w:eastAsia="Calibri"/>
          <w:lang w:val="sq-AL"/>
        </w:rPr>
        <w:t xml:space="preserve"> çfarëdo lloji deri në 10 persona</w:t>
      </w:r>
      <w:r w:rsidR="001F3A18" w:rsidRPr="00037FB1">
        <w:rPr>
          <w:rFonts w:eastAsia="Calibri"/>
          <w:lang w:val="sq-AL"/>
        </w:rPr>
        <w:t xml:space="preserve">, </w:t>
      </w:r>
      <w:r w:rsidR="00972DA6" w:rsidRPr="00037FB1">
        <w:rPr>
          <w:rFonts w:eastAsia="Calibri"/>
          <w:lang w:val="sq-AL"/>
        </w:rPr>
        <w:t>duke p</w:t>
      </w:r>
      <w:r w:rsidR="00F5002D" w:rsidRPr="00037FB1">
        <w:rPr>
          <w:rFonts w:eastAsia="Calibri"/>
          <w:lang w:val="sq-AL"/>
        </w:rPr>
        <w:t>ë</w:t>
      </w:r>
      <w:r w:rsidR="00972DA6" w:rsidRPr="00037FB1">
        <w:rPr>
          <w:rFonts w:eastAsia="Calibri"/>
          <w:lang w:val="sq-AL"/>
        </w:rPr>
        <w:t>rfshir</w:t>
      </w:r>
      <w:r w:rsidR="00F5002D" w:rsidRPr="00037FB1">
        <w:rPr>
          <w:rFonts w:eastAsia="Calibri"/>
          <w:lang w:val="sq-AL"/>
        </w:rPr>
        <w:t>ë</w:t>
      </w:r>
      <w:r w:rsidR="00972DA6" w:rsidRPr="00037FB1">
        <w:rPr>
          <w:rFonts w:eastAsia="Calibri"/>
          <w:lang w:val="sq-AL"/>
        </w:rPr>
        <w:t xml:space="preserve"> lejimin e mbledhjeve partiake deri n</w:t>
      </w:r>
      <w:r w:rsidR="00F5002D" w:rsidRPr="00037FB1">
        <w:rPr>
          <w:rFonts w:eastAsia="Calibri"/>
          <w:lang w:val="sq-AL"/>
        </w:rPr>
        <w:t>ë</w:t>
      </w:r>
      <w:r w:rsidR="00972DA6" w:rsidRPr="00037FB1">
        <w:rPr>
          <w:rFonts w:eastAsia="Calibri"/>
          <w:lang w:val="sq-AL"/>
        </w:rPr>
        <w:t xml:space="preserve"> 10 persona dhe </w:t>
      </w:r>
      <w:r w:rsidR="00F5002D" w:rsidRPr="00037FB1">
        <w:rPr>
          <w:rFonts w:eastAsia="Calibri"/>
          <w:lang w:val="sq-AL"/>
        </w:rPr>
        <w:t>t</w:t>
      </w:r>
      <w:r w:rsidR="00C04753" w:rsidRPr="00037FB1">
        <w:rPr>
          <w:rFonts w:eastAsia="Calibri"/>
          <w:lang w:val="sq-AL"/>
        </w:rPr>
        <w:t>ë</w:t>
      </w:r>
      <w:r w:rsidR="00F5002D" w:rsidRPr="00037FB1">
        <w:rPr>
          <w:rFonts w:eastAsia="Calibri"/>
          <w:lang w:val="sq-AL"/>
        </w:rPr>
        <w:t xml:space="preserve"> </w:t>
      </w:r>
      <w:r w:rsidR="00972DA6" w:rsidRPr="00037FB1">
        <w:rPr>
          <w:rFonts w:eastAsia="Calibri"/>
          <w:lang w:val="sq-AL"/>
        </w:rPr>
        <w:t>tubime</w:t>
      </w:r>
      <w:r w:rsidR="00F5002D" w:rsidRPr="00037FB1">
        <w:rPr>
          <w:rFonts w:eastAsia="Calibri"/>
          <w:lang w:val="sq-AL"/>
        </w:rPr>
        <w:t>ve</w:t>
      </w:r>
      <w:r w:rsidR="00972DA6" w:rsidRPr="00037FB1">
        <w:rPr>
          <w:rFonts w:eastAsia="Calibri"/>
          <w:lang w:val="sq-AL"/>
        </w:rPr>
        <w:t xml:space="preserve"> deri n</w:t>
      </w:r>
      <w:r w:rsidR="00F5002D" w:rsidRPr="00037FB1">
        <w:rPr>
          <w:rFonts w:eastAsia="Calibri"/>
          <w:lang w:val="sq-AL"/>
        </w:rPr>
        <w:t>ë</w:t>
      </w:r>
      <w:r w:rsidR="00972DA6" w:rsidRPr="00037FB1">
        <w:rPr>
          <w:rFonts w:eastAsia="Calibri"/>
          <w:lang w:val="sq-AL"/>
        </w:rPr>
        <w:t xml:space="preserve"> 10 persona. I kuptuar n</w:t>
      </w:r>
      <w:r w:rsidR="00F5002D" w:rsidRPr="00037FB1">
        <w:rPr>
          <w:rFonts w:eastAsia="Calibri"/>
          <w:lang w:val="sq-AL"/>
        </w:rPr>
        <w:t>ë</w:t>
      </w:r>
      <w:r w:rsidR="00972DA6" w:rsidRPr="00037FB1">
        <w:rPr>
          <w:rFonts w:eastAsia="Calibri"/>
          <w:lang w:val="sq-AL"/>
        </w:rPr>
        <w:t xml:space="preserve"> k</w:t>
      </w:r>
      <w:r w:rsidR="00F5002D" w:rsidRPr="00037FB1">
        <w:rPr>
          <w:rFonts w:eastAsia="Calibri"/>
          <w:lang w:val="sq-AL"/>
        </w:rPr>
        <w:t>ë</w:t>
      </w:r>
      <w:r w:rsidR="00972DA6" w:rsidRPr="00037FB1">
        <w:rPr>
          <w:rFonts w:eastAsia="Calibri"/>
          <w:lang w:val="sq-AL"/>
        </w:rPr>
        <w:t>t</w:t>
      </w:r>
      <w:r w:rsidR="00F5002D" w:rsidRPr="00037FB1">
        <w:rPr>
          <w:rFonts w:eastAsia="Calibri"/>
          <w:lang w:val="sq-AL"/>
        </w:rPr>
        <w:t>ë</w:t>
      </w:r>
      <w:r w:rsidR="00972DA6" w:rsidRPr="00037FB1">
        <w:rPr>
          <w:rFonts w:eastAsia="Calibri"/>
          <w:lang w:val="sq-AL"/>
        </w:rPr>
        <w:t xml:space="preserve"> m</w:t>
      </w:r>
      <w:r w:rsidR="00F5002D" w:rsidRPr="00037FB1">
        <w:rPr>
          <w:rFonts w:eastAsia="Calibri"/>
          <w:lang w:val="sq-AL"/>
        </w:rPr>
        <w:t>ë</w:t>
      </w:r>
      <w:r w:rsidR="00972DA6" w:rsidRPr="00037FB1">
        <w:rPr>
          <w:rFonts w:eastAsia="Calibri"/>
          <w:lang w:val="sq-AL"/>
        </w:rPr>
        <w:t>nyr</w:t>
      </w:r>
      <w:r w:rsidR="00F5002D" w:rsidRPr="00037FB1">
        <w:rPr>
          <w:rFonts w:eastAsia="Calibri"/>
          <w:lang w:val="sq-AL"/>
        </w:rPr>
        <w:t>ë</w:t>
      </w:r>
      <w:r w:rsidR="00972DA6" w:rsidRPr="00037FB1">
        <w:rPr>
          <w:rFonts w:eastAsia="Calibri"/>
          <w:lang w:val="sq-AL"/>
        </w:rPr>
        <w:t>, kufizimi q</w:t>
      </w:r>
      <w:r w:rsidR="00F5002D" w:rsidRPr="00037FB1">
        <w:rPr>
          <w:rFonts w:eastAsia="Calibri"/>
          <w:lang w:val="sq-AL"/>
        </w:rPr>
        <w:t>ë</w:t>
      </w:r>
      <w:r w:rsidR="00972DA6" w:rsidRPr="00037FB1">
        <w:rPr>
          <w:rFonts w:eastAsia="Calibri"/>
          <w:lang w:val="sq-AL"/>
        </w:rPr>
        <w:t xml:space="preserve"> ai vendos nuk cenon barazinë e </w:t>
      </w:r>
      <w:r w:rsidR="006C42DD" w:rsidRPr="00037FB1">
        <w:rPr>
          <w:rFonts w:eastAsia="Calibri"/>
          <w:lang w:val="sq-AL"/>
        </w:rPr>
        <w:t>partive në konkurrimin zgjedhor</w:t>
      </w:r>
      <w:r w:rsidR="00972DA6" w:rsidRPr="00037FB1">
        <w:rPr>
          <w:rFonts w:eastAsia="Calibri"/>
          <w:lang w:val="sq-AL"/>
        </w:rPr>
        <w:t xml:space="preserve"> dhe nuk sjell pasoja diferencuese e as trajtim preferencial për parti të caktuara.  Të gjitha partitë politike, pa dallim, janë të detyruara të respektojnë kufizimin e vendosur nga akti i kundërshtuar dhe </w:t>
      </w:r>
      <w:r w:rsidR="00904146" w:rsidRPr="00037FB1">
        <w:rPr>
          <w:rFonts w:eastAsia="Calibri"/>
          <w:lang w:val="sq-AL"/>
        </w:rPr>
        <w:t>organet kompetente për dhënien e masave administrative</w:t>
      </w:r>
      <w:r w:rsidR="00972DA6" w:rsidRPr="00037FB1">
        <w:rPr>
          <w:rFonts w:eastAsia="Calibri"/>
          <w:lang w:val="sq-AL"/>
        </w:rPr>
        <w:t xml:space="preserve"> duhet t</w:t>
      </w:r>
      <w:r w:rsidR="0058456D" w:rsidRPr="00037FB1">
        <w:rPr>
          <w:rFonts w:eastAsia="Calibri"/>
          <w:lang w:val="sq-AL"/>
        </w:rPr>
        <w:t>’i</w:t>
      </w:r>
      <w:r w:rsidR="00972DA6" w:rsidRPr="00037FB1">
        <w:rPr>
          <w:rFonts w:eastAsia="Calibri"/>
          <w:lang w:val="sq-AL"/>
        </w:rPr>
        <w:t xml:space="preserve"> zbatojn</w:t>
      </w:r>
      <w:r w:rsidR="00F5002D" w:rsidRPr="00037FB1">
        <w:rPr>
          <w:rFonts w:eastAsia="Calibri"/>
          <w:lang w:val="sq-AL"/>
        </w:rPr>
        <w:t>ë</w:t>
      </w:r>
      <w:r w:rsidR="00972DA6" w:rsidRPr="00037FB1">
        <w:rPr>
          <w:rFonts w:eastAsia="Calibri"/>
          <w:lang w:val="sq-AL"/>
        </w:rPr>
        <w:t xml:space="preserve"> ato nj</w:t>
      </w:r>
      <w:r w:rsidR="00F5002D" w:rsidRPr="00037FB1">
        <w:rPr>
          <w:rFonts w:eastAsia="Calibri"/>
          <w:lang w:val="sq-AL"/>
        </w:rPr>
        <w:t>ë</w:t>
      </w:r>
      <w:r w:rsidR="00972DA6" w:rsidRPr="00037FB1">
        <w:rPr>
          <w:rFonts w:eastAsia="Calibri"/>
          <w:lang w:val="sq-AL"/>
        </w:rPr>
        <w:t>lloj p</w:t>
      </w:r>
      <w:r w:rsidR="00F5002D" w:rsidRPr="00037FB1">
        <w:rPr>
          <w:rFonts w:eastAsia="Calibri"/>
          <w:lang w:val="sq-AL"/>
        </w:rPr>
        <w:t>ë</w:t>
      </w:r>
      <w:r w:rsidR="00972DA6" w:rsidRPr="00037FB1">
        <w:rPr>
          <w:rFonts w:eastAsia="Calibri"/>
          <w:lang w:val="sq-AL"/>
        </w:rPr>
        <w:t xml:space="preserve">r </w:t>
      </w:r>
      <w:r w:rsidR="001F3A18" w:rsidRPr="00037FB1">
        <w:rPr>
          <w:rFonts w:eastAsia="Calibri"/>
          <w:lang w:val="sq-AL"/>
        </w:rPr>
        <w:t xml:space="preserve">të gjitha partitë politike. </w:t>
      </w:r>
      <w:r w:rsidR="00972DA6" w:rsidRPr="00037FB1">
        <w:rPr>
          <w:rFonts w:eastAsia="Calibri"/>
          <w:lang w:val="sq-AL"/>
        </w:rPr>
        <w:t xml:space="preserve">Rrjedhimisht, </w:t>
      </w:r>
      <w:r w:rsidR="001F3A18" w:rsidRPr="00037FB1">
        <w:rPr>
          <w:rFonts w:eastAsia="Calibri"/>
          <w:lang w:val="sq-AL"/>
        </w:rPr>
        <w:t>nuk mund tё thuhet se pjesëmarrja</w:t>
      </w:r>
      <w:r w:rsidR="00972DA6" w:rsidRPr="00037FB1">
        <w:rPr>
          <w:rFonts w:eastAsia="Calibri"/>
          <w:lang w:val="sq-AL"/>
        </w:rPr>
        <w:t xml:space="preserve"> e partive politike</w:t>
      </w:r>
      <w:r w:rsidR="001F3A18" w:rsidRPr="00037FB1">
        <w:rPr>
          <w:rFonts w:eastAsia="Calibri"/>
          <w:lang w:val="sq-AL"/>
        </w:rPr>
        <w:t xml:space="preserve"> në zgjedhje në kushte të barabarta cenohet</w:t>
      </w:r>
      <w:r w:rsidR="00972DA6" w:rsidRPr="00037FB1">
        <w:rPr>
          <w:rFonts w:eastAsia="Calibri"/>
          <w:lang w:val="sq-AL"/>
        </w:rPr>
        <w:t xml:space="preserve"> p</w:t>
      </w:r>
      <w:r w:rsidR="00F5002D" w:rsidRPr="00037FB1">
        <w:rPr>
          <w:rFonts w:eastAsia="Calibri"/>
          <w:lang w:val="sq-AL"/>
        </w:rPr>
        <w:t>ë</w:t>
      </w:r>
      <w:r w:rsidR="00972DA6" w:rsidRPr="00037FB1">
        <w:rPr>
          <w:rFonts w:eastAsia="Calibri"/>
          <w:lang w:val="sq-AL"/>
        </w:rPr>
        <w:t>r shkak t</w:t>
      </w:r>
      <w:r w:rsidR="00F5002D" w:rsidRPr="00037FB1">
        <w:rPr>
          <w:rFonts w:eastAsia="Calibri"/>
          <w:lang w:val="sq-AL"/>
        </w:rPr>
        <w:t>ë</w:t>
      </w:r>
      <w:r w:rsidR="00972DA6" w:rsidRPr="00037FB1">
        <w:rPr>
          <w:rFonts w:eastAsia="Calibri"/>
          <w:lang w:val="sq-AL"/>
        </w:rPr>
        <w:t xml:space="preserve"> m</w:t>
      </w:r>
      <w:r w:rsidR="00F5002D" w:rsidRPr="00037FB1">
        <w:rPr>
          <w:rFonts w:eastAsia="Calibri"/>
          <w:lang w:val="sq-AL"/>
        </w:rPr>
        <w:t>ë</w:t>
      </w:r>
      <w:r w:rsidR="00972DA6" w:rsidRPr="00037FB1">
        <w:rPr>
          <w:rFonts w:eastAsia="Calibri"/>
          <w:lang w:val="sq-AL"/>
        </w:rPr>
        <w:t>nyr</w:t>
      </w:r>
      <w:r w:rsidR="00F5002D" w:rsidRPr="00037FB1">
        <w:rPr>
          <w:rFonts w:eastAsia="Calibri"/>
          <w:lang w:val="sq-AL"/>
        </w:rPr>
        <w:t>ë</w:t>
      </w:r>
      <w:r w:rsidR="00972DA6" w:rsidRPr="00037FB1">
        <w:rPr>
          <w:rFonts w:eastAsia="Calibri"/>
          <w:lang w:val="sq-AL"/>
        </w:rPr>
        <w:t>s s</w:t>
      </w:r>
      <w:r w:rsidR="00F5002D" w:rsidRPr="00037FB1">
        <w:rPr>
          <w:rFonts w:eastAsia="Calibri"/>
          <w:lang w:val="sq-AL"/>
        </w:rPr>
        <w:t>ë</w:t>
      </w:r>
      <w:r w:rsidR="00972DA6" w:rsidRPr="00037FB1">
        <w:rPr>
          <w:rFonts w:eastAsia="Calibri"/>
          <w:lang w:val="sq-AL"/>
        </w:rPr>
        <w:t xml:space="preserve"> formulimit t</w:t>
      </w:r>
      <w:r w:rsidR="00F5002D" w:rsidRPr="00037FB1">
        <w:rPr>
          <w:rFonts w:eastAsia="Calibri"/>
          <w:lang w:val="sq-AL"/>
        </w:rPr>
        <w:t>ë</w:t>
      </w:r>
      <w:r w:rsidR="00972DA6" w:rsidRPr="00037FB1">
        <w:rPr>
          <w:rFonts w:eastAsia="Calibri"/>
          <w:lang w:val="sq-AL"/>
        </w:rPr>
        <w:t xml:space="preserve"> urdhrit nr. 633/2020</w:t>
      </w:r>
      <w:r w:rsidR="001F3A18" w:rsidRPr="00037FB1">
        <w:rPr>
          <w:rFonts w:eastAsia="Calibri"/>
          <w:lang w:val="sq-AL"/>
        </w:rPr>
        <w:t xml:space="preserve">. </w:t>
      </w:r>
    </w:p>
    <w:p w:rsidR="00AA0D82" w:rsidRPr="00037FB1" w:rsidRDefault="00325B6E" w:rsidP="0037360A">
      <w:pPr>
        <w:pStyle w:val="NormalWeb"/>
        <w:tabs>
          <w:tab w:val="left" w:pos="1080"/>
        </w:tabs>
        <w:spacing w:before="0" w:beforeAutospacing="0" w:after="0" w:afterAutospacing="0" w:line="360" w:lineRule="auto"/>
        <w:ind w:firstLine="720"/>
        <w:jc w:val="both"/>
        <w:textAlignment w:val="baseline"/>
        <w:rPr>
          <w:rFonts w:eastAsia="Calibri"/>
          <w:lang w:val="sq-AL"/>
        </w:rPr>
      </w:pPr>
      <w:r w:rsidRPr="00037FB1">
        <w:rPr>
          <w:rFonts w:eastAsia="Calibri"/>
          <w:lang w:val="sq-AL"/>
        </w:rPr>
        <w:t>2</w:t>
      </w:r>
      <w:r w:rsidR="009F1F66" w:rsidRPr="00037FB1">
        <w:rPr>
          <w:rFonts w:eastAsia="Calibri"/>
          <w:lang w:val="sq-AL"/>
        </w:rPr>
        <w:t>8</w:t>
      </w:r>
      <w:r w:rsidRPr="00037FB1">
        <w:rPr>
          <w:rFonts w:eastAsia="Calibri"/>
          <w:lang w:val="sq-AL"/>
        </w:rPr>
        <w:t xml:space="preserve">. </w:t>
      </w:r>
      <w:r w:rsidR="00F5002D" w:rsidRPr="00037FB1">
        <w:rPr>
          <w:rFonts w:eastAsia="Calibri"/>
          <w:lang w:val="sq-AL"/>
        </w:rPr>
        <w:t xml:space="preserve">Në vijim të këtij arsyetimi, </w:t>
      </w:r>
      <w:r w:rsidR="00972DA6" w:rsidRPr="00037FB1">
        <w:rPr>
          <w:rFonts w:eastAsia="Calibri"/>
          <w:lang w:val="sq-AL"/>
        </w:rPr>
        <w:t>Gjykata vler</w:t>
      </w:r>
      <w:r w:rsidR="00F5002D" w:rsidRPr="00037FB1">
        <w:rPr>
          <w:rFonts w:eastAsia="Calibri"/>
          <w:lang w:val="sq-AL"/>
        </w:rPr>
        <w:t>ë</w:t>
      </w:r>
      <w:r w:rsidR="00972DA6" w:rsidRPr="00037FB1">
        <w:rPr>
          <w:rFonts w:eastAsia="Calibri"/>
          <w:lang w:val="sq-AL"/>
        </w:rPr>
        <w:t>son se k</w:t>
      </w:r>
      <w:r w:rsidR="00F5002D" w:rsidRPr="00037FB1">
        <w:rPr>
          <w:rFonts w:eastAsia="Calibri"/>
          <w:lang w:val="sq-AL"/>
        </w:rPr>
        <w:t>ë</w:t>
      </w:r>
      <w:r w:rsidR="00972DA6" w:rsidRPr="00037FB1">
        <w:rPr>
          <w:rFonts w:eastAsia="Calibri"/>
          <w:lang w:val="sq-AL"/>
        </w:rPr>
        <w:t xml:space="preserve">rkuesja nuk </w:t>
      </w:r>
      <w:r w:rsidR="006C42DD" w:rsidRPr="00037FB1">
        <w:rPr>
          <w:rFonts w:eastAsia="Calibri"/>
          <w:lang w:val="sq-AL"/>
        </w:rPr>
        <w:t xml:space="preserve">ka </w:t>
      </w:r>
      <w:r w:rsidR="00972DA6" w:rsidRPr="00037FB1">
        <w:rPr>
          <w:rFonts w:eastAsia="Calibri"/>
          <w:lang w:val="sq-AL"/>
        </w:rPr>
        <w:t>arrit</w:t>
      </w:r>
      <w:r w:rsidR="006C42DD" w:rsidRPr="00037FB1">
        <w:rPr>
          <w:rFonts w:eastAsia="Calibri"/>
          <w:lang w:val="sq-AL"/>
        </w:rPr>
        <w:t>ur</w:t>
      </w:r>
      <w:r w:rsidR="00972DA6" w:rsidRPr="00037FB1">
        <w:rPr>
          <w:rFonts w:eastAsia="Calibri"/>
          <w:lang w:val="sq-AL"/>
        </w:rPr>
        <w:t xml:space="preserve"> t</w:t>
      </w:r>
      <w:r w:rsidR="00F5002D" w:rsidRPr="00037FB1">
        <w:rPr>
          <w:rFonts w:eastAsia="Calibri"/>
          <w:lang w:val="sq-AL"/>
        </w:rPr>
        <w:t>ë</w:t>
      </w:r>
      <w:r w:rsidR="00972DA6" w:rsidRPr="00037FB1">
        <w:rPr>
          <w:rFonts w:eastAsia="Calibri"/>
          <w:lang w:val="sq-AL"/>
        </w:rPr>
        <w:t xml:space="preserve"> provoj</w:t>
      </w:r>
      <w:r w:rsidR="00F5002D" w:rsidRPr="00037FB1">
        <w:rPr>
          <w:rFonts w:eastAsia="Calibri"/>
          <w:lang w:val="sq-AL"/>
        </w:rPr>
        <w:t>ë</w:t>
      </w:r>
      <w:r w:rsidR="00972DA6" w:rsidRPr="00037FB1">
        <w:rPr>
          <w:rFonts w:eastAsia="Calibri"/>
          <w:lang w:val="sq-AL"/>
        </w:rPr>
        <w:t xml:space="preserve"> pretendimin e saj se </w:t>
      </w:r>
      <w:r w:rsidR="001F3A18" w:rsidRPr="00037FB1">
        <w:rPr>
          <w:rFonts w:eastAsia="Calibri"/>
          <w:lang w:val="sq-AL"/>
        </w:rPr>
        <w:t xml:space="preserve">kufizimi ndalon veçanërisht </w:t>
      </w:r>
      <w:r w:rsidR="00687598" w:rsidRPr="00037FB1">
        <w:rPr>
          <w:rFonts w:eastAsia="Calibri"/>
          <w:lang w:val="sq-AL"/>
        </w:rPr>
        <w:t>veprimtarinë</w:t>
      </w:r>
      <w:r w:rsidR="001F3A18" w:rsidRPr="00037FB1">
        <w:rPr>
          <w:rFonts w:eastAsia="Calibri"/>
          <w:lang w:val="sq-AL"/>
        </w:rPr>
        <w:t xml:space="preserve"> politike të saj dhe të partive opozitare, me argumentin </w:t>
      </w:r>
      <w:r w:rsidR="00972DA6" w:rsidRPr="00037FB1">
        <w:rPr>
          <w:rFonts w:eastAsia="Calibri"/>
          <w:lang w:val="sq-AL"/>
        </w:rPr>
        <w:t xml:space="preserve">se </w:t>
      </w:r>
      <w:r w:rsidR="001F3A18" w:rsidRPr="00037FB1">
        <w:rPr>
          <w:rFonts w:eastAsia="Calibri"/>
          <w:lang w:val="sq-AL"/>
        </w:rPr>
        <w:t xml:space="preserve">partia në pushtet  ka avantazh dhe vizibilitet më të madh për të bërë fushatë, pasi ka </w:t>
      </w:r>
      <w:r w:rsidR="00687598" w:rsidRPr="00037FB1">
        <w:rPr>
          <w:rFonts w:eastAsia="Calibri"/>
          <w:lang w:val="sq-AL"/>
        </w:rPr>
        <w:t>mundësi</w:t>
      </w:r>
      <w:r w:rsidR="001F3A18" w:rsidRPr="00037FB1">
        <w:rPr>
          <w:rFonts w:eastAsia="Calibri"/>
          <w:lang w:val="sq-AL"/>
        </w:rPr>
        <w:t xml:space="preserve"> tё ushtrojё tёrthorazi, nё interes tё </w:t>
      </w:r>
      <w:r w:rsidR="006C42DD" w:rsidRPr="00037FB1">
        <w:rPr>
          <w:rFonts w:eastAsia="Calibri"/>
          <w:lang w:val="sq-AL"/>
        </w:rPr>
        <w:t>fushatës</w:t>
      </w:r>
      <w:r w:rsidR="001F3A18" w:rsidRPr="00037FB1">
        <w:rPr>
          <w:rFonts w:eastAsia="Calibri"/>
          <w:lang w:val="sq-AL"/>
        </w:rPr>
        <w:t>, funksionet e rëndësishme publike tё pёrfaqёsuesve tё saj nё pushtetin ekzekutiv</w:t>
      </w:r>
      <w:r w:rsidR="00F5002D" w:rsidRPr="00037FB1">
        <w:rPr>
          <w:rFonts w:eastAsia="Calibri"/>
          <w:lang w:val="sq-AL"/>
        </w:rPr>
        <w:t>. Për më tepër, p</w:t>
      </w:r>
      <w:r w:rsidR="001F3A18" w:rsidRPr="00037FB1">
        <w:rPr>
          <w:rFonts w:eastAsia="Calibri"/>
          <w:lang w:val="sq-AL"/>
        </w:rPr>
        <w:t>ër</w:t>
      </w:r>
      <w:r w:rsidR="00687598" w:rsidRPr="00037FB1">
        <w:rPr>
          <w:rFonts w:eastAsia="Calibri"/>
          <w:lang w:val="sq-AL"/>
        </w:rPr>
        <w:t xml:space="preserve"> </w:t>
      </w:r>
      <w:r w:rsidR="001F3A18" w:rsidRPr="00037FB1">
        <w:rPr>
          <w:rFonts w:eastAsia="Calibri"/>
          <w:lang w:val="sq-AL"/>
        </w:rPr>
        <w:t xml:space="preserve">sa i takon ushtrimit të funksioneve të larta publike dhe efekteve të tyre në fushatën zgjedhore, Gjykata vё nё dukje se e drejta kushtetuese e barazisë midis partive politike gjatë fushatës zgjedhore garantohet në mënyrë të posaçme nga Kodi Zgjedhor. Ky </w:t>
      </w:r>
      <w:r w:rsidR="006C42DD" w:rsidRPr="00037FB1">
        <w:rPr>
          <w:rFonts w:eastAsia="Calibri"/>
          <w:lang w:val="sq-AL"/>
        </w:rPr>
        <w:t>k</w:t>
      </w:r>
      <w:r w:rsidR="001F3A18" w:rsidRPr="00037FB1">
        <w:rPr>
          <w:rFonts w:eastAsia="Calibri"/>
          <w:lang w:val="sq-AL"/>
        </w:rPr>
        <w:t>od, bazuar</w:t>
      </w:r>
      <w:r w:rsidR="006C42DD" w:rsidRPr="00037FB1">
        <w:rPr>
          <w:rFonts w:eastAsia="Calibri"/>
          <w:lang w:val="sq-AL"/>
        </w:rPr>
        <w:t>,</w:t>
      </w:r>
      <w:r w:rsidR="001F3A18" w:rsidRPr="00037FB1">
        <w:rPr>
          <w:rFonts w:eastAsia="Calibri"/>
          <w:lang w:val="sq-AL"/>
        </w:rPr>
        <w:t xml:space="preserve"> ndër të tjera</w:t>
      </w:r>
      <w:r w:rsidR="006C42DD" w:rsidRPr="00037FB1">
        <w:rPr>
          <w:rFonts w:eastAsia="Calibri"/>
          <w:lang w:val="sq-AL"/>
        </w:rPr>
        <w:t>,</w:t>
      </w:r>
      <w:r w:rsidR="001F3A18" w:rsidRPr="00037FB1">
        <w:rPr>
          <w:rFonts w:eastAsia="Calibri"/>
          <w:lang w:val="sq-AL"/>
        </w:rPr>
        <w:t xml:space="preserve"> në parimet e votimit të lirë dhe të barabartë, si dhe në lirinë e subjekteve zgjedhore për shpalosjen e programeve të tyre në çdo formë e mënyrë të ligjshme (neni 3), cakton rregullat për përgatitjen, zhvillimin, administrimin, mbikëqyrjen, si dhe shpalljen e rezultatit të zgjedhjeve për në Kuvendin e Shqipërisë, për organet e qeverisjes vendore dhe referendumet (neni 1). Pjesë e rëndësishme e këtyre rregullave janë ndalimet specifike për funksionarët publikë dhe institucionet publike gjatë fushatës zgjedhore (</w:t>
      </w:r>
      <w:r w:rsidR="001F3A18" w:rsidRPr="00037FB1">
        <w:rPr>
          <w:bCs/>
          <w:lang w:val="sq-AL"/>
        </w:rPr>
        <w:t>shih ndër të tjera nenet 3, pikat 7 e 8</w:t>
      </w:r>
      <w:r w:rsidR="006C42DD" w:rsidRPr="00037FB1">
        <w:rPr>
          <w:bCs/>
          <w:lang w:val="sq-AL"/>
        </w:rPr>
        <w:t>,</w:t>
      </w:r>
      <w:r w:rsidR="001F3A18" w:rsidRPr="00037FB1">
        <w:rPr>
          <w:bCs/>
          <w:lang w:val="sq-AL"/>
        </w:rPr>
        <w:t xml:space="preserve"> 78, pika 6</w:t>
      </w:r>
      <w:r w:rsidR="006C42DD" w:rsidRPr="00037FB1">
        <w:rPr>
          <w:bCs/>
          <w:lang w:val="sq-AL"/>
        </w:rPr>
        <w:t xml:space="preserve"> dhe</w:t>
      </w:r>
      <w:r w:rsidR="001F3A18" w:rsidRPr="00037FB1">
        <w:rPr>
          <w:bCs/>
          <w:lang w:val="sq-AL"/>
        </w:rPr>
        <w:t xml:space="preserve"> 80, pika 4</w:t>
      </w:r>
      <w:r w:rsidR="001F3A18" w:rsidRPr="00037FB1">
        <w:rPr>
          <w:rFonts w:eastAsia="Calibri"/>
          <w:lang w:val="sq-AL"/>
        </w:rPr>
        <w:t>). Gjithashtu, Gjykata vëren se Kodi Zgjedhor jo vetëm garanton barazinë e partive politike në procesin zgjedhor, por mbi bazën e tij janë ngritur organe të posaçme</w:t>
      </w:r>
      <w:r w:rsidR="006C42DD" w:rsidRPr="00037FB1">
        <w:rPr>
          <w:rFonts w:eastAsia="Calibri"/>
          <w:lang w:val="sq-AL"/>
        </w:rPr>
        <w:t>,</w:t>
      </w:r>
      <w:r w:rsidR="001F3A18" w:rsidRPr="00037FB1">
        <w:rPr>
          <w:rFonts w:eastAsia="Calibri"/>
          <w:lang w:val="sq-AL"/>
        </w:rPr>
        <w:t xml:space="preserve"> Komisioni Qendror i Zgjedhjeve dhe Kolegji Zgjedhor, të cilat</w:t>
      </w:r>
      <w:r w:rsidR="006C42DD" w:rsidRPr="00037FB1">
        <w:rPr>
          <w:rFonts w:eastAsia="Calibri"/>
          <w:lang w:val="sq-AL"/>
        </w:rPr>
        <w:t>,</w:t>
      </w:r>
      <w:r w:rsidR="001F3A18" w:rsidRPr="00037FB1">
        <w:rPr>
          <w:rFonts w:eastAsia="Calibri"/>
          <w:lang w:val="sq-AL"/>
        </w:rPr>
        <w:t xml:space="preserve"> sipas kompetencave respektive kanë përgjegjësinë të garantojnë në praktikë këtë barazi</w:t>
      </w:r>
      <w:r w:rsidR="006C42DD" w:rsidRPr="00037FB1">
        <w:rPr>
          <w:rFonts w:eastAsia="Calibri"/>
          <w:lang w:val="sq-AL"/>
        </w:rPr>
        <w:t>,</w:t>
      </w:r>
      <w:r w:rsidR="001F3A18" w:rsidRPr="00037FB1">
        <w:rPr>
          <w:rFonts w:eastAsia="Calibri"/>
          <w:lang w:val="sq-AL"/>
        </w:rPr>
        <w:t xml:space="preserve"> si dhe të zgjidhin mosmarrëveshjet e ndryshme qё mund tё lindin, duke vendosur edhe sanksionet përkatëse sipas ligjit.</w:t>
      </w:r>
    </w:p>
    <w:p w:rsidR="00367EB7" w:rsidRPr="00037FB1" w:rsidRDefault="00325B6E" w:rsidP="0037360A">
      <w:pPr>
        <w:pStyle w:val="NormalWeb"/>
        <w:tabs>
          <w:tab w:val="left" w:pos="1080"/>
        </w:tabs>
        <w:spacing w:before="0" w:beforeAutospacing="0" w:after="0" w:afterAutospacing="0" w:line="360" w:lineRule="auto"/>
        <w:ind w:firstLine="720"/>
        <w:jc w:val="both"/>
        <w:textAlignment w:val="baseline"/>
        <w:rPr>
          <w:rFonts w:eastAsia="Calibri"/>
          <w:lang w:val="sq-AL"/>
        </w:rPr>
      </w:pPr>
      <w:r w:rsidRPr="00037FB1">
        <w:rPr>
          <w:rFonts w:eastAsia="Calibri"/>
          <w:lang w:val="sq-AL"/>
        </w:rPr>
        <w:t>2</w:t>
      </w:r>
      <w:r w:rsidR="009F1F66" w:rsidRPr="00037FB1">
        <w:rPr>
          <w:rFonts w:eastAsia="Calibri"/>
          <w:lang w:val="sq-AL"/>
        </w:rPr>
        <w:t>9</w:t>
      </w:r>
      <w:r w:rsidRPr="00037FB1">
        <w:rPr>
          <w:rFonts w:eastAsia="Calibri"/>
          <w:lang w:val="sq-AL"/>
        </w:rPr>
        <w:t xml:space="preserve">. </w:t>
      </w:r>
      <w:r w:rsidR="00367EB7" w:rsidRPr="00037FB1">
        <w:rPr>
          <w:rFonts w:eastAsia="Calibri"/>
          <w:lang w:val="sq-AL"/>
        </w:rPr>
        <w:t xml:space="preserve">Për rrjedhojë, Gjykata vlerëson se pretendimi i kërkueses </w:t>
      </w:r>
      <w:r w:rsidR="00ED4B15" w:rsidRPr="00037FB1">
        <w:rPr>
          <w:rFonts w:eastAsia="Calibri"/>
          <w:lang w:val="sq-AL"/>
        </w:rPr>
        <w:t>për cenimin e veprimtarisë së partisë politike (neni 9 i Kushtetutës) në lidhje me parimin e barazisë përpara ligjit (neni 18 i Kushtetutës)</w:t>
      </w:r>
      <w:r w:rsidR="006C42DD" w:rsidRPr="00037FB1">
        <w:rPr>
          <w:rFonts w:eastAsia="Calibri"/>
          <w:lang w:val="sq-AL"/>
        </w:rPr>
        <w:t>,</w:t>
      </w:r>
      <w:r w:rsidR="00ED4B15" w:rsidRPr="00037FB1">
        <w:rPr>
          <w:rFonts w:eastAsia="Calibri"/>
          <w:lang w:val="sq-AL"/>
        </w:rPr>
        <w:t xml:space="preserve"> </w:t>
      </w:r>
      <w:r w:rsidR="00367EB7" w:rsidRPr="00037FB1">
        <w:rPr>
          <w:rFonts w:eastAsia="Calibri"/>
          <w:lang w:val="sq-AL"/>
        </w:rPr>
        <w:t xml:space="preserve">nuk është i bazuar.   </w:t>
      </w:r>
    </w:p>
    <w:p w:rsidR="00367EB7" w:rsidRPr="00037FB1" w:rsidRDefault="00367EB7" w:rsidP="0037360A">
      <w:pPr>
        <w:pStyle w:val="ListParagraph"/>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 xml:space="preserve"> </w:t>
      </w:r>
    </w:p>
    <w:p w:rsidR="00367EB7" w:rsidRPr="00037FB1" w:rsidRDefault="005C63F1" w:rsidP="0037360A">
      <w:pPr>
        <w:tabs>
          <w:tab w:val="left" w:pos="1080"/>
        </w:tabs>
        <w:spacing w:after="0" w:line="360" w:lineRule="auto"/>
        <w:ind w:firstLine="720"/>
        <w:jc w:val="both"/>
        <w:rPr>
          <w:rFonts w:ascii="Times New Roman" w:hAnsi="Times New Roman"/>
          <w:i/>
          <w:sz w:val="24"/>
          <w:szCs w:val="24"/>
          <w:lang w:val="sq-AL"/>
        </w:rPr>
      </w:pPr>
      <w:r w:rsidRPr="00037FB1">
        <w:rPr>
          <w:rFonts w:ascii="Times New Roman" w:hAnsi="Times New Roman"/>
          <w:i/>
          <w:sz w:val="24"/>
          <w:szCs w:val="24"/>
          <w:lang w:val="sq-AL"/>
        </w:rPr>
        <w:t>C.2</w:t>
      </w:r>
      <w:r w:rsidR="00367EB7" w:rsidRPr="00037FB1">
        <w:rPr>
          <w:rFonts w:ascii="Times New Roman" w:hAnsi="Times New Roman"/>
          <w:sz w:val="24"/>
          <w:szCs w:val="24"/>
          <w:lang w:val="sq-AL"/>
        </w:rPr>
        <w:t xml:space="preserve">. </w:t>
      </w:r>
      <w:r w:rsidR="00367EB7" w:rsidRPr="00037FB1">
        <w:rPr>
          <w:rFonts w:ascii="Times New Roman" w:hAnsi="Times New Roman"/>
          <w:i/>
          <w:sz w:val="24"/>
          <w:szCs w:val="24"/>
          <w:lang w:val="sq-AL"/>
        </w:rPr>
        <w:t>Për cenimi</w:t>
      </w:r>
      <w:r w:rsidR="00BB014C" w:rsidRPr="00037FB1">
        <w:rPr>
          <w:rFonts w:ascii="Times New Roman" w:hAnsi="Times New Roman"/>
          <w:i/>
          <w:sz w:val="24"/>
          <w:szCs w:val="24"/>
          <w:lang w:val="sq-AL"/>
        </w:rPr>
        <w:t xml:space="preserve">n e </w:t>
      </w:r>
      <w:r w:rsidR="00367EB7" w:rsidRPr="00037FB1">
        <w:rPr>
          <w:rFonts w:ascii="Times New Roman" w:hAnsi="Times New Roman"/>
          <w:i/>
          <w:sz w:val="24"/>
          <w:szCs w:val="24"/>
          <w:lang w:val="sq-AL"/>
        </w:rPr>
        <w:t xml:space="preserve">lirisë së tubimit (neni 47 i Kushtetutës) </w:t>
      </w:r>
      <w:r w:rsidR="006C42DD" w:rsidRPr="00037FB1">
        <w:rPr>
          <w:rFonts w:ascii="Times New Roman" w:hAnsi="Times New Roman"/>
          <w:i/>
          <w:sz w:val="24"/>
          <w:szCs w:val="24"/>
          <w:lang w:val="sq-AL"/>
        </w:rPr>
        <w:t>n</w:t>
      </w:r>
      <w:r w:rsidR="00367EB7" w:rsidRPr="00037FB1">
        <w:rPr>
          <w:rFonts w:ascii="Times New Roman" w:hAnsi="Times New Roman"/>
          <w:i/>
          <w:sz w:val="24"/>
          <w:szCs w:val="24"/>
          <w:lang w:val="sq-AL"/>
        </w:rPr>
        <w:t>ë lidh</w:t>
      </w:r>
      <w:r w:rsidR="006C42DD" w:rsidRPr="00037FB1">
        <w:rPr>
          <w:rFonts w:ascii="Times New Roman" w:hAnsi="Times New Roman"/>
          <w:i/>
          <w:sz w:val="24"/>
          <w:szCs w:val="24"/>
          <w:lang w:val="sq-AL"/>
        </w:rPr>
        <w:t xml:space="preserve">je </w:t>
      </w:r>
      <w:r w:rsidR="00367EB7" w:rsidRPr="00037FB1">
        <w:rPr>
          <w:rFonts w:ascii="Times New Roman" w:hAnsi="Times New Roman"/>
          <w:i/>
          <w:sz w:val="24"/>
          <w:szCs w:val="24"/>
          <w:lang w:val="sq-AL"/>
        </w:rPr>
        <w:t xml:space="preserve">me </w:t>
      </w:r>
      <w:r w:rsidR="00015D86" w:rsidRPr="00037FB1">
        <w:rPr>
          <w:rFonts w:ascii="Times New Roman" w:hAnsi="Times New Roman"/>
          <w:i/>
          <w:sz w:val="24"/>
          <w:szCs w:val="24"/>
          <w:lang w:val="sq-AL"/>
        </w:rPr>
        <w:t>lirinë</w:t>
      </w:r>
      <w:r w:rsidR="00367EB7" w:rsidRPr="00037FB1">
        <w:rPr>
          <w:rFonts w:ascii="Times New Roman" w:hAnsi="Times New Roman"/>
          <w:i/>
          <w:sz w:val="24"/>
          <w:szCs w:val="24"/>
          <w:lang w:val="sq-AL"/>
        </w:rPr>
        <w:t xml:space="preserve"> e shprehjes (neni 22</w:t>
      </w:r>
      <w:r w:rsidR="0017505B" w:rsidRPr="00037FB1">
        <w:rPr>
          <w:rFonts w:ascii="Times New Roman" w:hAnsi="Times New Roman"/>
          <w:i/>
          <w:sz w:val="24"/>
          <w:szCs w:val="24"/>
          <w:lang w:val="sq-AL"/>
        </w:rPr>
        <w:t xml:space="preserve">, pika </w:t>
      </w:r>
      <w:r w:rsidRPr="00037FB1">
        <w:rPr>
          <w:rFonts w:ascii="Times New Roman" w:hAnsi="Times New Roman"/>
          <w:i/>
          <w:sz w:val="24"/>
          <w:szCs w:val="24"/>
          <w:lang w:val="sq-AL"/>
        </w:rPr>
        <w:t>1</w:t>
      </w:r>
      <w:r w:rsidR="0017505B" w:rsidRPr="00037FB1">
        <w:rPr>
          <w:rFonts w:ascii="Times New Roman" w:hAnsi="Times New Roman"/>
          <w:i/>
          <w:sz w:val="24"/>
          <w:szCs w:val="24"/>
          <w:lang w:val="sq-AL"/>
        </w:rPr>
        <w:t>,</w:t>
      </w:r>
      <w:r w:rsidR="00367EB7" w:rsidRPr="00037FB1">
        <w:rPr>
          <w:rFonts w:ascii="Times New Roman" w:hAnsi="Times New Roman"/>
          <w:i/>
          <w:sz w:val="24"/>
          <w:szCs w:val="24"/>
          <w:lang w:val="sq-AL"/>
        </w:rPr>
        <w:t xml:space="preserve"> i Kushtetutës) </w:t>
      </w:r>
    </w:p>
    <w:p w:rsidR="00367EB7"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30</w:t>
      </w:r>
      <w:r w:rsidR="00367EB7" w:rsidRPr="00037FB1">
        <w:rPr>
          <w:rFonts w:ascii="Times New Roman" w:hAnsi="Times New Roman"/>
          <w:sz w:val="24"/>
          <w:szCs w:val="24"/>
          <w:lang w:val="sq-AL"/>
        </w:rPr>
        <w:t>. Kërkuesja ka pretenduar se akti i kundërshtuar cenon lirinë e shprehjes</w:t>
      </w:r>
      <w:r w:rsidR="00BD4CF8" w:rsidRPr="00037FB1">
        <w:rPr>
          <w:rFonts w:ascii="Times New Roman" w:hAnsi="Times New Roman"/>
          <w:sz w:val="24"/>
          <w:szCs w:val="24"/>
          <w:lang w:val="sq-AL"/>
        </w:rPr>
        <w:t xml:space="preserve"> (neni 22</w:t>
      </w:r>
      <w:r w:rsidR="0017505B" w:rsidRPr="00037FB1">
        <w:rPr>
          <w:rFonts w:ascii="Times New Roman" w:hAnsi="Times New Roman"/>
          <w:sz w:val="24"/>
          <w:szCs w:val="24"/>
          <w:lang w:val="sq-AL"/>
        </w:rPr>
        <w:t xml:space="preserve">, pika </w:t>
      </w:r>
      <w:r w:rsidR="008E061F" w:rsidRPr="00037FB1">
        <w:rPr>
          <w:rFonts w:ascii="Times New Roman" w:hAnsi="Times New Roman"/>
          <w:sz w:val="24"/>
          <w:szCs w:val="24"/>
          <w:lang w:val="sq-AL"/>
        </w:rPr>
        <w:t>1</w:t>
      </w:r>
      <w:r w:rsidR="0017505B" w:rsidRPr="00037FB1">
        <w:rPr>
          <w:rFonts w:ascii="Times New Roman" w:hAnsi="Times New Roman"/>
          <w:sz w:val="24"/>
          <w:szCs w:val="24"/>
          <w:lang w:val="sq-AL"/>
        </w:rPr>
        <w:t>,</w:t>
      </w:r>
      <w:r w:rsidR="00BD4CF8" w:rsidRPr="00037FB1">
        <w:rPr>
          <w:rFonts w:ascii="Times New Roman" w:hAnsi="Times New Roman"/>
          <w:sz w:val="24"/>
          <w:szCs w:val="24"/>
          <w:lang w:val="sq-AL"/>
        </w:rPr>
        <w:t xml:space="preserve"> i Kushtetutës)</w:t>
      </w:r>
      <w:r w:rsidR="00367EB7" w:rsidRPr="00037FB1">
        <w:rPr>
          <w:rFonts w:ascii="Times New Roman" w:hAnsi="Times New Roman"/>
          <w:sz w:val="24"/>
          <w:szCs w:val="24"/>
          <w:lang w:val="sq-AL"/>
        </w:rPr>
        <w:t>, pasi duke ndaluar aktivitetet dhe mbledhjet p</w:t>
      </w:r>
      <w:r w:rsidR="00F5002D" w:rsidRPr="00037FB1">
        <w:rPr>
          <w:rFonts w:ascii="Times New Roman" w:hAnsi="Times New Roman"/>
          <w:sz w:val="24"/>
          <w:szCs w:val="24"/>
          <w:lang w:val="sq-AL"/>
        </w:rPr>
        <w:t>artiake</w:t>
      </w:r>
      <w:r w:rsidR="00367EB7" w:rsidRPr="00037FB1">
        <w:rPr>
          <w:rFonts w:ascii="Times New Roman" w:hAnsi="Times New Roman"/>
          <w:sz w:val="24"/>
          <w:szCs w:val="24"/>
          <w:lang w:val="sq-AL"/>
        </w:rPr>
        <w:t xml:space="preserve"> ka kufizuar mundësinë e anëtarëve të partive politike opozitare për t’u mbledhur dhe për të shkëmbyer idetë </w:t>
      </w:r>
      <w:r w:rsidR="00EF426F" w:rsidRPr="00037FB1">
        <w:rPr>
          <w:rFonts w:ascii="Times New Roman" w:hAnsi="Times New Roman"/>
          <w:sz w:val="24"/>
          <w:szCs w:val="24"/>
          <w:lang w:val="sq-AL"/>
        </w:rPr>
        <w:t>e</w:t>
      </w:r>
      <w:r w:rsidR="00367EB7" w:rsidRPr="00037FB1">
        <w:rPr>
          <w:rFonts w:ascii="Times New Roman" w:hAnsi="Times New Roman"/>
          <w:sz w:val="24"/>
          <w:szCs w:val="24"/>
          <w:lang w:val="sq-AL"/>
        </w:rPr>
        <w:t xml:space="preserve"> tyre. Gjithashtu, kërkuesja</w:t>
      </w:r>
      <w:r w:rsidR="006C42DD" w:rsidRPr="00037FB1">
        <w:rPr>
          <w:rFonts w:ascii="Times New Roman" w:hAnsi="Times New Roman"/>
          <w:sz w:val="24"/>
          <w:szCs w:val="24"/>
          <w:lang w:val="sq-AL"/>
        </w:rPr>
        <w:t xml:space="preserve"> ka</w:t>
      </w:r>
      <w:r w:rsidR="00367EB7" w:rsidRPr="00037FB1">
        <w:rPr>
          <w:rFonts w:ascii="Times New Roman" w:hAnsi="Times New Roman"/>
          <w:sz w:val="24"/>
          <w:szCs w:val="24"/>
          <w:lang w:val="sq-AL"/>
        </w:rPr>
        <w:t xml:space="preserve"> pretend</w:t>
      </w:r>
      <w:r w:rsidR="006C42DD" w:rsidRPr="00037FB1">
        <w:rPr>
          <w:rFonts w:ascii="Times New Roman" w:hAnsi="Times New Roman"/>
          <w:sz w:val="24"/>
          <w:szCs w:val="24"/>
          <w:lang w:val="sq-AL"/>
        </w:rPr>
        <w:t xml:space="preserve">uar </w:t>
      </w:r>
      <w:r w:rsidR="00367EB7" w:rsidRPr="00037FB1">
        <w:rPr>
          <w:rFonts w:ascii="Times New Roman" w:hAnsi="Times New Roman"/>
          <w:sz w:val="24"/>
          <w:szCs w:val="24"/>
          <w:lang w:val="sq-AL"/>
        </w:rPr>
        <w:t>se akti i kundërshtuar cen</w:t>
      </w:r>
      <w:r w:rsidR="00BB014C" w:rsidRPr="00037FB1">
        <w:rPr>
          <w:rFonts w:ascii="Times New Roman" w:hAnsi="Times New Roman"/>
          <w:sz w:val="24"/>
          <w:szCs w:val="24"/>
          <w:lang w:val="sq-AL"/>
        </w:rPr>
        <w:t xml:space="preserve">on </w:t>
      </w:r>
      <w:r w:rsidR="00367EB7" w:rsidRPr="00037FB1">
        <w:rPr>
          <w:rFonts w:ascii="Times New Roman" w:hAnsi="Times New Roman"/>
          <w:sz w:val="24"/>
          <w:szCs w:val="24"/>
          <w:lang w:val="sq-AL"/>
        </w:rPr>
        <w:t xml:space="preserve"> lirinë e mbledhjes dhe të tubimeve</w:t>
      </w:r>
      <w:r w:rsidR="00BD4CF8" w:rsidRPr="00037FB1">
        <w:rPr>
          <w:rFonts w:ascii="Times New Roman" w:hAnsi="Times New Roman"/>
          <w:sz w:val="24"/>
          <w:szCs w:val="24"/>
          <w:lang w:val="sq-AL"/>
        </w:rPr>
        <w:t xml:space="preserve"> (neni 47 i Kushtetutës)</w:t>
      </w:r>
      <w:r w:rsidR="00367EB7" w:rsidRPr="00037FB1">
        <w:rPr>
          <w:rFonts w:ascii="Times New Roman" w:hAnsi="Times New Roman"/>
          <w:sz w:val="24"/>
          <w:szCs w:val="24"/>
          <w:lang w:val="sq-AL"/>
        </w:rPr>
        <w:t>, për arsye se organizimi i zgjedhjeve demokratike</w:t>
      </w:r>
      <w:r w:rsidR="0037360A" w:rsidRPr="00037FB1">
        <w:rPr>
          <w:rFonts w:ascii="Times New Roman" w:hAnsi="Times New Roman"/>
          <w:sz w:val="24"/>
          <w:szCs w:val="24"/>
          <w:lang w:val="sq-AL"/>
        </w:rPr>
        <w:t xml:space="preserve"> dhe, </w:t>
      </w:r>
      <w:r w:rsidR="00367EB7" w:rsidRPr="00037FB1">
        <w:rPr>
          <w:rFonts w:ascii="Times New Roman" w:hAnsi="Times New Roman"/>
          <w:sz w:val="24"/>
          <w:szCs w:val="24"/>
          <w:lang w:val="sq-AL"/>
        </w:rPr>
        <w:t>për pasojë</w:t>
      </w:r>
      <w:r w:rsidR="0037360A" w:rsidRPr="00037FB1">
        <w:rPr>
          <w:rFonts w:ascii="Times New Roman" w:hAnsi="Times New Roman"/>
          <w:sz w:val="24"/>
          <w:szCs w:val="24"/>
          <w:lang w:val="sq-AL"/>
        </w:rPr>
        <w:t>,</w:t>
      </w:r>
      <w:r w:rsidR="006C42DD"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vetë thelbi dhe ekzistenca e demokracisë ë</w:t>
      </w:r>
      <w:r w:rsidR="006C42DD" w:rsidRPr="00037FB1">
        <w:rPr>
          <w:rFonts w:ascii="Times New Roman" w:hAnsi="Times New Roman"/>
          <w:sz w:val="24"/>
          <w:szCs w:val="24"/>
          <w:lang w:val="sq-AL"/>
        </w:rPr>
        <w:t>shtë</w:t>
      </w:r>
      <w:r w:rsidR="00367EB7" w:rsidRPr="00037FB1">
        <w:rPr>
          <w:rFonts w:ascii="Times New Roman" w:hAnsi="Times New Roman"/>
          <w:sz w:val="24"/>
          <w:szCs w:val="24"/>
          <w:lang w:val="sq-AL"/>
        </w:rPr>
        <w:t xml:space="preserve"> </w:t>
      </w:r>
      <w:r w:rsidR="006C42DD" w:rsidRPr="00037FB1">
        <w:rPr>
          <w:rFonts w:ascii="Times New Roman" w:hAnsi="Times New Roman"/>
          <w:sz w:val="24"/>
          <w:szCs w:val="24"/>
          <w:lang w:val="sq-AL"/>
        </w:rPr>
        <w:t>i</w:t>
      </w:r>
      <w:r w:rsidR="00367EB7" w:rsidRPr="00037FB1">
        <w:rPr>
          <w:rFonts w:ascii="Times New Roman" w:hAnsi="Times New Roman"/>
          <w:sz w:val="24"/>
          <w:szCs w:val="24"/>
          <w:lang w:val="sq-AL"/>
        </w:rPr>
        <w:t xml:space="preserve"> pamundur pa respektuar, ndër të tjera, lirinë e shprehjes dhe të shtypit, si dhe lirinë e tubimit dhe </w:t>
      </w:r>
      <w:r w:rsidR="0037360A" w:rsidRPr="00037FB1">
        <w:rPr>
          <w:rFonts w:ascii="Times New Roman" w:hAnsi="Times New Roman"/>
          <w:sz w:val="24"/>
          <w:szCs w:val="24"/>
          <w:lang w:val="sq-AL"/>
        </w:rPr>
        <w:t xml:space="preserve">të </w:t>
      </w:r>
      <w:r w:rsidR="00367EB7" w:rsidRPr="00037FB1">
        <w:rPr>
          <w:rFonts w:ascii="Times New Roman" w:hAnsi="Times New Roman"/>
          <w:sz w:val="24"/>
          <w:szCs w:val="24"/>
          <w:lang w:val="sq-AL"/>
        </w:rPr>
        <w:t xml:space="preserve">organizimit të partive politike.  </w:t>
      </w:r>
    </w:p>
    <w:p w:rsidR="00367EB7" w:rsidRPr="00037FB1" w:rsidRDefault="009F1F66" w:rsidP="0037360A">
      <w:pPr>
        <w:tabs>
          <w:tab w:val="left" w:pos="1080"/>
        </w:tabs>
        <w:spacing w:after="0" w:line="360" w:lineRule="auto"/>
        <w:ind w:firstLine="720"/>
        <w:jc w:val="both"/>
        <w:rPr>
          <w:rFonts w:ascii="Times New Roman" w:hAnsi="Times New Roman"/>
          <w:sz w:val="24"/>
          <w:szCs w:val="24"/>
          <w:highlight w:val="yellow"/>
          <w:lang w:val="sq-AL"/>
        </w:rPr>
      </w:pPr>
      <w:r w:rsidRPr="00037FB1">
        <w:rPr>
          <w:rFonts w:ascii="Times New Roman" w:hAnsi="Times New Roman"/>
          <w:sz w:val="24"/>
          <w:szCs w:val="24"/>
          <w:lang w:val="sq-AL"/>
        </w:rPr>
        <w:t>31</w:t>
      </w:r>
      <w:r w:rsidR="0037360A" w:rsidRPr="00037FB1">
        <w:rPr>
          <w:rFonts w:ascii="Times New Roman" w:hAnsi="Times New Roman"/>
          <w:sz w:val="24"/>
          <w:szCs w:val="24"/>
          <w:lang w:val="sq-AL"/>
        </w:rPr>
        <w:t>. Ndërsa</w:t>
      </w:r>
      <w:r w:rsidR="00367EB7" w:rsidRPr="00037FB1">
        <w:rPr>
          <w:rFonts w:ascii="Times New Roman" w:hAnsi="Times New Roman"/>
          <w:sz w:val="24"/>
          <w:szCs w:val="24"/>
          <w:lang w:val="sq-AL"/>
        </w:rPr>
        <w:t xml:space="preserve"> subjekti i interesuar, Këshilli i Ministrave, </w:t>
      </w:r>
      <w:r w:rsidR="0037360A" w:rsidRPr="00037FB1">
        <w:rPr>
          <w:rFonts w:ascii="Times New Roman" w:hAnsi="Times New Roman"/>
          <w:sz w:val="24"/>
          <w:szCs w:val="24"/>
          <w:lang w:val="sq-AL"/>
        </w:rPr>
        <w:t xml:space="preserve">ka prapësuar </w:t>
      </w:r>
      <w:r w:rsidR="00367EB7" w:rsidRPr="00037FB1">
        <w:rPr>
          <w:rFonts w:ascii="Times New Roman" w:hAnsi="Times New Roman"/>
          <w:sz w:val="24"/>
          <w:szCs w:val="24"/>
          <w:lang w:val="sq-AL"/>
        </w:rPr>
        <w:t xml:space="preserve">se edhe pse </w:t>
      </w:r>
      <w:r w:rsidR="00BB014C" w:rsidRPr="00037FB1">
        <w:rPr>
          <w:rFonts w:ascii="Times New Roman" w:hAnsi="Times New Roman"/>
          <w:sz w:val="24"/>
          <w:szCs w:val="24"/>
          <w:lang w:val="sq-AL"/>
        </w:rPr>
        <w:t>urdhri i dal</w:t>
      </w:r>
      <w:r w:rsidR="00C4630B" w:rsidRPr="00037FB1">
        <w:rPr>
          <w:rFonts w:ascii="Times New Roman" w:hAnsi="Times New Roman"/>
          <w:sz w:val="24"/>
          <w:szCs w:val="24"/>
          <w:lang w:val="sq-AL"/>
        </w:rPr>
        <w:t>ë</w:t>
      </w:r>
      <w:r w:rsidR="00BB014C" w:rsidRPr="00037FB1">
        <w:rPr>
          <w:rFonts w:ascii="Times New Roman" w:hAnsi="Times New Roman"/>
          <w:sz w:val="24"/>
          <w:szCs w:val="24"/>
          <w:lang w:val="sq-AL"/>
        </w:rPr>
        <w:t xml:space="preserve"> p</w:t>
      </w:r>
      <w:r w:rsidR="00C4630B" w:rsidRPr="00037FB1">
        <w:rPr>
          <w:rFonts w:ascii="Times New Roman" w:hAnsi="Times New Roman"/>
          <w:sz w:val="24"/>
          <w:szCs w:val="24"/>
          <w:lang w:val="sq-AL"/>
        </w:rPr>
        <w:t>ë</w:t>
      </w:r>
      <w:r w:rsidR="00BB014C" w:rsidRPr="00037FB1">
        <w:rPr>
          <w:rFonts w:ascii="Times New Roman" w:hAnsi="Times New Roman"/>
          <w:sz w:val="24"/>
          <w:szCs w:val="24"/>
          <w:lang w:val="sq-AL"/>
        </w:rPr>
        <w:t>r shkak t</w:t>
      </w:r>
      <w:r w:rsidR="00C4630B" w:rsidRPr="00037FB1">
        <w:rPr>
          <w:rFonts w:ascii="Times New Roman" w:hAnsi="Times New Roman"/>
          <w:sz w:val="24"/>
          <w:szCs w:val="24"/>
          <w:lang w:val="sq-AL"/>
        </w:rPr>
        <w:t>ë</w:t>
      </w:r>
      <w:r w:rsidR="00BB014C"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pandemi</w:t>
      </w:r>
      <w:r w:rsidR="00BB014C" w:rsidRPr="00037FB1">
        <w:rPr>
          <w:rFonts w:ascii="Times New Roman" w:hAnsi="Times New Roman"/>
          <w:sz w:val="24"/>
          <w:szCs w:val="24"/>
          <w:lang w:val="sq-AL"/>
        </w:rPr>
        <w:t>s</w:t>
      </w:r>
      <w:r w:rsidR="00C4630B" w:rsidRPr="00037FB1">
        <w:rPr>
          <w:rFonts w:ascii="Times New Roman" w:hAnsi="Times New Roman"/>
          <w:sz w:val="24"/>
          <w:szCs w:val="24"/>
          <w:lang w:val="sq-AL"/>
        </w:rPr>
        <w:t>ë</w:t>
      </w:r>
      <w:r w:rsidR="00367EB7" w:rsidRPr="00037FB1">
        <w:rPr>
          <w:rFonts w:ascii="Times New Roman" w:hAnsi="Times New Roman"/>
          <w:sz w:val="24"/>
          <w:szCs w:val="24"/>
          <w:lang w:val="sq-AL"/>
        </w:rPr>
        <w:t xml:space="preserve"> ka prekur lirinë e shprehjes, </w:t>
      </w:r>
      <w:r w:rsidR="00BB014C" w:rsidRPr="00037FB1">
        <w:rPr>
          <w:rFonts w:ascii="Times New Roman" w:hAnsi="Times New Roman"/>
          <w:sz w:val="24"/>
          <w:szCs w:val="24"/>
          <w:lang w:val="sq-AL"/>
        </w:rPr>
        <w:t xml:space="preserve">ai </w:t>
      </w:r>
      <w:r w:rsidR="00367EB7" w:rsidRPr="00037FB1">
        <w:rPr>
          <w:rFonts w:ascii="Times New Roman" w:hAnsi="Times New Roman"/>
          <w:sz w:val="24"/>
          <w:szCs w:val="24"/>
          <w:lang w:val="sq-AL"/>
        </w:rPr>
        <w:t xml:space="preserve"> nuk ndalon realizimin e aktiviteteve </w:t>
      </w:r>
      <w:r w:rsidR="00367EB7" w:rsidRPr="00037FB1">
        <w:rPr>
          <w:rFonts w:ascii="Times New Roman" w:hAnsi="Times New Roman"/>
          <w:i/>
          <w:sz w:val="24"/>
          <w:szCs w:val="24"/>
          <w:lang w:val="sq-AL"/>
        </w:rPr>
        <w:t>online</w:t>
      </w:r>
      <w:r w:rsidR="0037360A"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 xml:space="preserve">ku pjesëmarrësit jo vetëm mund të shprehin mendimet e tyre, </w:t>
      </w:r>
      <w:r w:rsidR="00567B8E" w:rsidRPr="00037FB1">
        <w:rPr>
          <w:rFonts w:ascii="Times New Roman" w:hAnsi="Times New Roman"/>
          <w:sz w:val="24"/>
          <w:szCs w:val="24"/>
          <w:lang w:val="sq-AL"/>
        </w:rPr>
        <w:t>por mund t’i shprehin ato bashkë</w:t>
      </w:r>
      <w:r w:rsidR="00367EB7" w:rsidRPr="00037FB1">
        <w:rPr>
          <w:rFonts w:ascii="Times New Roman" w:hAnsi="Times New Roman"/>
          <w:sz w:val="24"/>
          <w:szCs w:val="24"/>
          <w:lang w:val="sq-AL"/>
        </w:rPr>
        <w:t xml:space="preserve">risht me të tjerët dhe në të njëjtën kohë të mbrojnë shëndetin e tyre dhe të komunitetit. </w:t>
      </w:r>
      <w:r w:rsidR="00EE579E" w:rsidRPr="00037FB1">
        <w:rPr>
          <w:rFonts w:ascii="Times New Roman" w:hAnsi="Times New Roman"/>
          <w:sz w:val="24"/>
          <w:szCs w:val="24"/>
          <w:lang w:val="sq-AL"/>
        </w:rPr>
        <w:t xml:space="preserve">Pretendimi i kërkueses se urdhri i kundërshtuar, në pikën 1 të tij, ndalon </w:t>
      </w:r>
      <w:r w:rsidR="00BB014C" w:rsidRPr="00037FB1">
        <w:rPr>
          <w:rFonts w:ascii="Times New Roman" w:hAnsi="Times New Roman"/>
          <w:sz w:val="24"/>
          <w:szCs w:val="24"/>
          <w:lang w:val="sq-AL"/>
        </w:rPr>
        <w:t>t</w:t>
      </w:r>
      <w:r w:rsidR="00C4630B" w:rsidRPr="00037FB1">
        <w:rPr>
          <w:rFonts w:ascii="Times New Roman" w:hAnsi="Times New Roman"/>
          <w:sz w:val="24"/>
          <w:szCs w:val="24"/>
          <w:lang w:val="sq-AL"/>
        </w:rPr>
        <w:t>ë</w:t>
      </w:r>
      <w:r w:rsidR="00BB014C" w:rsidRPr="00037FB1">
        <w:rPr>
          <w:rFonts w:ascii="Times New Roman" w:hAnsi="Times New Roman"/>
          <w:sz w:val="24"/>
          <w:szCs w:val="24"/>
          <w:lang w:val="sq-AL"/>
        </w:rPr>
        <w:t>r</w:t>
      </w:r>
      <w:r w:rsidR="00C4630B" w:rsidRPr="00037FB1">
        <w:rPr>
          <w:rFonts w:ascii="Times New Roman" w:hAnsi="Times New Roman"/>
          <w:sz w:val="24"/>
          <w:szCs w:val="24"/>
          <w:lang w:val="sq-AL"/>
        </w:rPr>
        <w:t>ë</w:t>
      </w:r>
      <w:r w:rsidR="00BB014C" w:rsidRPr="00037FB1">
        <w:rPr>
          <w:rFonts w:ascii="Times New Roman" w:hAnsi="Times New Roman"/>
          <w:sz w:val="24"/>
          <w:szCs w:val="24"/>
          <w:lang w:val="sq-AL"/>
        </w:rPr>
        <w:t xml:space="preserve">sisht </w:t>
      </w:r>
      <w:r w:rsidR="00EE579E" w:rsidRPr="00037FB1">
        <w:rPr>
          <w:rFonts w:ascii="Times New Roman" w:hAnsi="Times New Roman"/>
          <w:sz w:val="24"/>
          <w:szCs w:val="24"/>
          <w:lang w:val="sq-AL"/>
        </w:rPr>
        <w:t>mbledhjet dhe tubimet politike nuk qëndron, pasi akti në fjalë lejon m</w:t>
      </w:r>
      <w:r w:rsidR="00567B8E" w:rsidRPr="00037FB1">
        <w:rPr>
          <w:rFonts w:ascii="Times New Roman" w:hAnsi="Times New Roman"/>
          <w:sz w:val="24"/>
          <w:szCs w:val="24"/>
          <w:lang w:val="sq-AL"/>
        </w:rPr>
        <w:t>bledhjet partiake dhe tubimet</w:t>
      </w:r>
      <w:r w:rsidR="00EE579E" w:rsidRPr="00037FB1">
        <w:rPr>
          <w:rFonts w:ascii="Times New Roman" w:hAnsi="Times New Roman"/>
          <w:sz w:val="24"/>
          <w:szCs w:val="24"/>
          <w:lang w:val="sq-AL"/>
        </w:rPr>
        <w:t xml:space="preserve"> deri në 10 persona. Edhe në praktikë zbatimi i urdhrit ka qenë i tillë. Organet ligjzbatuese nuk kanë vendosur gjoba për mbledhje o</w:t>
      </w:r>
      <w:r w:rsidR="0037360A" w:rsidRPr="00037FB1">
        <w:rPr>
          <w:rFonts w:ascii="Times New Roman" w:hAnsi="Times New Roman"/>
          <w:sz w:val="24"/>
          <w:szCs w:val="24"/>
          <w:lang w:val="sq-AL"/>
        </w:rPr>
        <w:t>se</w:t>
      </w:r>
      <w:r w:rsidR="00EE579E" w:rsidRPr="00037FB1">
        <w:rPr>
          <w:rFonts w:ascii="Times New Roman" w:hAnsi="Times New Roman"/>
          <w:sz w:val="24"/>
          <w:szCs w:val="24"/>
          <w:lang w:val="sq-AL"/>
        </w:rPr>
        <w:t xml:space="preserve"> tubime partiake me pjesëmarrje deri në 10 persona. </w:t>
      </w:r>
      <w:r w:rsidR="00367EB7" w:rsidRPr="00037FB1">
        <w:rPr>
          <w:rFonts w:ascii="Times New Roman" w:hAnsi="Times New Roman"/>
          <w:sz w:val="24"/>
          <w:szCs w:val="24"/>
          <w:lang w:val="sq-AL"/>
        </w:rPr>
        <w:t>Kufizimi i vendosur është i përkohshëm për gjendjen aktuale, deri në një urdhër të dytë, i cili mu</w:t>
      </w:r>
      <w:r w:rsidR="0037360A" w:rsidRPr="00037FB1">
        <w:rPr>
          <w:rFonts w:ascii="Times New Roman" w:hAnsi="Times New Roman"/>
          <w:sz w:val="24"/>
          <w:szCs w:val="24"/>
          <w:lang w:val="sq-AL"/>
        </w:rPr>
        <w:t>nd të ndryshojë masën kufizuese</w:t>
      </w:r>
      <w:r w:rsidR="00367EB7" w:rsidRPr="00037FB1">
        <w:rPr>
          <w:rFonts w:ascii="Times New Roman" w:hAnsi="Times New Roman"/>
          <w:sz w:val="24"/>
          <w:szCs w:val="24"/>
          <w:lang w:val="sq-AL"/>
        </w:rPr>
        <w:t xml:space="preserve"> nëse situata epidemiologjike përmirësohet. </w:t>
      </w:r>
    </w:p>
    <w:p w:rsidR="00504BBE" w:rsidRPr="00037FB1" w:rsidRDefault="009F1F66" w:rsidP="0037360A">
      <w:pPr>
        <w:tabs>
          <w:tab w:val="left" w:pos="1080"/>
        </w:tabs>
        <w:spacing w:after="0" w:line="360" w:lineRule="auto"/>
        <w:ind w:firstLine="720"/>
        <w:jc w:val="both"/>
        <w:rPr>
          <w:rFonts w:ascii="Times New Roman" w:hAnsi="Times New Roman"/>
          <w:i/>
          <w:sz w:val="24"/>
          <w:szCs w:val="24"/>
          <w:lang w:val="sq-AL"/>
        </w:rPr>
      </w:pPr>
      <w:r w:rsidRPr="00037FB1">
        <w:rPr>
          <w:rFonts w:ascii="Times New Roman" w:hAnsi="Times New Roman"/>
          <w:sz w:val="24"/>
          <w:szCs w:val="24"/>
          <w:lang w:val="sq-AL"/>
        </w:rPr>
        <w:t>32</w:t>
      </w:r>
      <w:r w:rsidR="00367EB7" w:rsidRPr="00037FB1">
        <w:rPr>
          <w:rFonts w:ascii="Times New Roman" w:hAnsi="Times New Roman"/>
          <w:sz w:val="24"/>
          <w:szCs w:val="24"/>
          <w:lang w:val="sq-AL"/>
        </w:rPr>
        <w:t>. Neni 22</w:t>
      </w:r>
      <w:r w:rsidR="00EF426F" w:rsidRPr="00037FB1">
        <w:rPr>
          <w:rFonts w:ascii="Times New Roman" w:hAnsi="Times New Roman"/>
          <w:sz w:val="24"/>
          <w:szCs w:val="24"/>
          <w:lang w:val="sq-AL"/>
        </w:rPr>
        <w:t xml:space="preserve">, pika </w:t>
      </w:r>
      <w:r w:rsidR="00367EB7" w:rsidRPr="00037FB1">
        <w:rPr>
          <w:rFonts w:ascii="Times New Roman" w:hAnsi="Times New Roman"/>
          <w:sz w:val="24"/>
          <w:szCs w:val="24"/>
          <w:lang w:val="sq-AL"/>
        </w:rPr>
        <w:t>1</w:t>
      </w:r>
      <w:r w:rsidR="0037360A" w:rsidRPr="00037FB1">
        <w:rPr>
          <w:rFonts w:ascii="Times New Roman" w:hAnsi="Times New Roman"/>
          <w:sz w:val="24"/>
          <w:szCs w:val="24"/>
          <w:lang w:val="sq-AL"/>
        </w:rPr>
        <w:t>,</w:t>
      </w:r>
      <w:r w:rsidR="00367EB7" w:rsidRPr="00037FB1">
        <w:rPr>
          <w:rFonts w:ascii="Times New Roman" w:hAnsi="Times New Roman"/>
          <w:sz w:val="24"/>
          <w:szCs w:val="24"/>
          <w:lang w:val="sq-AL"/>
        </w:rPr>
        <w:t xml:space="preserve"> i Kushtetutës parashikon se liria e shprehjes është e garantuar</w:t>
      </w:r>
      <w:r w:rsidR="0037360A" w:rsidRPr="00037FB1">
        <w:rPr>
          <w:rFonts w:ascii="Times New Roman" w:hAnsi="Times New Roman"/>
          <w:sz w:val="24"/>
          <w:szCs w:val="24"/>
          <w:lang w:val="sq-AL"/>
        </w:rPr>
        <w:t xml:space="preserve"> dhe ajo </w:t>
      </w:r>
      <w:r w:rsidR="00504BBE" w:rsidRPr="00037FB1">
        <w:rPr>
          <w:rFonts w:ascii="Times New Roman" w:hAnsi="Times New Roman"/>
          <w:sz w:val="24"/>
          <w:szCs w:val="24"/>
          <w:lang w:val="sq-AL"/>
        </w:rPr>
        <w:t>përbën një nga gurët themelorë të shtetit demokratik. Pa garantimin e kësaj të drejte nuk mund të bëhet fjalë për pluralizëm, tolerancë dhe krijim të vullnetit të lirë politik, aq të domosdoshëm për shoqërinë demokratike. Shkëmbimi i ideve dhe informimi i lirë janë ndër mjetet më të rëndësishme dhe më efikase për të kontrolluar demokracinë si formë e qeverisjes. Nëpërmjet tyre pushteti shtetëror bëhet më transparent, më efikas dhe më afër qytetarit. Liria e shprehjes është</w:t>
      </w:r>
      <w:r w:rsidR="0037360A" w:rsidRPr="00037FB1">
        <w:rPr>
          <w:rFonts w:ascii="Times New Roman" w:hAnsi="Times New Roman"/>
          <w:sz w:val="24"/>
          <w:szCs w:val="24"/>
          <w:lang w:val="sq-AL"/>
        </w:rPr>
        <w:t>,</w:t>
      </w:r>
      <w:r w:rsidR="00504BBE" w:rsidRPr="00037FB1">
        <w:rPr>
          <w:rFonts w:ascii="Times New Roman" w:hAnsi="Times New Roman"/>
          <w:sz w:val="24"/>
          <w:szCs w:val="24"/>
          <w:lang w:val="sq-AL"/>
        </w:rPr>
        <w:t xml:space="preserve"> gjithashtu</w:t>
      </w:r>
      <w:r w:rsidR="0037360A" w:rsidRPr="00037FB1">
        <w:rPr>
          <w:rFonts w:ascii="Times New Roman" w:hAnsi="Times New Roman"/>
          <w:sz w:val="24"/>
          <w:szCs w:val="24"/>
          <w:lang w:val="sq-AL"/>
        </w:rPr>
        <w:t>,</w:t>
      </w:r>
      <w:r w:rsidR="00504BBE" w:rsidRPr="00037FB1">
        <w:rPr>
          <w:rFonts w:ascii="Times New Roman" w:hAnsi="Times New Roman"/>
          <w:sz w:val="24"/>
          <w:szCs w:val="24"/>
          <w:lang w:val="sq-AL"/>
        </w:rPr>
        <w:t xml:space="preserve"> bazë dhe kusht i domosdoshëm paraprak për garantimin e një sërë të drejtave dhe lirive të tjera themelore</w:t>
      </w:r>
      <w:r w:rsidR="00F92D3A" w:rsidRPr="00037FB1">
        <w:rPr>
          <w:rFonts w:ascii="Times New Roman" w:hAnsi="Times New Roman"/>
          <w:sz w:val="24"/>
          <w:szCs w:val="24"/>
          <w:lang w:val="sq-AL"/>
        </w:rPr>
        <w:t xml:space="preserve"> </w:t>
      </w:r>
      <w:r w:rsidR="00504BBE" w:rsidRPr="00037FB1">
        <w:rPr>
          <w:rFonts w:ascii="Times New Roman" w:hAnsi="Times New Roman"/>
          <w:sz w:val="24"/>
          <w:szCs w:val="24"/>
          <w:lang w:val="sq-AL"/>
        </w:rPr>
        <w:t>(</w:t>
      </w:r>
      <w:r w:rsidR="00504BBE" w:rsidRPr="00037FB1">
        <w:rPr>
          <w:rFonts w:ascii="Times New Roman" w:hAnsi="Times New Roman"/>
          <w:i/>
          <w:sz w:val="24"/>
          <w:szCs w:val="24"/>
          <w:lang w:val="sq-AL"/>
        </w:rPr>
        <w:t xml:space="preserve">shih vendimet </w:t>
      </w:r>
      <w:r w:rsidR="00E47090" w:rsidRPr="00037FB1">
        <w:rPr>
          <w:rFonts w:ascii="Times New Roman" w:hAnsi="Times New Roman"/>
          <w:i/>
          <w:sz w:val="24"/>
          <w:szCs w:val="24"/>
          <w:lang w:val="sq-AL"/>
        </w:rPr>
        <w:t xml:space="preserve">nr. 56, datë 27.07.2016; </w:t>
      </w:r>
      <w:r w:rsidR="00504BBE" w:rsidRPr="00037FB1">
        <w:rPr>
          <w:rFonts w:ascii="Times New Roman" w:hAnsi="Times New Roman"/>
          <w:i/>
          <w:sz w:val="24"/>
          <w:szCs w:val="24"/>
          <w:lang w:val="sq-AL"/>
        </w:rPr>
        <w:t xml:space="preserve">nr. 16, datë </w:t>
      </w:r>
      <w:r w:rsidR="00871C0A" w:rsidRPr="00037FB1">
        <w:rPr>
          <w:rFonts w:ascii="Times New Roman" w:hAnsi="Times New Roman"/>
          <w:i/>
          <w:sz w:val="24"/>
          <w:szCs w:val="24"/>
          <w:lang w:val="sq-AL"/>
        </w:rPr>
        <w:t>11.11.</w:t>
      </w:r>
      <w:r w:rsidR="00504BBE" w:rsidRPr="00037FB1">
        <w:rPr>
          <w:rFonts w:ascii="Times New Roman" w:hAnsi="Times New Roman"/>
          <w:i/>
          <w:sz w:val="24"/>
          <w:szCs w:val="24"/>
          <w:lang w:val="sq-AL"/>
        </w:rPr>
        <w:t xml:space="preserve">2004 </w:t>
      </w:r>
      <w:r w:rsidR="00E47090" w:rsidRPr="00037FB1">
        <w:rPr>
          <w:rFonts w:ascii="Times New Roman" w:hAnsi="Times New Roman"/>
          <w:i/>
          <w:sz w:val="24"/>
          <w:szCs w:val="24"/>
          <w:lang w:val="sq-AL"/>
        </w:rPr>
        <w:t xml:space="preserve">të Gjykatës Kushtetuese). </w:t>
      </w:r>
    </w:p>
    <w:p w:rsidR="002D073B" w:rsidRPr="00037FB1" w:rsidRDefault="009F1F66" w:rsidP="0037360A">
      <w:pPr>
        <w:tabs>
          <w:tab w:val="left" w:pos="1080"/>
        </w:tabs>
        <w:spacing w:after="0" w:line="360" w:lineRule="auto"/>
        <w:ind w:firstLine="720"/>
        <w:jc w:val="both"/>
        <w:rPr>
          <w:rFonts w:ascii="Times New Roman" w:hAnsi="Times New Roman"/>
          <w:sz w:val="24"/>
          <w:szCs w:val="24"/>
          <w:lang w:val="sq-AL"/>
        </w:rPr>
      </w:pPr>
      <w:bookmarkStart w:id="1" w:name="_Hlk66822427"/>
      <w:r w:rsidRPr="00037FB1">
        <w:rPr>
          <w:rFonts w:ascii="Times New Roman" w:hAnsi="Times New Roman"/>
          <w:sz w:val="24"/>
          <w:szCs w:val="24"/>
          <w:lang w:val="sq-AL"/>
        </w:rPr>
        <w:t>33</w:t>
      </w:r>
      <w:r w:rsidR="002D073B" w:rsidRPr="00037FB1">
        <w:rPr>
          <w:rFonts w:ascii="Times New Roman" w:hAnsi="Times New Roman"/>
          <w:sz w:val="24"/>
          <w:szCs w:val="24"/>
          <w:lang w:val="sq-AL"/>
        </w:rPr>
        <w:t xml:space="preserve">. Edhe GJEDNJ-ja ka vënë në pah rëndësinë e lirisë së shprehjes. Në interpretimin që i ka bërë nenit 10 të KEDNJ-së, GJEDNJ-ja ka pohuar se “liria e shprehjes përbën një prej bazave thelbësore të shoqërisë </w:t>
      </w:r>
      <w:r w:rsidR="0037360A" w:rsidRPr="00037FB1">
        <w:rPr>
          <w:rFonts w:ascii="Times New Roman" w:hAnsi="Times New Roman"/>
          <w:sz w:val="24"/>
          <w:szCs w:val="24"/>
          <w:lang w:val="sq-AL"/>
        </w:rPr>
        <w:t>(</w:t>
      </w:r>
      <w:r w:rsidR="002D073B" w:rsidRPr="00037FB1">
        <w:rPr>
          <w:rFonts w:ascii="Times New Roman" w:hAnsi="Times New Roman"/>
          <w:sz w:val="24"/>
          <w:szCs w:val="24"/>
          <w:lang w:val="sq-AL"/>
        </w:rPr>
        <w:t>demokratike</w:t>
      </w:r>
      <w:r w:rsidR="0037360A" w:rsidRPr="00037FB1">
        <w:rPr>
          <w:rFonts w:ascii="Times New Roman" w:hAnsi="Times New Roman"/>
          <w:sz w:val="24"/>
          <w:szCs w:val="24"/>
          <w:lang w:val="sq-AL"/>
        </w:rPr>
        <w:t>)</w:t>
      </w:r>
      <w:r w:rsidR="002D073B" w:rsidRPr="00037FB1">
        <w:rPr>
          <w:rFonts w:ascii="Times New Roman" w:hAnsi="Times New Roman"/>
          <w:sz w:val="24"/>
          <w:szCs w:val="24"/>
          <w:lang w:val="sq-AL"/>
        </w:rPr>
        <w:t>, një prej kushteve themelore për progresin e saj dhe për zhvillimin e çdo individi” (</w:t>
      </w:r>
      <w:r w:rsidR="002D073B" w:rsidRPr="00037FB1">
        <w:rPr>
          <w:rFonts w:ascii="Times New Roman" w:hAnsi="Times New Roman"/>
          <w:i/>
          <w:iCs/>
          <w:sz w:val="24"/>
          <w:szCs w:val="24"/>
          <w:lang w:val="sq-AL"/>
        </w:rPr>
        <w:t>shih Handysyde kundër Mbretërisë së Bashkuar, 8 dhjetor 1976, § 49</w:t>
      </w:r>
      <w:r w:rsidR="002D073B" w:rsidRPr="00037FB1">
        <w:rPr>
          <w:rFonts w:ascii="Times New Roman" w:hAnsi="Times New Roman"/>
          <w:sz w:val="24"/>
          <w:szCs w:val="24"/>
          <w:lang w:val="sq-AL"/>
        </w:rPr>
        <w:t>). Duke pasur në fokus rolin kyç të medias së pavarur gjatë fushatës zgjedhore, nën dritën e lirisë së shprehjes, GJEDNJ</w:t>
      </w:r>
      <w:r w:rsidR="0037360A" w:rsidRPr="00037FB1">
        <w:rPr>
          <w:rFonts w:ascii="Times New Roman" w:hAnsi="Times New Roman"/>
          <w:sz w:val="24"/>
          <w:szCs w:val="24"/>
          <w:lang w:val="sq-AL"/>
        </w:rPr>
        <w:t>-ja</w:t>
      </w:r>
      <w:r w:rsidR="002D073B" w:rsidRPr="00037FB1">
        <w:rPr>
          <w:rFonts w:ascii="Times New Roman" w:hAnsi="Times New Roman"/>
          <w:sz w:val="24"/>
          <w:szCs w:val="24"/>
          <w:lang w:val="sq-AL"/>
        </w:rPr>
        <w:t xml:space="preserve"> është shprehur se veçanërisht diskutimi i kandidatëve dhe i programeve të tyre kontribuon për të drejtën e publikut për të marrë informacion dhe për të fuqizuar mundësinë e votuesve për të bërë zgjedhje të informuara midis kandidatëve në garë (</w:t>
      </w:r>
      <w:r w:rsidR="002D073B" w:rsidRPr="00037FB1">
        <w:rPr>
          <w:rFonts w:ascii="Times New Roman" w:hAnsi="Times New Roman"/>
          <w:i/>
          <w:iCs/>
          <w:sz w:val="24"/>
          <w:szCs w:val="24"/>
          <w:lang w:val="sq-AL"/>
        </w:rPr>
        <w:t>shih Orlovskaya Iskra kundër Rusisë, 3 korrik 2017, § 130</w:t>
      </w:r>
      <w:r w:rsidR="002D073B" w:rsidRPr="00037FB1">
        <w:rPr>
          <w:rFonts w:ascii="Times New Roman" w:hAnsi="Times New Roman"/>
          <w:sz w:val="24"/>
          <w:szCs w:val="24"/>
          <w:lang w:val="sq-AL"/>
        </w:rPr>
        <w:t xml:space="preserve">). </w:t>
      </w:r>
    </w:p>
    <w:p w:rsidR="002D073B"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34</w:t>
      </w:r>
      <w:r w:rsidR="002D073B" w:rsidRPr="00037FB1">
        <w:rPr>
          <w:rFonts w:ascii="Times New Roman" w:hAnsi="Times New Roman"/>
          <w:sz w:val="24"/>
          <w:szCs w:val="24"/>
          <w:lang w:val="sq-AL"/>
        </w:rPr>
        <w:t>. Po ashtu, duke interpretuar lirinë e shprehjes në kontekstin e lirisë së shtypit, GJEDNJ</w:t>
      </w:r>
      <w:r w:rsidR="0037360A" w:rsidRPr="00037FB1">
        <w:rPr>
          <w:rFonts w:ascii="Times New Roman" w:hAnsi="Times New Roman"/>
          <w:sz w:val="24"/>
          <w:szCs w:val="24"/>
          <w:lang w:val="sq-AL"/>
        </w:rPr>
        <w:t>-ja</w:t>
      </w:r>
      <w:r w:rsidR="002D073B" w:rsidRPr="00037FB1">
        <w:rPr>
          <w:rFonts w:ascii="Times New Roman" w:hAnsi="Times New Roman"/>
          <w:sz w:val="24"/>
          <w:szCs w:val="24"/>
          <w:lang w:val="sq-AL"/>
        </w:rPr>
        <w:t xml:space="preserve"> ka theksuar se ajo i ofron publikut një nga mjetet më të mira për të zbuluar dhe formuar një mendim për idetë dhe qëndrimet e udhëheqësve të tyre politikë. Në mënyrë më të përgjithshme, liria e debatit politik qëndron pikërisht në thelbin e konceptit të një shoqërie demokratike</w:t>
      </w:r>
      <w:r w:rsidR="0037360A" w:rsidRPr="00037FB1">
        <w:rPr>
          <w:rFonts w:ascii="Times New Roman" w:hAnsi="Times New Roman"/>
          <w:sz w:val="24"/>
          <w:szCs w:val="24"/>
          <w:lang w:val="sq-AL"/>
        </w:rPr>
        <w:t>,</w:t>
      </w:r>
      <w:r w:rsidR="002D073B" w:rsidRPr="00037FB1">
        <w:rPr>
          <w:rFonts w:ascii="Times New Roman" w:hAnsi="Times New Roman"/>
          <w:sz w:val="24"/>
          <w:szCs w:val="24"/>
          <w:lang w:val="sq-AL"/>
        </w:rPr>
        <w:t xml:space="preserve"> e cila mbizotëron në të gjithë Konventën (</w:t>
      </w:r>
      <w:r w:rsidR="002D073B" w:rsidRPr="00037FB1">
        <w:rPr>
          <w:rFonts w:ascii="Times New Roman" w:hAnsi="Times New Roman"/>
          <w:i/>
          <w:sz w:val="24"/>
          <w:szCs w:val="24"/>
          <w:lang w:val="sq-AL"/>
        </w:rPr>
        <w:t>shih Lingens kundër Austrisë, 8 korrik 1986, § 42)</w:t>
      </w:r>
      <w:r w:rsidR="002D073B" w:rsidRPr="00037FB1">
        <w:rPr>
          <w:rFonts w:ascii="Times New Roman" w:hAnsi="Times New Roman"/>
          <w:sz w:val="24"/>
          <w:szCs w:val="24"/>
          <w:lang w:val="sq-AL"/>
        </w:rPr>
        <w:t xml:space="preserve">. Në një shoqëri të tillë, që bazohet në sundimin e ligjit, ideve politike të cilat sfidojnë rendin ekzistues dhe realizimi i të cilave mbështetet në mjete paqësore, duhet t'u jepet një mundësi e duhur shprehjeje nëpërmjet </w:t>
      </w:r>
      <w:r w:rsidR="0037360A" w:rsidRPr="00037FB1">
        <w:rPr>
          <w:rFonts w:ascii="Times New Roman" w:hAnsi="Times New Roman"/>
          <w:sz w:val="24"/>
          <w:szCs w:val="24"/>
          <w:lang w:val="sq-AL"/>
        </w:rPr>
        <w:t>s</w:t>
      </w:r>
      <w:r w:rsidR="002D073B" w:rsidRPr="00037FB1">
        <w:rPr>
          <w:rFonts w:ascii="Times New Roman" w:hAnsi="Times New Roman"/>
          <w:sz w:val="24"/>
          <w:szCs w:val="24"/>
          <w:lang w:val="sq-AL"/>
        </w:rPr>
        <w:t xml:space="preserve">ë drejtës së organizimit. Kjo kërkohet nga vlerat e </w:t>
      </w:r>
      <w:r w:rsidR="00687598" w:rsidRPr="00037FB1">
        <w:rPr>
          <w:rFonts w:ascii="Times New Roman" w:hAnsi="Times New Roman"/>
          <w:sz w:val="24"/>
          <w:szCs w:val="24"/>
          <w:lang w:val="sq-AL"/>
        </w:rPr>
        <w:t>qenësishme</w:t>
      </w:r>
      <w:r w:rsidR="002D073B" w:rsidRPr="00037FB1">
        <w:rPr>
          <w:rFonts w:ascii="Times New Roman" w:hAnsi="Times New Roman"/>
          <w:sz w:val="24"/>
          <w:szCs w:val="24"/>
          <w:lang w:val="sq-AL"/>
        </w:rPr>
        <w:t xml:space="preserve"> të një sistemi demokratik, siç janë pluralizmi, toleranca dhe kohezioni social (</w:t>
      </w:r>
      <w:r w:rsidR="002D073B" w:rsidRPr="00037FB1">
        <w:rPr>
          <w:rFonts w:ascii="Times New Roman" w:hAnsi="Times New Roman"/>
          <w:i/>
          <w:sz w:val="24"/>
          <w:szCs w:val="24"/>
          <w:lang w:val="sq-AL"/>
        </w:rPr>
        <w:t>shih Eğitim dhe Bilim Emekçileri Sendikası kundër Turqisë, 25</w:t>
      </w:r>
      <w:r w:rsidR="00176375" w:rsidRPr="00037FB1">
        <w:rPr>
          <w:rFonts w:ascii="Times New Roman" w:hAnsi="Times New Roman"/>
          <w:i/>
          <w:sz w:val="24"/>
          <w:szCs w:val="24"/>
          <w:lang w:val="sq-AL"/>
        </w:rPr>
        <w:t xml:space="preserve"> dhjetor </w:t>
      </w:r>
      <w:r w:rsidR="002D073B" w:rsidRPr="00037FB1">
        <w:rPr>
          <w:rFonts w:ascii="Times New Roman" w:hAnsi="Times New Roman"/>
          <w:i/>
          <w:sz w:val="24"/>
          <w:szCs w:val="24"/>
          <w:lang w:val="sq-AL"/>
        </w:rPr>
        <w:t>2012</w:t>
      </w:r>
      <w:r w:rsidR="00176375" w:rsidRPr="00037FB1">
        <w:rPr>
          <w:rFonts w:ascii="Times New Roman" w:hAnsi="Times New Roman"/>
          <w:i/>
          <w:sz w:val="24"/>
          <w:szCs w:val="24"/>
          <w:lang w:val="sq-AL"/>
        </w:rPr>
        <w:t>,</w:t>
      </w:r>
      <w:r w:rsidR="002D073B" w:rsidRPr="00037FB1">
        <w:rPr>
          <w:rFonts w:ascii="Times New Roman" w:hAnsi="Times New Roman"/>
          <w:i/>
          <w:sz w:val="24"/>
          <w:szCs w:val="24"/>
          <w:lang w:val="sq-AL"/>
        </w:rPr>
        <w:t xml:space="preserve"> § 70). </w:t>
      </w:r>
    </w:p>
    <w:p w:rsidR="002D073B"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35</w:t>
      </w:r>
      <w:r w:rsidR="002D073B" w:rsidRPr="00037FB1">
        <w:rPr>
          <w:rFonts w:ascii="Times New Roman" w:hAnsi="Times New Roman"/>
          <w:sz w:val="24"/>
          <w:szCs w:val="24"/>
          <w:lang w:val="sq-AL"/>
        </w:rPr>
        <w:t>. Duke iu referuar standardeve të mësipërme, Gjykata vëren se edhe pse liria e shprehjes është një e drejtë e veçantë, në situata të ndryshme ajo paraqitet e lidhur ngushtë me të drejta të tjera themelore dhe se kufizimi i njërës prej tyre, prek për shkak të lidhjes, edhe të drejtat e tjera. Në këtë mënyrë, në rastin në gjykim, Gjykata konstaton se liria e shprehjes paraqitet e ndërthur</w:t>
      </w:r>
      <w:r w:rsidR="0037360A" w:rsidRPr="00037FB1">
        <w:rPr>
          <w:rFonts w:ascii="Times New Roman" w:hAnsi="Times New Roman"/>
          <w:sz w:val="24"/>
          <w:szCs w:val="24"/>
          <w:lang w:val="sq-AL"/>
        </w:rPr>
        <w:t>ur</w:t>
      </w:r>
      <w:r w:rsidR="002D073B" w:rsidRPr="00037FB1">
        <w:rPr>
          <w:rFonts w:ascii="Times New Roman" w:hAnsi="Times New Roman"/>
          <w:sz w:val="24"/>
          <w:szCs w:val="24"/>
          <w:lang w:val="sq-AL"/>
        </w:rPr>
        <w:t xml:space="preserve"> me lirinë e tubimit dhe me të drejtën e votës.</w:t>
      </w:r>
    </w:p>
    <w:p w:rsidR="00481961"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36</w:t>
      </w:r>
      <w:r w:rsidR="00426BE3" w:rsidRPr="00037FB1">
        <w:rPr>
          <w:rFonts w:ascii="Times New Roman" w:hAnsi="Times New Roman"/>
          <w:sz w:val="24"/>
          <w:szCs w:val="24"/>
          <w:lang w:val="sq-AL"/>
        </w:rPr>
        <w:t xml:space="preserve">. </w:t>
      </w:r>
      <w:r w:rsidR="00481961" w:rsidRPr="00037FB1">
        <w:rPr>
          <w:rFonts w:ascii="Times New Roman" w:hAnsi="Times New Roman"/>
          <w:sz w:val="24"/>
          <w:szCs w:val="24"/>
          <w:lang w:val="sq-AL"/>
        </w:rPr>
        <w:t>Liria e tubimeve paqësore dhe pa armë</w:t>
      </w:r>
      <w:r w:rsidR="0037360A" w:rsidRPr="00037FB1">
        <w:rPr>
          <w:rFonts w:ascii="Times New Roman" w:hAnsi="Times New Roman"/>
          <w:sz w:val="24"/>
          <w:szCs w:val="24"/>
          <w:lang w:val="sq-AL"/>
        </w:rPr>
        <w:t>,</w:t>
      </w:r>
      <w:r w:rsidR="00481961" w:rsidRPr="00037FB1">
        <w:rPr>
          <w:rFonts w:ascii="Times New Roman" w:hAnsi="Times New Roman"/>
          <w:sz w:val="24"/>
          <w:szCs w:val="24"/>
          <w:lang w:val="sq-AL"/>
        </w:rPr>
        <w:t xml:space="preserve"> si dhe e pjesëmarrjes në to</w:t>
      </w:r>
      <w:r w:rsidR="0037360A" w:rsidRPr="00037FB1">
        <w:rPr>
          <w:rFonts w:ascii="Times New Roman" w:hAnsi="Times New Roman"/>
          <w:sz w:val="24"/>
          <w:szCs w:val="24"/>
          <w:lang w:val="sq-AL"/>
        </w:rPr>
        <w:t>,</w:t>
      </w:r>
      <w:r w:rsidR="00481961" w:rsidRPr="00037FB1">
        <w:rPr>
          <w:rFonts w:ascii="Times New Roman" w:hAnsi="Times New Roman"/>
          <w:sz w:val="24"/>
          <w:szCs w:val="24"/>
          <w:lang w:val="sq-AL"/>
        </w:rPr>
        <w:t xml:space="preserve"> garantohet n</w:t>
      </w:r>
      <w:r w:rsidR="00C4630B" w:rsidRPr="00037FB1">
        <w:rPr>
          <w:rFonts w:ascii="Times New Roman" w:hAnsi="Times New Roman"/>
          <w:sz w:val="24"/>
          <w:szCs w:val="24"/>
          <w:lang w:val="sq-AL"/>
        </w:rPr>
        <w:t>ë</w:t>
      </w:r>
      <w:r w:rsidR="00481961" w:rsidRPr="00037FB1">
        <w:rPr>
          <w:rFonts w:ascii="Times New Roman" w:hAnsi="Times New Roman"/>
          <w:sz w:val="24"/>
          <w:szCs w:val="24"/>
          <w:lang w:val="sq-AL"/>
        </w:rPr>
        <w:t xml:space="preserve"> nenin 47, pika 1, të Kushtetutës. Kjo liri nuk kufizohet nga qëllimi i tubimit, mjafton që ai të jetë paqësor. Termi “tubim” p</w:t>
      </w:r>
      <w:r w:rsidR="00C4630B" w:rsidRPr="00037FB1">
        <w:rPr>
          <w:rFonts w:ascii="Times New Roman" w:hAnsi="Times New Roman"/>
          <w:sz w:val="24"/>
          <w:szCs w:val="24"/>
          <w:lang w:val="sq-AL"/>
        </w:rPr>
        <w:t>ë</w:t>
      </w:r>
      <w:r w:rsidR="00481961" w:rsidRPr="00037FB1">
        <w:rPr>
          <w:rFonts w:ascii="Times New Roman" w:hAnsi="Times New Roman"/>
          <w:sz w:val="24"/>
          <w:szCs w:val="24"/>
          <w:lang w:val="sq-AL"/>
        </w:rPr>
        <w:t>rkufizohet nga ligji nr. 8773, datë 23.04.2001 “Për tubimet” (</w:t>
      </w:r>
      <w:r w:rsidR="00481961" w:rsidRPr="00037FB1">
        <w:rPr>
          <w:rFonts w:ascii="Times New Roman" w:hAnsi="Times New Roman"/>
          <w:i/>
          <w:sz w:val="24"/>
          <w:szCs w:val="24"/>
          <w:lang w:val="sq-AL"/>
        </w:rPr>
        <w:t>ligji nr. 8773/2001</w:t>
      </w:r>
      <w:r w:rsidR="00481961" w:rsidRPr="00037FB1">
        <w:rPr>
          <w:rFonts w:ascii="Times New Roman" w:hAnsi="Times New Roman"/>
          <w:sz w:val="24"/>
          <w:szCs w:val="24"/>
          <w:lang w:val="sq-AL"/>
        </w:rPr>
        <w:t>) dhe p</w:t>
      </w:r>
      <w:r w:rsidR="00C4630B" w:rsidRPr="00037FB1">
        <w:rPr>
          <w:rFonts w:ascii="Times New Roman" w:hAnsi="Times New Roman"/>
          <w:sz w:val="24"/>
          <w:szCs w:val="24"/>
          <w:lang w:val="sq-AL"/>
        </w:rPr>
        <w:t>ë</w:t>
      </w:r>
      <w:r w:rsidR="00481961" w:rsidRPr="00037FB1">
        <w:rPr>
          <w:rFonts w:ascii="Times New Roman" w:hAnsi="Times New Roman"/>
          <w:sz w:val="24"/>
          <w:szCs w:val="24"/>
          <w:lang w:val="sq-AL"/>
        </w:rPr>
        <w:t>rfshin grumbullimet, manifestimet, mbledhjet dhe parakalimet me karakter paqësor dhe pa armë, në të cilat një grup personash shprehin kërkesat dhe pikëpamjet e tyre për probleme për të cilat janë të interesuar dhe përfshin edhe tubimet urgjente (neni 2, pika 5).</w:t>
      </w:r>
    </w:p>
    <w:p w:rsidR="00402255" w:rsidRPr="00037FB1" w:rsidRDefault="00053264"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3</w:t>
      </w:r>
      <w:r w:rsidR="009F1F66" w:rsidRPr="00037FB1">
        <w:rPr>
          <w:rFonts w:ascii="Times New Roman" w:hAnsi="Times New Roman"/>
          <w:sz w:val="24"/>
          <w:szCs w:val="24"/>
          <w:lang w:val="sq-AL"/>
        </w:rPr>
        <w:t>7</w:t>
      </w:r>
      <w:r w:rsidR="00402255" w:rsidRPr="00037FB1">
        <w:rPr>
          <w:rFonts w:ascii="Times New Roman" w:hAnsi="Times New Roman"/>
          <w:sz w:val="24"/>
          <w:szCs w:val="24"/>
          <w:lang w:val="sq-AL"/>
        </w:rPr>
        <w:t xml:space="preserve">. GJEDNJ-ja </w:t>
      </w:r>
      <w:r w:rsidR="00227B7E" w:rsidRPr="00037FB1">
        <w:rPr>
          <w:rFonts w:ascii="Times New Roman" w:hAnsi="Times New Roman"/>
          <w:sz w:val="24"/>
          <w:szCs w:val="24"/>
          <w:lang w:val="sq-AL"/>
        </w:rPr>
        <w:t xml:space="preserve">në praktikën e saj </w:t>
      </w:r>
      <w:r w:rsidR="00402255" w:rsidRPr="00037FB1">
        <w:rPr>
          <w:rFonts w:ascii="Times New Roman" w:hAnsi="Times New Roman"/>
          <w:sz w:val="24"/>
          <w:szCs w:val="24"/>
          <w:lang w:val="sq-AL"/>
        </w:rPr>
        <w:t>ka pranuar se e drejta e tubimit paq</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sor </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sht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themelore 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nj</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shoq</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ri demokratike e</w:t>
      </w:r>
      <w:r w:rsidR="00227B7E" w:rsidRPr="00037FB1">
        <w:rPr>
          <w:rFonts w:ascii="Times New Roman" w:hAnsi="Times New Roman"/>
          <w:sz w:val="24"/>
          <w:szCs w:val="24"/>
          <w:lang w:val="sq-AL"/>
        </w:rPr>
        <w:t>,</w:t>
      </w:r>
      <w:r w:rsidR="00402255" w:rsidRPr="00037FB1">
        <w:rPr>
          <w:rFonts w:ascii="Times New Roman" w:hAnsi="Times New Roman"/>
          <w:sz w:val="24"/>
          <w:szCs w:val="24"/>
          <w:lang w:val="sq-AL"/>
        </w:rPr>
        <w:t xml:space="preserve"> p</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r rrjedhoj</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nuk duhet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interpretohet 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m</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nyr</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ngushtuar (</w:t>
      </w:r>
      <w:r w:rsidR="00402255" w:rsidRPr="00037FB1">
        <w:rPr>
          <w:rFonts w:ascii="Times New Roman" w:hAnsi="Times New Roman"/>
          <w:i/>
          <w:iCs/>
          <w:sz w:val="24"/>
          <w:szCs w:val="24"/>
          <w:lang w:val="sq-AL"/>
        </w:rPr>
        <w:t>shih Kudrevičius dhe t</w:t>
      </w:r>
      <w:r w:rsidR="00C04753" w:rsidRPr="00037FB1">
        <w:rPr>
          <w:rFonts w:ascii="Times New Roman" w:hAnsi="Times New Roman"/>
          <w:i/>
          <w:iCs/>
          <w:sz w:val="24"/>
          <w:szCs w:val="24"/>
          <w:lang w:val="sq-AL"/>
        </w:rPr>
        <w:t>ë</w:t>
      </w:r>
      <w:r w:rsidR="00402255" w:rsidRPr="00037FB1">
        <w:rPr>
          <w:rFonts w:ascii="Times New Roman" w:hAnsi="Times New Roman"/>
          <w:i/>
          <w:iCs/>
          <w:sz w:val="24"/>
          <w:szCs w:val="24"/>
          <w:lang w:val="sq-AL"/>
        </w:rPr>
        <w:t xml:space="preserve"> tjer</w:t>
      </w:r>
      <w:r w:rsidR="00C04753" w:rsidRPr="00037FB1">
        <w:rPr>
          <w:rFonts w:ascii="Times New Roman" w:hAnsi="Times New Roman"/>
          <w:i/>
          <w:iCs/>
          <w:sz w:val="24"/>
          <w:szCs w:val="24"/>
          <w:lang w:val="sq-AL"/>
        </w:rPr>
        <w:t>ë</w:t>
      </w:r>
      <w:r w:rsidR="00402255" w:rsidRPr="00037FB1">
        <w:rPr>
          <w:rFonts w:ascii="Times New Roman" w:hAnsi="Times New Roman"/>
          <w:i/>
          <w:iCs/>
          <w:sz w:val="24"/>
          <w:szCs w:val="24"/>
          <w:lang w:val="sq-AL"/>
        </w:rPr>
        <w:t xml:space="preserve"> kund</w:t>
      </w:r>
      <w:r w:rsidR="00C04753" w:rsidRPr="00037FB1">
        <w:rPr>
          <w:rFonts w:ascii="Times New Roman" w:hAnsi="Times New Roman"/>
          <w:i/>
          <w:iCs/>
          <w:sz w:val="24"/>
          <w:szCs w:val="24"/>
          <w:lang w:val="sq-AL"/>
        </w:rPr>
        <w:t>ë</w:t>
      </w:r>
      <w:r w:rsidR="00402255" w:rsidRPr="00037FB1">
        <w:rPr>
          <w:rFonts w:ascii="Times New Roman" w:hAnsi="Times New Roman"/>
          <w:i/>
          <w:iCs/>
          <w:sz w:val="24"/>
          <w:szCs w:val="24"/>
          <w:lang w:val="sq-AL"/>
        </w:rPr>
        <w:t>r Lituanis</w:t>
      </w:r>
      <w:r w:rsidR="00C04753" w:rsidRPr="00037FB1">
        <w:rPr>
          <w:rFonts w:ascii="Times New Roman" w:hAnsi="Times New Roman"/>
          <w:i/>
          <w:iCs/>
          <w:sz w:val="24"/>
          <w:szCs w:val="24"/>
          <w:lang w:val="sq-AL"/>
        </w:rPr>
        <w:t>ë</w:t>
      </w:r>
      <w:r w:rsidR="00402255" w:rsidRPr="00037FB1">
        <w:rPr>
          <w:rFonts w:ascii="Times New Roman" w:hAnsi="Times New Roman"/>
          <w:i/>
          <w:iCs/>
          <w:sz w:val="24"/>
          <w:szCs w:val="24"/>
          <w:lang w:val="sq-AL"/>
        </w:rPr>
        <w:t xml:space="preserve">, </w:t>
      </w:r>
      <w:r w:rsidR="00176375" w:rsidRPr="00037FB1">
        <w:rPr>
          <w:rFonts w:ascii="Times New Roman" w:hAnsi="Times New Roman"/>
          <w:i/>
          <w:iCs/>
          <w:sz w:val="24"/>
          <w:szCs w:val="24"/>
          <w:lang w:val="sq-AL"/>
        </w:rPr>
        <w:t xml:space="preserve">15 tetor </w:t>
      </w:r>
      <w:r w:rsidR="00402255" w:rsidRPr="00037FB1">
        <w:rPr>
          <w:rFonts w:ascii="Times New Roman" w:hAnsi="Times New Roman"/>
          <w:i/>
          <w:iCs/>
          <w:sz w:val="24"/>
          <w:szCs w:val="24"/>
          <w:lang w:val="sq-AL"/>
        </w:rPr>
        <w:t>2015, § 91</w:t>
      </w:r>
      <w:r w:rsidR="00402255" w:rsidRPr="00037FB1">
        <w:rPr>
          <w:rFonts w:ascii="Times New Roman" w:hAnsi="Times New Roman"/>
          <w:sz w:val="24"/>
          <w:szCs w:val="24"/>
          <w:lang w:val="sq-AL"/>
        </w:rPr>
        <w:t>). Kjo e drejt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mbulon si mbledhjet private, ashtu edhe mbledhjet 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vende publike, qofshin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pal</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vizshme o</w:t>
      </w:r>
      <w:r w:rsidR="00227B7E" w:rsidRPr="00037FB1">
        <w:rPr>
          <w:rFonts w:ascii="Times New Roman" w:hAnsi="Times New Roman"/>
          <w:sz w:val="24"/>
          <w:szCs w:val="24"/>
          <w:lang w:val="sq-AL"/>
        </w:rPr>
        <w:t>se</w:t>
      </w:r>
      <w:r w:rsidR="00402255" w:rsidRPr="00037FB1">
        <w:rPr>
          <w:rFonts w:ascii="Times New Roman" w:hAnsi="Times New Roman"/>
          <w:sz w:val="24"/>
          <w:szCs w:val="24"/>
          <w:lang w:val="sq-AL"/>
        </w:rPr>
        <w:t xml:space="preserve"> 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form</w:t>
      </w:r>
      <w:r w:rsidR="00C04753" w:rsidRPr="00037FB1">
        <w:rPr>
          <w:rFonts w:ascii="Times New Roman" w:hAnsi="Times New Roman"/>
          <w:sz w:val="24"/>
          <w:szCs w:val="24"/>
          <w:lang w:val="sq-AL"/>
        </w:rPr>
        <w:t>ë</w:t>
      </w:r>
      <w:r w:rsidR="00227B7E" w:rsidRPr="00037FB1">
        <w:rPr>
          <w:rFonts w:ascii="Times New Roman" w:hAnsi="Times New Roman"/>
          <w:sz w:val="24"/>
          <w:szCs w:val="24"/>
          <w:lang w:val="sq-AL"/>
        </w:rPr>
        <w:t xml:space="preserve"> </w:t>
      </w:r>
      <w:r w:rsidR="00402255" w:rsidRPr="00037FB1">
        <w:rPr>
          <w:rFonts w:ascii="Times New Roman" w:hAnsi="Times New Roman"/>
          <w:sz w:val="24"/>
          <w:szCs w:val="24"/>
          <w:lang w:val="sq-AL"/>
        </w:rPr>
        <w:t>procesioni. E drejta ushtrohet si nga pjes</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marr</w:t>
      </w:r>
      <w:r w:rsidR="00C04753" w:rsidRPr="00037FB1">
        <w:rPr>
          <w:rFonts w:ascii="Times New Roman" w:hAnsi="Times New Roman"/>
          <w:sz w:val="24"/>
          <w:szCs w:val="24"/>
          <w:lang w:val="sq-AL"/>
        </w:rPr>
        <w:t>ë</w:t>
      </w:r>
      <w:r w:rsidR="00687598" w:rsidRPr="00037FB1">
        <w:rPr>
          <w:rFonts w:ascii="Times New Roman" w:hAnsi="Times New Roman"/>
          <w:sz w:val="24"/>
          <w:szCs w:val="24"/>
          <w:lang w:val="sq-AL"/>
        </w:rPr>
        <w:t>sit in</w:t>
      </w:r>
      <w:r w:rsidR="00402255" w:rsidRPr="00037FB1">
        <w:rPr>
          <w:rFonts w:ascii="Times New Roman" w:hAnsi="Times New Roman"/>
          <w:sz w:val="24"/>
          <w:szCs w:val="24"/>
          <w:lang w:val="sq-AL"/>
        </w:rPr>
        <w:t>dividual</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ashtu </w:t>
      </w:r>
      <w:r w:rsidR="00227B7E" w:rsidRPr="00037FB1">
        <w:rPr>
          <w:rFonts w:ascii="Times New Roman" w:hAnsi="Times New Roman"/>
          <w:sz w:val="24"/>
          <w:szCs w:val="24"/>
          <w:lang w:val="sq-AL"/>
        </w:rPr>
        <w:t>e</w:t>
      </w:r>
      <w:r w:rsidR="00402255" w:rsidRPr="00037FB1">
        <w:rPr>
          <w:rFonts w:ascii="Times New Roman" w:hAnsi="Times New Roman"/>
          <w:sz w:val="24"/>
          <w:szCs w:val="24"/>
          <w:lang w:val="sq-AL"/>
        </w:rPr>
        <w:t>dhe nga personat q</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e organizojn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tubimin (</w:t>
      </w:r>
      <w:r w:rsidR="00402255" w:rsidRPr="00037FB1">
        <w:rPr>
          <w:rFonts w:ascii="Times New Roman" w:hAnsi="Times New Roman"/>
          <w:i/>
          <w:sz w:val="24"/>
          <w:szCs w:val="24"/>
          <w:lang w:val="sq-AL"/>
        </w:rPr>
        <w:t>shih Djavit An kund</w:t>
      </w:r>
      <w:r w:rsidR="00C04753" w:rsidRPr="00037FB1">
        <w:rPr>
          <w:rFonts w:ascii="Times New Roman" w:hAnsi="Times New Roman"/>
          <w:i/>
          <w:sz w:val="24"/>
          <w:szCs w:val="24"/>
          <w:lang w:val="sq-AL"/>
        </w:rPr>
        <w:t>ë</w:t>
      </w:r>
      <w:r w:rsidR="00402255" w:rsidRPr="00037FB1">
        <w:rPr>
          <w:rFonts w:ascii="Times New Roman" w:hAnsi="Times New Roman"/>
          <w:i/>
          <w:sz w:val="24"/>
          <w:szCs w:val="24"/>
          <w:lang w:val="sq-AL"/>
        </w:rPr>
        <w:t>r Turqis</w:t>
      </w:r>
      <w:r w:rsidR="00C04753" w:rsidRPr="00037FB1">
        <w:rPr>
          <w:rFonts w:ascii="Times New Roman" w:hAnsi="Times New Roman"/>
          <w:i/>
          <w:sz w:val="24"/>
          <w:szCs w:val="24"/>
          <w:lang w:val="sq-AL"/>
        </w:rPr>
        <w:t>ë</w:t>
      </w:r>
      <w:r w:rsidR="00402255" w:rsidRPr="00037FB1">
        <w:rPr>
          <w:rFonts w:ascii="Times New Roman" w:hAnsi="Times New Roman"/>
          <w:i/>
          <w:sz w:val="24"/>
          <w:szCs w:val="24"/>
          <w:lang w:val="sq-AL"/>
        </w:rPr>
        <w:t xml:space="preserve">, </w:t>
      </w:r>
      <w:r w:rsidR="00176375" w:rsidRPr="00037FB1">
        <w:rPr>
          <w:rFonts w:ascii="Times New Roman" w:hAnsi="Times New Roman"/>
          <w:i/>
          <w:sz w:val="24"/>
          <w:szCs w:val="24"/>
          <w:lang w:val="sq-AL"/>
        </w:rPr>
        <w:t xml:space="preserve">20 shkurt </w:t>
      </w:r>
      <w:r w:rsidR="00402255" w:rsidRPr="00037FB1">
        <w:rPr>
          <w:rFonts w:ascii="Times New Roman" w:hAnsi="Times New Roman"/>
          <w:i/>
          <w:sz w:val="24"/>
          <w:szCs w:val="24"/>
          <w:lang w:val="sq-AL"/>
        </w:rPr>
        <w:t>2003, § 56</w:t>
      </w:r>
      <w:r w:rsidR="00402255" w:rsidRPr="00037FB1">
        <w:rPr>
          <w:rFonts w:ascii="Times New Roman" w:hAnsi="Times New Roman"/>
          <w:sz w:val="24"/>
          <w:szCs w:val="24"/>
          <w:lang w:val="sq-AL"/>
        </w:rPr>
        <w:t xml:space="preserve">). </w:t>
      </w:r>
    </w:p>
    <w:p w:rsidR="00402255" w:rsidRPr="00037FB1" w:rsidRDefault="00053264"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3</w:t>
      </w:r>
      <w:r w:rsidR="009F1F66" w:rsidRPr="00037FB1">
        <w:rPr>
          <w:rFonts w:ascii="Times New Roman" w:hAnsi="Times New Roman"/>
          <w:sz w:val="24"/>
          <w:szCs w:val="24"/>
          <w:lang w:val="sq-AL"/>
        </w:rPr>
        <w:t>8</w:t>
      </w:r>
      <w:r w:rsidRPr="00037FB1">
        <w:rPr>
          <w:rFonts w:ascii="Times New Roman" w:hAnsi="Times New Roman"/>
          <w:sz w:val="24"/>
          <w:szCs w:val="24"/>
          <w:lang w:val="sq-AL"/>
        </w:rPr>
        <w:t xml:space="preserve">. </w:t>
      </w:r>
      <w:r w:rsidR="00402255" w:rsidRPr="00037FB1">
        <w:rPr>
          <w:rFonts w:ascii="Times New Roman" w:hAnsi="Times New Roman"/>
          <w:sz w:val="24"/>
          <w:szCs w:val="24"/>
          <w:lang w:val="sq-AL"/>
        </w:rPr>
        <w:t>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kontekstin e nenit 11, GJEDNJ</w:t>
      </w:r>
      <w:r w:rsidR="00227B7E" w:rsidRPr="00037FB1">
        <w:rPr>
          <w:rFonts w:ascii="Times New Roman" w:hAnsi="Times New Roman"/>
          <w:sz w:val="24"/>
          <w:szCs w:val="24"/>
          <w:lang w:val="sq-AL"/>
        </w:rPr>
        <w:t>-ja</w:t>
      </w:r>
      <w:r w:rsidR="00402255" w:rsidRPr="00037FB1">
        <w:rPr>
          <w:rFonts w:ascii="Times New Roman" w:hAnsi="Times New Roman"/>
          <w:sz w:val="24"/>
          <w:szCs w:val="24"/>
          <w:lang w:val="sq-AL"/>
        </w:rPr>
        <w:t xml:space="preserve"> i </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sht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referuar shpesh rolit thelb</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sor q</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luajn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partit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politike 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sigurimin e pluralizmit dhe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demokracis</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duke pranuar se edhe organizatat e formuara p</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r q</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llime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tjera jan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gjithashtu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r</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nd</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sishme p</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r funksionimin e demokracis</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Është e natyrshme që kur një shoqëri civile funksionon në mënyrë të shëndetshme, pjesëmarrja e qytetarëve në procesin demokratik arrihet në një masë të madhe përmes përkatësisë në shoqata në të cilat ata mund të integrohen me njëri-tjetrin dhe të ndjekin objektivat e përbashkët</w:t>
      </w:r>
      <w:r w:rsidR="00227B7E" w:rsidRPr="00037FB1">
        <w:rPr>
          <w:rFonts w:ascii="Times New Roman" w:hAnsi="Times New Roman"/>
          <w:sz w:val="24"/>
          <w:szCs w:val="24"/>
          <w:lang w:val="sq-AL"/>
        </w:rPr>
        <w:t xml:space="preserve"> </w:t>
      </w:r>
      <w:r w:rsidR="00402255" w:rsidRPr="00037FB1">
        <w:rPr>
          <w:rFonts w:ascii="Times New Roman" w:hAnsi="Times New Roman"/>
          <w:sz w:val="24"/>
          <w:szCs w:val="24"/>
          <w:lang w:val="sq-AL"/>
        </w:rPr>
        <w:t>kolektivisht (</w:t>
      </w:r>
      <w:r w:rsidR="00402255" w:rsidRPr="00037FB1">
        <w:rPr>
          <w:rFonts w:ascii="Times New Roman" w:hAnsi="Times New Roman"/>
          <w:i/>
          <w:sz w:val="24"/>
          <w:szCs w:val="24"/>
          <w:lang w:val="sq-AL"/>
        </w:rPr>
        <w:t>shih Gorzelik dhe të tjerët kundër Polonis</w:t>
      </w:r>
      <w:r w:rsidR="00C04753" w:rsidRPr="00037FB1">
        <w:rPr>
          <w:rFonts w:ascii="Times New Roman" w:hAnsi="Times New Roman"/>
          <w:i/>
          <w:sz w:val="24"/>
          <w:szCs w:val="24"/>
          <w:lang w:val="sq-AL"/>
        </w:rPr>
        <w:t>ë</w:t>
      </w:r>
      <w:r w:rsidR="00402255" w:rsidRPr="00037FB1">
        <w:rPr>
          <w:rFonts w:ascii="Times New Roman" w:hAnsi="Times New Roman"/>
          <w:i/>
          <w:sz w:val="24"/>
          <w:szCs w:val="24"/>
          <w:lang w:val="sq-AL"/>
        </w:rPr>
        <w:t>, 17 shkurt 2004,</w:t>
      </w:r>
      <w:r w:rsidR="00402255" w:rsidRPr="00037FB1">
        <w:rPr>
          <w:rFonts w:ascii="Times New Roman" w:hAnsi="Times New Roman"/>
          <w:i/>
          <w:iCs/>
          <w:sz w:val="24"/>
          <w:szCs w:val="24"/>
          <w:lang w:val="sq-AL"/>
        </w:rPr>
        <w:t xml:space="preserve"> § </w:t>
      </w:r>
      <w:r w:rsidR="00402255" w:rsidRPr="00037FB1">
        <w:rPr>
          <w:rFonts w:ascii="Times New Roman" w:hAnsi="Times New Roman"/>
          <w:i/>
          <w:sz w:val="24"/>
          <w:szCs w:val="24"/>
          <w:lang w:val="sq-AL"/>
        </w:rPr>
        <w:t xml:space="preserve">92). </w:t>
      </w:r>
    </w:p>
    <w:p w:rsidR="00402255" w:rsidRPr="00037FB1" w:rsidRDefault="00402255"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3</w:t>
      </w:r>
      <w:r w:rsidR="009F1F66" w:rsidRPr="00037FB1">
        <w:rPr>
          <w:rFonts w:ascii="Times New Roman" w:hAnsi="Times New Roman"/>
          <w:sz w:val="24"/>
          <w:szCs w:val="24"/>
          <w:lang w:val="sq-AL"/>
        </w:rPr>
        <w:t>9</w:t>
      </w:r>
      <w:r w:rsidRPr="00037FB1">
        <w:rPr>
          <w:rFonts w:ascii="Times New Roman" w:hAnsi="Times New Roman"/>
          <w:sz w:val="24"/>
          <w:szCs w:val="24"/>
          <w:lang w:val="sq-AL"/>
        </w:rPr>
        <w:t>. Mbrojtja e mendimeve dhe liria e shprehjes së tyre</w:t>
      </w:r>
      <w:r w:rsidR="00227B7E" w:rsidRPr="00037FB1">
        <w:rPr>
          <w:rFonts w:ascii="Times New Roman" w:hAnsi="Times New Roman"/>
          <w:sz w:val="24"/>
          <w:szCs w:val="24"/>
          <w:lang w:val="sq-AL"/>
        </w:rPr>
        <w:t>,</w:t>
      </w:r>
      <w:r w:rsidRPr="00037FB1">
        <w:rPr>
          <w:rFonts w:ascii="Times New Roman" w:hAnsi="Times New Roman"/>
          <w:sz w:val="24"/>
          <w:szCs w:val="24"/>
          <w:lang w:val="sq-AL"/>
        </w:rPr>
        <w:t xml:space="preserve"> t</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garantuara nga neni 10 i Konvent</w:t>
      </w:r>
      <w:r w:rsidR="00C04753" w:rsidRPr="00037FB1">
        <w:rPr>
          <w:rFonts w:ascii="Times New Roman" w:hAnsi="Times New Roman"/>
          <w:sz w:val="24"/>
          <w:szCs w:val="24"/>
          <w:lang w:val="sq-AL"/>
        </w:rPr>
        <w:t>ë</w:t>
      </w:r>
      <w:r w:rsidRPr="00037FB1">
        <w:rPr>
          <w:rFonts w:ascii="Times New Roman" w:hAnsi="Times New Roman"/>
          <w:sz w:val="24"/>
          <w:szCs w:val="24"/>
          <w:lang w:val="sq-AL"/>
        </w:rPr>
        <w:t>s</w:t>
      </w:r>
      <w:r w:rsidR="00227B7E" w:rsidRPr="00037FB1">
        <w:rPr>
          <w:rFonts w:ascii="Times New Roman" w:hAnsi="Times New Roman"/>
          <w:sz w:val="24"/>
          <w:szCs w:val="24"/>
          <w:lang w:val="sq-AL"/>
        </w:rPr>
        <w:t>,</w:t>
      </w:r>
      <w:r w:rsidRPr="00037FB1">
        <w:rPr>
          <w:rFonts w:ascii="Times New Roman" w:hAnsi="Times New Roman"/>
          <w:sz w:val="24"/>
          <w:szCs w:val="24"/>
          <w:lang w:val="sq-AL"/>
        </w:rPr>
        <w:t xml:space="preserve"> është një nga objektivat e lirisë së tubimit dhe organizimit</w:t>
      </w:r>
      <w:r w:rsidR="00227B7E" w:rsidRPr="00037FB1">
        <w:rPr>
          <w:rFonts w:ascii="Times New Roman" w:hAnsi="Times New Roman"/>
          <w:sz w:val="24"/>
          <w:szCs w:val="24"/>
          <w:lang w:val="sq-AL"/>
        </w:rPr>
        <w:t xml:space="preserve">, </w:t>
      </w:r>
      <w:r w:rsidRPr="00037FB1">
        <w:rPr>
          <w:rFonts w:ascii="Times New Roman" w:hAnsi="Times New Roman"/>
          <w:sz w:val="24"/>
          <w:szCs w:val="24"/>
          <w:lang w:val="sq-AL"/>
        </w:rPr>
        <w:t>të parashikuara në nenin 11 të saj. Kjo zbatohet m</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tep</w:t>
      </w:r>
      <w:r w:rsidR="00C04753" w:rsidRPr="00037FB1">
        <w:rPr>
          <w:rFonts w:ascii="Times New Roman" w:hAnsi="Times New Roman"/>
          <w:sz w:val="24"/>
          <w:szCs w:val="24"/>
          <w:lang w:val="sq-AL"/>
        </w:rPr>
        <w:t>ë</w:t>
      </w:r>
      <w:r w:rsidRPr="00037FB1">
        <w:rPr>
          <w:rFonts w:ascii="Times New Roman" w:hAnsi="Times New Roman"/>
          <w:sz w:val="24"/>
          <w:szCs w:val="24"/>
          <w:lang w:val="sq-AL"/>
        </w:rPr>
        <w:t>r n</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lidhje me partit</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politike n</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drejtim t</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rolit thelb</w:t>
      </w:r>
      <w:r w:rsidR="00C04753" w:rsidRPr="00037FB1">
        <w:rPr>
          <w:rFonts w:ascii="Times New Roman" w:hAnsi="Times New Roman"/>
          <w:sz w:val="24"/>
          <w:szCs w:val="24"/>
          <w:lang w:val="sq-AL"/>
        </w:rPr>
        <w:t>ë</w:t>
      </w:r>
      <w:r w:rsidRPr="00037FB1">
        <w:rPr>
          <w:rFonts w:ascii="Times New Roman" w:hAnsi="Times New Roman"/>
          <w:sz w:val="24"/>
          <w:szCs w:val="24"/>
          <w:lang w:val="sq-AL"/>
        </w:rPr>
        <w:t>sor t</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tyre p</w:t>
      </w:r>
      <w:r w:rsidR="00C04753" w:rsidRPr="00037FB1">
        <w:rPr>
          <w:rFonts w:ascii="Times New Roman" w:hAnsi="Times New Roman"/>
          <w:sz w:val="24"/>
          <w:szCs w:val="24"/>
          <w:lang w:val="sq-AL"/>
        </w:rPr>
        <w:t>ë</w:t>
      </w:r>
      <w:r w:rsidRPr="00037FB1">
        <w:rPr>
          <w:rFonts w:ascii="Times New Roman" w:hAnsi="Times New Roman"/>
          <w:sz w:val="24"/>
          <w:szCs w:val="24"/>
          <w:lang w:val="sq-AL"/>
        </w:rPr>
        <w:t>r t</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siguruar pluralizmin dhe funksionimin e duhur t</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demokracis</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w:t>
      </w:r>
      <w:r w:rsidRPr="00037FB1">
        <w:rPr>
          <w:rFonts w:ascii="Times New Roman" w:hAnsi="Times New Roman"/>
          <w:i/>
          <w:sz w:val="24"/>
          <w:szCs w:val="24"/>
          <w:lang w:val="sq-AL"/>
        </w:rPr>
        <w:t>shih</w:t>
      </w:r>
      <w:r w:rsidRPr="00037FB1">
        <w:rPr>
          <w:rFonts w:ascii="Times New Roman" w:hAnsi="Times New Roman"/>
          <w:sz w:val="24"/>
          <w:szCs w:val="24"/>
          <w:lang w:val="sq-AL"/>
        </w:rPr>
        <w:t xml:space="preserve"> </w:t>
      </w:r>
      <w:r w:rsidRPr="00037FB1">
        <w:rPr>
          <w:rFonts w:ascii="Times New Roman" w:hAnsi="Times New Roman"/>
          <w:i/>
          <w:sz w:val="24"/>
          <w:szCs w:val="24"/>
          <w:lang w:val="sq-AL"/>
        </w:rPr>
        <w:t xml:space="preserve">Partia e Lirisë dhe Demokracisë (ÖZDEP) kundër Turqisë, 8 dhjetor 1999, </w:t>
      </w:r>
      <w:r w:rsidRPr="00037FB1">
        <w:rPr>
          <w:rFonts w:ascii="Times New Roman" w:hAnsi="Times New Roman"/>
          <w:i/>
          <w:iCs/>
          <w:sz w:val="24"/>
          <w:szCs w:val="24"/>
          <w:lang w:val="sq-AL"/>
        </w:rPr>
        <w:t xml:space="preserve">§ </w:t>
      </w:r>
      <w:r w:rsidRPr="00037FB1">
        <w:rPr>
          <w:rFonts w:ascii="Times New Roman" w:hAnsi="Times New Roman"/>
          <w:i/>
          <w:sz w:val="24"/>
          <w:szCs w:val="24"/>
          <w:lang w:val="sq-AL"/>
        </w:rPr>
        <w:t xml:space="preserve">37). </w:t>
      </w:r>
    </w:p>
    <w:p w:rsidR="00402255" w:rsidRPr="00037FB1" w:rsidRDefault="009F1F66" w:rsidP="0037360A">
      <w:pPr>
        <w:tabs>
          <w:tab w:val="left" w:pos="1080"/>
        </w:tabs>
        <w:spacing w:after="0" w:line="360" w:lineRule="auto"/>
        <w:ind w:firstLine="720"/>
        <w:jc w:val="both"/>
        <w:rPr>
          <w:rFonts w:ascii="Times New Roman" w:hAnsi="Times New Roman"/>
          <w:i/>
          <w:sz w:val="24"/>
          <w:szCs w:val="24"/>
          <w:lang w:val="sq-AL"/>
        </w:rPr>
      </w:pPr>
      <w:r w:rsidRPr="00037FB1">
        <w:rPr>
          <w:rFonts w:ascii="Times New Roman" w:hAnsi="Times New Roman"/>
          <w:sz w:val="24"/>
          <w:szCs w:val="24"/>
          <w:lang w:val="sq-AL"/>
        </w:rPr>
        <w:t>40</w:t>
      </w:r>
      <w:r w:rsidR="00402255" w:rsidRPr="00037FB1">
        <w:rPr>
          <w:rFonts w:ascii="Times New Roman" w:hAnsi="Times New Roman"/>
          <w:sz w:val="24"/>
          <w:szCs w:val="24"/>
          <w:lang w:val="sq-AL"/>
        </w:rPr>
        <w:t>. GJEDNJ-ja është shprehur se liria e tubimit nuk është absolute; ajo mund të kufizohet në përputhje me paragrafin 2 të nenit 11 të Konventës. Nd</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rhyrja mund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mos jet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nj</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ndalim i plot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ligjor ose </w:t>
      </w:r>
      <w:r w:rsidR="00402255" w:rsidRPr="00037FB1">
        <w:rPr>
          <w:rFonts w:ascii="Times New Roman" w:hAnsi="Times New Roman"/>
          <w:i/>
          <w:iCs/>
          <w:sz w:val="24"/>
          <w:szCs w:val="24"/>
          <w:lang w:val="sq-AL"/>
        </w:rPr>
        <w:t>de facto</w:t>
      </w:r>
      <w:r w:rsidR="00402255" w:rsidRPr="00037FB1">
        <w:rPr>
          <w:rFonts w:ascii="Times New Roman" w:hAnsi="Times New Roman"/>
          <w:sz w:val="24"/>
          <w:szCs w:val="24"/>
          <w:lang w:val="sq-AL"/>
        </w:rPr>
        <w:t>, por mund të konsistojë në masa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tjera të ndryshme të marra nga autoritetet (</w:t>
      </w:r>
      <w:r w:rsidR="00227B7E" w:rsidRPr="00037FB1">
        <w:rPr>
          <w:rFonts w:ascii="Times New Roman" w:hAnsi="Times New Roman"/>
          <w:i/>
          <w:sz w:val="24"/>
          <w:szCs w:val="24"/>
          <w:lang w:val="sq-AL"/>
        </w:rPr>
        <w:t xml:space="preserve">shih </w:t>
      </w:r>
      <w:r w:rsidR="00402255" w:rsidRPr="00037FB1">
        <w:rPr>
          <w:rFonts w:ascii="Times New Roman" w:hAnsi="Times New Roman"/>
          <w:i/>
          <w:sz w:val="24"/>
          <w:szCs w:val="24"/>
          <w:lang w:val="sq-AL"/>
        </w:rPr>
        <w:t>Kudrevičius dhe të tjerët kundër Lituanisë, 15 tetor 2015</w:t>
      </w:r>
      <w:r w:rsidR="00227B7E" w:rsidRPr="00037FB1">
        <w:rPr>
          <w:rFonts w:ascii="Times New Roman" w:hAnsi="Times New Roman"/>
          <w:i/>
          <w:sz w:val="24"/>
          <w:szCs w:val="24"/>
          <w:lang w:val="sq-AL"/>
        </w:rPr>
        <w:t>,</w:t>
      </w:r>
      <w:r w:rsidR="00402255" w:rsidRPr="00037FB1">
        <w:rPr>
          <w:rFonts w:ascii="Times New Roman" w:hAnsi="Times New Roman"/>
          <w:i/>
          <w:sz w:val="24"/>
          <w:szCs w:val="24"/>
          <w:lang w:val="sq-AL"/>
        </w:rPr>
        <w:t xml:space="preserve"> </w:t>
      </w:r>
      <w:r w:rsidR="00716AF3" w:rsidRPr="00037FB1">
        <w:rPr>
          <w:rFonts w:ascii="Times New Roman" w:hAnsi="Times New Roman"/>
          <w:i/>
          <w:iCs/>
          <w:sz w:val="24"/>
          <w:szCs w:val="24"/>
          <w:lang w:val="sq-AL"/>
        </w:rPr>
        <w:t>§</w:t>
      </w:r>
      <w:r w:rsidR="00402255" w:rsidRPr="00037FB1">
        <w:rPr>
          <w:rFonts w:ascii="Times New Roman" w:hAnsi="Times New Roman"/>
          <w:i/>
          <w:sz w:val="24"/>
          <w:szCs w:val="24"/>
          <w:lang w:val="sq-AL"/>
        </w:rPr>
        <w:t xml:space="preserve"> 100). </w:t>
      </w:r>
      <w:r w:rsidR="00402255" w:rsidRPr="00037FB1">
        <w:rPr>
          <w:rFonts w:ascii="Times New Roman" w:hAnsi="Times New Roman"/>
          <w:iCs/>
          <w:sz w:val="24"/>
          <w:szCs w:val="24"/>
          <w:lang w:val="sq-AL"/>
        </w:rPr>
        <w:t>Gjithashtu, n</w:t>
      </w:r>
      <w:r w:rsidR="00402255" w:rsidRPr="00037FB1">
        <w:rPr>
          <w:rFonts w:ascii="Times New Roman" w:hAnsi="Times New Roman"/>
          <w:sz w:val="24"/>
          <w:szCs w:val="24"/>
          <w:lang w:val="sq-AL"/>
        </w:rPr>
        <w:t xml:space="preserve">jë ndërhyrje në lirinë e tubimit paqësor përbën shkelje të </w:t>
      </w:r>
      <w:r w:rsidR="00227B7E" w:rsidRPr="00037FB1">
        <w:rPr>
          <w:rFonts w:ascii="Times New Roman" w:hAnsi="Times New Roman"/>
          <w:sz w:val="24"/>
          <w:szCs w:val="24"/>
          <w:lang w:val="sq-AL"/>
        </w:rPr>
        <w:t>n</w:t>
      </w:r>
      <w:r w:rsidR="00402255" w:rsidRPr="00037FB1">
        <w:rPr>
          <w:rFonts w:ascii="Times New Roman" w:hAnsi="Times New Roman"/>
          <w:sz w:val="24"/>
          <w:szCs w:val="24"/>
          <w:lang w:val="sq-AL"/>
        </w:rPr>
        <w:t>enit 11, p</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rveçse kur është “parashikuar nga ligji”, ndjek një ose më shumë “qëllime legjitime”, sipas paragrafit 2 të nenit 11 dhe është "e nevojshme në një shoqëri demokratike" për të arritur qëllimin ose synimet në fjalë </w:t>
      </w:r>
      <w:r w:rsidR="00402255" w:rsidRPr="00037FB1">
        <w:rPr>
          <w:rFonts w:ascii="Times New Roman" w:hAnsi="Times New Roman"/>
          <w:i/>
          <w:sz w:val="24"/>
          <w:szCs w:val="24"/>
          <w:lang w:val="sq-AL"/>
        </w:rPr>
        <w:t>(shih Vyerentsov</w:t>
      </w:r>
      <w:r w:rsidR="00227B7E" w:rsidRPr="00037FB1">
        <w:rPr>
          <w:rFonts w:ascii="Times New Roman" w:hAnsi="Times New Roman"/>
          <w:i/>
          <w:sz w:val="24"/>
          <w:szCs w:val="24"/>
          <w:lang w:val="sq-AL"/>
        </w:rPr>
        <w:t xml:space="preserve"> kundër Ukrainës, 11 prill 2013,</w:t>
      </w:r>
      <w:r w:rsidR="00402255" w:rsidRPr="00037FB1">
        <w:rPr>
          <w:rFonts w:ascii="Times New Roman" w:hAnsi="Times New Roman"/>
          <w:i/>
          <w:sz w:val="24"/>
          <w:szCs w:val="24"/>
          <w:lang w:val="sq-AL"/>
        </w:rPr>
        <w:t xml:space="preserve"> </w:t>
      </w:r>
      <w:r w:rsidR="00402255" w:rsidRPr="00037FB1">
        <w:rPr>
          <w:rFonts w:ascii="Times New Roman" w:hAnsi="Times New Roman"/>
          <w:i/>
          <w:iCs/>
          <w:sz w:val="24"/>
          <w:szCs w:val="24"/>
          <w:lang w:val="sq-AL"/>
        </w:rPr>
        <w:t>§</w:t>
      </w:r>
      <w:r w:rsidR="00402255" w:rsidRPr="00037FB1">
        <w:rPr>
          <w:rFonts w:ascii="Times New Roman" w:hAnsi="Times New Roman"/>
          <w:i/>
          <w:sz w:val="24"/>
          <w:szCs w:val="24"/>
          <w:lang w:val="sq-AL"/>
        </w:rPr>
        <w:t xml:space="preserve"> 51).</w:t>
      </w:r>
    </w:p>
    <w:bookmarkEnd w:id="1"/>
    <w:p w:rsidR="002D073B"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41</w:t>
      </w:r>
      <w:r w:rsidR="00367EB7" w:rsidRPr="00037FB1">
        <w:rPr>
          <w:rFonts w:ascii="Times New Roman" w:hAnsi="Times New Roman"/>
          <w:sz w:val="24"/>
          <w:szCs w:val="24"/>
          <w:lang w:val="sq-AL"/>
        </w:rPr>
        <w:t xml:space="preserve">. </w:t>
      </w:r>
      <w:r w:rsidR="0062525A" w:rsidRPr="00037FB1">
        <w:rPr>
          <w:rFonts w:ascii="Times New Roman" w:hAnsi="Times New Roman"/>
          <w:sz w:val="24"/>
          <w:szCs w:val="24"/>
          <w:lang w:val="sq-AL"/>
        </w:rPr>
        <w:t>Në zbatim të parimit themelor të parashikuar nga neni 1</w:t>
      </w:r>
      <w:r w:rsidR="00227B7E" w:rsidRPr="00037FB1">
        <w:rPr>
          <w:rFonts w:ascii="Times New Roman" w:hAnsi="Times New Roman"/>
          <w:sz w:val="24"/>
          <w:szCs w:val="24"/>
          <w:lang w:val="sq-AL"/>
        </w:rPr>
        <w:t>,</w:t>
      </w:r>
      <w:r w:rsidR="0062525A" w:rsidRPr="00037FB1">
        <w:rPr>
          <w:rFonts w:ascii="Times New Roman" w:hAnsi="Times New Roman"/>
          <w:sz w:val="24"/>
          <w:szCs w:val="24"/>
          <w:lang w:val="sq-AL"/>
        </w:rPr>
        <w:t xml:space="preserve"> pika 3</w:t>
      </w:r>
      <w:r w:rsidR="00227B7E" w:rsidRPr="00037FB1">
        <w:rPr>
          <w:rFonts w:ascii="Times New Roman" w:hAnsi="Times New Roman"/>
          <w:sz w:val="24"/>
          <w:szCs w:val="24"/>
          <w:lang w:val="sq-AL"/>
        </w:rPr>
        <w:t>,</w:t>
      </w:r>
      <w:r w:rsidR="0062525A" w:rsidRPr="00037FB1">
        <w:rPr>
          <w:rFonts w:ascii="Times New Roman" w:hAnsi="Times New Roman"/>
          <w:sz w:val="24"/>
          <w:szCs w:val="24"/>
          <w:lang w:val="sq-AL"/>
        </w:rPr>
        <w:t xml:space="preserve"> i Kushtetutës, sipas të cilit qeverisja bazohet në një sistem zgjedhjesh të lira, të barabarta, të përgjithshme e periodike, neni 45 i Kushtetutës garant</w:t>
      </w:r>
      <w:r w:rsidR="00227B7E" w:rsidRPr="00037FB1">
        <w:rPr>
          <w:rFonts w:ascii="Times New Roman" w:hAnsi="Times New Roman"/>
          <w:sz w:val="24"/>
          <w:szCs w:val="24"/>
          <w:lang w:val="sq-AL"/>
        </w:rPr>
        <w:t>on të drejtën vetjake të votës t</w:t>
      </w:r>
      <w:r w:rsidR="0062525A" w:rsidRPr="00037FB1">
        <w:rPr>
          <w:rFonts w:ascii="Times New Roman" w:hAnsi="Times New Roman"/>
          <w:sz w:val="24"/>
          <w:szCs w:val="24"/>
          <w:lang w:val="sq-AL"/>
        </w:rPr>
        <w:t xml:space="preserve">ë barabartë dhe të lirë. Në kontekstin e çështjes për gjykim, e drejta e votës lidhet ngushtë me liritë e tubimit dhe të shprehjes </w:t>
      </w:r>
      <w:r w:rsidR="0058456D" w:rsidRPr="00037FB1">
        <w:rPr>
          <w:rFonts w:ascii="Times New Roman" w:hAnsi="Times New Roman"/>
          <w:sz w:val="24"/>
          <w:szCs w:val="24"/>
          <w:lang w:val="sq-AL"/>
        </w:rPr>
        <w:t>si k</w:t>
      </w:r>
      <w:r w:rsidR="00C04753" w:rsidRPr="00037FB1">
        <w:rPr>
          <w:rFonts w:ascii="Times New Roman" w:hAnsi="Times New Roman"/>
          <w:sz w:val="24"/>
          <w:szCs w:val="24"/>
          <w:lang w:val="sq-AL"/>
        </w:rPr>
        <w:t>ë</w:t>
      </w:r>
      <w:r w:rsidR="0058456D" w:rsidRPr="00037FB1">
        <w:rPr>
          <w:rFonts w:ascii="Times New Roman" w:hAnsi="Times New Roman"/>
          <w:sz w:val="24"/>
          <w:szCs w:val="24"/>
          <w:lang w:val="sq-AL"/>
        </w:rPr>
        <w:t>rkes</w:t>
      </w:r>
      <w:r w:rsidR="00C04753" w:rsidRPr="00037FB1">
        <w:rPr>
          <w:rFonts w:ascii="Times New Roman" w:hAnsi="Times New Roman"/>
          <w:sz w:val="24"/>
          <w:szCs w:val="24"/>
          <w:lang w:val="sq-AL"/>
        </w:rPr>
        <w:t>ë</w:t>
      </w:r>
      <w:r w:rsidR="0058456D" w:rsidRPr="00037FB1">
        <w:rPr>
          <w:rFonts w:ascii="Times New Roman" w:hAnsi="Times New Roman"/>
          <w:sz w:val="24"/>
          <w:szCs w:val="24"/>
          <w:lang w:val="sq-AL"/>
        </w:rPr>
        <w:t xml:space="preserve"> e s</w:t>
      </w:r>
      <w:r w:rsidR="0062525A" w:rsidRPr="00037FB1">
        <w:rPr>
          <w:rFonts w:ascii="Times New Roman" w:hAnsi="Times New Roman"/>
          <w:sz w:val="24"/>
          <w:szCs w:val="24"/>
          <w:lang w:val="sq-AL"/>
        </w:rPr>
        <w:t xml:space="preserve">htetit të së drejtës, </w:t>
      </w:r>
      <w:r w:rsidR="00402255" w:rsidRPr="00037FB1">
        <w:rPr>
          <w:rFonts w:ascii="Times New Roman" w:hAnsi="Times New Roman"/>
          <w:sz w:val="24"/>
          <w:szCs w:val="24"/>
          <w:lang w:val="sq-AL"/>
        </w:rPr>
        <w:t>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drejtim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zhvillimit t</w:t>
      </w:r>
      <w:r w:rsidR="00C04753" w:rsidRPr="00037FB1">
        <w:rPr>
          <w:rFonts w:ascii="Times New Roman" w:hAnsi="Times New Roman"/>
          <w:sz w:val="24"/>
          <w:szCs w:val="24"/>
          <w:lang w:val="sq-AL"/>
        </w:rPr>
        <w:t>ë</w:t>
      </w:r>
      <w:r w:rsidR="0062525A" w:rsidRPr="00037FB1">
        <w:rPr>
          <w:rFonts w:ascii="Times New Roman" w:hAnsi="Times New Roman"/>
          <w:sz w:val="24"/>
          <w:szCs w:val="24"/>
          <w:lang w:val="sq-AL"/>
        </w:rPr>
        <w:t xml:space="preserve"> zgjedhjeve të lira e të barabarta, të cilat realizohen kur individët votojnë në mënyrë të informuar për alternativën dhe programet politike të subjekteve zgjedhore.</w:t>
      </w:r>
      <w:r w:rsidR="002D073B" w:rsidRPr="00037FB1">
        <w:rPr>
          <w:rFonts w:ascii="Times New Roman" w:hAnsi="Times New Roman"/>
          <w:sz w:val="24"/>
          <w:szCs w:val="24"/>
          <w:lang w:val="sq-AL"/>
        </w:rPr>
        <w:t xml:space="preserve"> </w:t>
      </w:r>
      <w:r w:rsidR="00402255" w:rsidRPr="00037FB1">
        <w:rPr>
          <w:rFonts w:ascii="Times New Roman" w:hAnsi="Times New Roman"/>
          <w:sz w:val="24"/>
          <w:szCs w:val="24"/>
          <w:lang w:val="sq-AL"/>
        </w:rPr>
        <w:t>Nd</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rthurja e k</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tyre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drejtave konfirmohet edhe nga n</w:t>
      </w:r>
      <w:r w:rsidR="002D073B" w:rsidRPr="00037FB1">
        <w:rPr>
          <w:rFonts w:ascii="Times New Roman" w:hAnsi="Times New Roman"/>
          <w:sz w:val="24"/>
          <w:szCs w:val="24"/>
          <w:lang w:val="sq-AL"/>
        </w:rPr>
        <w:t xml:space="preserve">eni 3 i Protokollit 1 të KEDNJ-së, </w:t>
      </w:r>
      <w:r w:rsidR="00402255" w:rsidRPr="00037FB1">
        <w:rPr>
          <w:rFonts w:ascii="Times New Roman" w:hAnsi="Times New Roman"/>
          <w:sz w:val="24"/>
          <w:szCs w:val="24"/>
          <w:lang w:val="sq-AL"/>
        </w:rPr>
        <w:t>i cili duke garantuar nj</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parim t</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demokracis</w:t>
      </w:r>
      <w:r w:rsidR="00C04753" w:rsidRPr="00037FB1">
        <w:rPr>
          <w:rFonts w:ascii="Times New Roman" w:hAnsi="Times New Roman"/>
          <w:sz w:val="24"/>
          <w:szCs w:val="24"/>
          <w:lang w:val="sq-AL"/>
        </w:rPr>
        <w:t>ë</w:t>
      </w:r>
      <w:r w:rsidR="00227B7E" w:rsidRPr="00037FB1">
        <w:rPr>
          <w:rFonts w:ascii="Times New Roman" w:hAnsi="Times New Roman"/>
          <w:sz w:val="24"/>
          <w:szCs w:val="24"/>
          <w:lang w:val="sq-AL"/>
        </w:rPr>
        <w:t xml:space="preserve"> </w:t>
      </w:r>
      <w:r w:rsidR="002D073B" w:rsidRPr="00037FB1">
        <w:rPr>
          <w:rFonts w:ascii="Times New Roman" w:hAnsi="Times New Roman"/>
          <w:sz w:val="24"/>
          <w:szCs w:val="24"/>
          <w:lang w:val="sq-AL"/>
        </w:rPr>
        <w:t xml:space="preserve">parashikon se </w:t>
      </w:r>
      <w:r w:rsidR="002D073B" w:rsidRPr="00037FB1">
        <w:rPr>
          <w:rFonts w:ascii="Times New Roman" w:hAnsi="Times New Roman"/>
          <w:i/>
          <w:iCs/>
          <w:sz w:val="24"/>
          <w:szCs w:val="24"/>
          <w:lang w:val="sq-AL"/>
        </w:rPr>
        <w:t>“Palët e Larta Kontraktuese marrin përsipër të organizojnë në intervale të arsyeshme kohore, zgjedhje të lira me votim të fshehtë, në kushte që sigurojnë shprehjen e lirë të mendimit të popullit pë</w:t>
      </w:r>
      <w:r w:rsidR="00227B7E" w:rsidRPr="00037FB1">
        <w:rPr>
          <w:rFonts w:ascii="Times New Roman" w:hAnsi="Times New Roman"/>
          <w:i/>
          <w:iCs/>
          <w:sz w:val="24"/>
          <w:szCs w:val="24"/>
          <w:lang w:val="sq-AL"/>
        </w:rPr>
        <w:t>r zgjedhjen e organit ligjvënës.</w:t>
      </w:r>
      <w:r w:rsidR="002D073B" w:rsidRPr="00037FB1">
        <w:rPr>
          <w:rFonts w:ascii="Times New Roman" w:hAnsi="Times New Roman"/>
          <w:iCs/>
          <w:sz w:val="24"/>
          <w:szCs w:val="24"/>
          <w:lang w:val="sq-AL"/>
        </w:rPr>
        <w:t>”</w:t>
      </w:r>
      <w:r w:rsidR="00227B7E" w:rsidRPr="00037FB1">
        <w:rPr>
          <w:rFonts w:ascii="Times New Roman" w:hAnsi="Times New Roman"/>
          <w:iCs/>
          <w:sz w:val="24"/>
          <w:szCs w:val="24"/>
          <w:lang w:val="sq-AL"/>
        </w:rPr>
        <w:t>.</w:t>
      </w:r>
      <w:r w:rsidR="002D073B" w:rsidRPr="00037FB1">
        <w:rPr>
          <w:rFonts w:ascii="Times New Roman" w:hAnsi="Times New Roman"/>
          <w:i/>
          <w:iCs/>
          <w:sz w:val="24"/>
          <w:szCs w:val="24"/>
          <w:lang w:val="sq-AL"/>
        </w:rPr>
        <w:t xml:space="preserve"> </w:t>
      </w:r>
      <w:r w:rsidR="002D073B" w:rsidRPr="00037FB1">
        <w:rPr>
          <w:rFonts w:ascii="Times New Roman" w:hAnsi="Times New Roman"/>
          <w:iCs/>
          <w:sz w:val="24"/>
          <w:szCs w:val="24"/>
          <w:lang w:val="sq-AL"/>
        </w:rPr>
        <w:t xml:space="preserve"> </w:t>
      </w:r>
    </w:p>
    <w:p w:rsidR="00612E4E"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42</w:t>
      </w:r>
      <w:r w:rsidR="007D2B89" w:rsidRPr="00037FB1">
        <w:rPr>
          <w:rFonts w:ascii="Times New Roman" w:hAnsi="Times New Roman"/>
          <w:sz w:val="24"/>
          <w:szCs w:val="24"/>
          <w:lang w:val="sq-AL"/>
        </w:rPr>
        <w:t xml:space="preserve">. </w:t>
      </w:r>
      <w:r w:rsidR="00402255" w:rsidRPr="00037FB1">
        <w:rPr>
          <w:rFonts w:ascii="Times New Roman" w:hAnsi="Times New Roman"/>
          <w:sz w:val="24"/>
          <w:szCs w:val="24"/>
          <w:lang w:val="sq-AL"/>
        </w:rPr>
        <w:t>Duke i zbatuar standardet e m</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sip</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rme 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rastin n</w:t>
      </w:r>
      <w:r w:rsidR="00C04753" w:rsidRPr="00037FB1">
        <w:rPr>
          <w:rFonts w:ascii="Times New Roman" w:hAnsi="Times New Roman"/>
          <w:sz w:val="24"/>
          <w:szCs w:val="24"/>
          <w:lang w:val="sq-AL"/>
        </w:rPr>
        <w:t>ë</w:t>
      </w:r>
      <w:r w:rsidR="00402255" w:rsidRPr="00037FB1">
        <w:rPr>
          <w:rFonts w:ascii="Times New Roman" w:hAnsi="Times New Roman"/>
          <w:sz w:val="24"/>
          <w:szCs w:val="24"/>
          <w:lang w:val="sq-AL"/>
        </w:rPr>
        <w:t xml:space="preserve"> shqyrtim, </w:t>
      </w:r>
      <w:r w:rsidR="00640AE2" w:rsidRPr="00037FB1">
        <w:rPr>
          <w:rFonts w:ascii="Times New Roman" w:hAnsi="Times New Roman"/>
          <w:sz w:val="24"/>
          <w:szCs w:val="24"/>
          <w:lang w:val="sq-AL"/>
        </w:rPr>
        <w:t>Gjykata vler</w:t>
      </w:r>
      <w:r w:rsidR="00E2419D" w:rsidRPr="00037FB1">
        <w:rPr>
          <w:rFonts w:ascii="Times New Roman" w:hAnsi="Times New Roman"/>
          <w:sz w:val="24"/>
          <w:szCs w:val="24"/>
          <w:lang w:val="sq-AL"/>
        </w:rPr>
        <w:t>ë</w:t>
      </w:r>
      <w:r w:rsidR="00640AE2" w:rsidRPr="00037FB1">
        <w:rPr>
          <w:rFonts w:ascii="Times New Roman" w:hAnsi="Times New Roman"/>
          <w:sz w:val="24"/>
          <w:szCs w:val="24"/>
          <w:lang w:val="sq-AL"/>
        </w:rPr>
        <w:t xml:space="preserve">son se </w:t>
      </w:r>
      <w:r w:rsidR="00402255" w:rsidRPr="00037FB1">
        <w:rPr>
          <w:rFonts w:ascii="Times New Roman" w:hAnsi="Times New Roman"/>
          <w:sz w:val="24"/>
          <w:szCs w:val="24"/>
          <w:lang w:val="sq-AL"/>
        </w:rPr>
        <w:t>urdhri nr. 633/2020</w:t>
      </w:r>
      <w:r w:rsidR="00612E4E" w:rsidRPr="00037FB1">
        <w:rPr>
          <w:rFonts w:ascii="Times New Roman" w:hAnsi="Times New Roman"/>
          <w:sz w:val="24"/>
          <w:szCs w:val="24"/>
          <w:lang w:val="sq-AL"/>
        </w:rPr>
        <w:t xml:space="preserve"> ka vendosur një kufizim të lirisë së tubimit dhe bashkë me të edhe të lirisë së shprehjes në mënyrë kolektive</w:t>
      </w:r>
      <w:r w:rsidR="00227B7E" w:rsidRPr="00037FB1">
        <w:rPr>
          <w:rFonts w:ascii="Times New Roman" w:hAnsi="Times New Roman"/>
          <w:sz w:val="24"/>
          <w:szCs w:val="24"/>
          <w:lang w:val="sq-AL"/>
        </w:rPr>
        <w:t>,</w:t>
      </w:r>
      <w:r w:rsidR="00612E4E" w:rsidRPr="00037FB1">
        <w:rPr>
          <w:rFonts w:ascii="Times New Roman" w:hAnsi="Times New Roman"/>
          <w:sz w:val="24"/>
          <w:szCs w:val="24"/>
          <w:lang w:val="sq-AL"/>
        </w:rPr>
        <w:t xml:space="preserve"> që do të materializohej gjatë zhvillimit të tubimit</w:t>
      </w:r>
      <w:r w:rsidR="007D2B89" w:rsidRPr="00037FB1">
        <w:rPr>
          <w:rFonts w:ascii="Times New Roman" w:hAnsi="Times New Roman"/>
          <w:sz w:val="24"/>
          <w:szCs w:val="24"/>
          <w:lang w:val="sq-AL"/>
        </w:rPr>
        <w:t xml:space="preserve"> p</w:t>
      </w:r>
      <w:r w:rsidR="00C4630B" w:rsidRPr="00037FB1">
        <w:rPr>
          <w:rFonts w:ascii="Times New Roman" w:hAnsi="Times New Roman"/>
          <w:sz w:val="24"/>
          <w:szCs w:val="24"/>
          <w:lang w:val="sq-AL"/>
        </w:rPr>
        <w:t>ë</w:t>
      </w:r>
      <w:r w:rsidR="007D2B89" w:rsidRPr="00037FB1">
        <w:rPr>
          <w:rFonts w:ascii="Times New Roman" w:hAnsi="Times New Roman"/>
          <w:sz w:val="24"/>
          <w:szCs w:val="24"/>
          <w:lang w:val="sq-AL"/>
        </w:rPr>
        <w:t>r t</w:t>
      </w:r>
      <w:r w:rsidR="00C4630B" w:rsidRPr="00037FB1">
        <w:rPr>
          <w:rFonts w:ascii="Times New Roman" w:hAnsi="Times New Roman"/>
          <w:sz w:val="24"/>
          <w:szCs w:val="24"/>
          <w:lang w:val="sq-AL"/>
        </w:rPr>
        <w:t>ë</w:t>
      </w:r>
      <w:r w:rsidR="007D2B89" w:rsidRPr="00037FB1">
        <w:rPr>
          <w:rFonts w:ascii="Times New Roman" w:hAnsi="Times New Roman"/>
          <w:sz w:val="24"/>
          <w:szCs w:val="24"/>
          <w:lang w:val="sq-AL"/>
        </w:rPr>
        <w:t xml:space="preserve"> informuar zgjedh</w:t>
      </w:r>
      <w:r w:rsidR="00C4630B" w:rsidRPr="00037FB1">
        <w:rPr>
          <w:rFonts w:ascii="Times New Roman" w:hAnsi="Times New Roman"/>
          <w:sz w:val="24"/>
          <w:szCs w:val="24"/>
          <w:lang w:val="sq-AL"/>
        </w:rPr>
        <w:t>ë</w:t>
      </w:r>
      <w:r w:rsidR="007D2B89" w:rsidRPr="00037FB1">
        <w:rPr>
          <w:rFonts w:ascii="Times New Roman" w:hAnsi="Times New Roman"/>
          <w:sz w:val="24"/>
          <w:szCs w:val="24"/>
          <w:lang w:val="sq-AL"/>
        </w:rPr>
        <w:t>sit</w:t>
      </w:r>
      <w:r w:rsidR="00612E4E" w:rsidRPr="00037FB1">
        <w:rPr>
          <w:rFonts w:ascii="Times New Roman" w:hAnsi="Times New Roman"/>
          <w:sz w:val="24"/>
          <w:szCs w:val="24"/>
          <w:lang w:val="sq-AL"/>
        </w:rPr>
        <w:t xml:space="preserve">. </w:t>
      </w:r>
      <w:r w:rsidR="008F7B3A" w:rsidRPr="00037FB1">
        <w:rPr>
          <w:rFonts w:ascii="Times New Roman" w:hAnsi="Times New Roman"/>
          <w:sz w:val="24"/>
          <w:szCs w:val="24"/>
          <w:lang w:val="sq-AL"/>
        </w:rPr>
        <w:t>K</w:t>
      </w:r>
      <w:r w:rsidR="00C4630B" w:rsidRPr="00037FB1">
        <w:rPr>
          <w:rFonts w:ascii="Times New Roman" w:hAnsi="Times New Roman"/>
          <w:sz w:val="24"/>
          <w:szCs w:val="24"/>
          <w:lang w:val="sq-AL"/>
        </w:rPr>
        <w:t>ë</w:t>
      </w:r>
      <w:r w:rsidR="007D2B89" w:rsidRPr="00037FB1">
        <w:rPr>
          <w:rFonts w:ascii="Times New Roman" w:hAnsi="Times New Roman"/>
          <w:sz w:val="24"/>
          <w:szCs w:val="24"/>
          <w:lang w:val="sq-AL"/>
        </w:rPr>
        <w:t xml:space="preserve">to </w:t>
      </w:r>
      <w:r w:rsidR="008F7B3A" w:rsidRPr="00037FB1">
        <w:rPr>
          <w:rFonts w:ascii="Times New Roman" w:hAnsi="Times New Roman"/>
          <w:sz w:val="24"/>
          <w:szCs w:val="24"/>
          <w:lang w:val="sq-AL"/>
        </w:rPr>
        <w:t>kufizim</w:t>
      </w:r>
      <w:r w:rsidR="007D2B89" w:rsidRPr="00037FB1">
        <w:rPr>
          <w:rFonts w:ascii="Times New Roman" w:hAnsi="Times New Roman"/>
          <w:sz w:val="24"/>
          <w:szCs w:val="24"/>
          <w:lang w:val="sq-AL"/>
        </w:rPr>
        <w:t>e t</w:t>
      </w:r>
      <w:r w:rsidR="00C4630B" w:rsidRPr="00037FB1">
        <w:rPr>
          <w:rFonts w:ascii="Times New Roman" w:hAnsi="Times New Roman"/>
          <w:sz w:val="24"/>
          <w:szCs w:val="24"/>
          <w:lang w:val="sq-AL"/>
        </w:rPr>
        <w:t>ë</w:t>
      </w:r>
      <w:r w:rsidR="007D2B89" w:rsidRPr="00037FB1">
        <w:rPr>
          <w:rFonts w:ascii="Times New Roman" w:hAnsi="Times New Roman"/>
          <w:sz w:val="24"/>
          <w:szCs w:val="24"/>
          <w:lang w:val="sq-AL"/>
        </w:rPr>
        <w:t xml:space="preserve"> t</w:t>
      </w:r>
      <w:r w:rsidR="00C4630B" w:rsidRPr="00037FB1">
        <w:rPr>
          <w:rFonts w:ascii="Times New Roman" w:hAnsi="Times New Roman"/>
          <w:sz w:val="24"/>
          <w:szCs w:val="24"/>
          <w:lang w:val="sq-AL"/>
        </w:rPr>
        <w:t>ë</w:t>
      </w:r>
      <w:r w:rsidR="00687598" w:rsidRPr="00037FB1">
        <w:rPr>
          <w:rFonts w:ascii="Times New Roman" w:hAnsi="Times New Roman"/>
          <w:sz w:val="24"/>
          <w:szCs w:val="24"/>
          <w:lang w:val="sq-AL"/>
        </w:rPr>
        <w:t xml:space="preserve"> drejtave kushtetu</w:t>
      </w:r>
      <w:r w:rsidR="007D2B89" w:rsidRPr="00037FB1">
        <w:rPr>
          <w:rFonts w:ascii="Times New Roman" w:hAnsi="Times New Roman"/>
          <w:sz w:val="24"/>
          <w:szCs w:val="24"/>
          <w:lang w:val="sq-AL"/>
        </w:rPr>
        <w:t xml:space="preserve">ese Gjykata </w:t>
      </w:r>
      <w:r w:rsidR="00C04753" w:rsidRPr="00037FB1">
        <w:rPr>
          <w:rFonts w:ascii="Times New Roman" w:hAnsi="Times New Roman"/>
          <w:sz w:val="24"/>
          <w:szCs w:val="24"/>
          <w:lang w:val="sq-AL"/>
        </w:rPr>
        <w:t>i</w:t>
      </w:r>
      <w:r w:rsidR="007D2B89" w:rsidRPr="00037FB1">
        <w:rPr>
          <w:rFonts w:ascii="Times New Roman" w:hAnsi="Times New Roman"/>
          <w:sz w:val="24"/>
          <w:szCs w:val="24"/>
          <w:lang w:val="sq-AL"/>
        </w:rPr>
        <w:t xml:space="preserve"> vler</w:t>
      </w:r>
      <w:r w:rsidR="00C4630B" w:rsidRPr="00037FB1">
        <w:rPr>
          <w:rFonts w:ascii="Times New Roman" w:hAnsi="Times New Roman"/>
          <w:sz w:val="24"/>
          <w:szCs w:val="24"/>
          <w:lang w:val="sq-AL"/>
        </w:rPr>
        <w:t>ë</w:t>
      </w:r>
      <w:r w:rsidR="007D2B89" w:rsidRPr="00037FB1">
        <w:rPr>
          <w:rFonts w:ascii="Times New Roman" w:hAnsi="Times New Roman"/>
          <w:sz w:val="24"/>
          <w:szCs w:val="24"/>
          <w:lang w:val="sq-AL"/>
        </w:rPr>
        <w:t xml:space="preserve">son </w:t>
      </w:r>
      <w:r w:rsidR="008F7B3A" w:rsidRPr="00037FB1">
        <w:rPr>
          <w:rFonts w:ascii="Times New Roman" w:hAnsi="Times New Roman"/>
          <w:sz w:val="24"/>
          <w:szCs w:val="24"/>
          <w:lang w:val="sq-AL"/>
        </w:rPr>
        <w:t xml:space="preserve">në aspektin e respektimit të kritereve të vendosura nga neni 17 i Kushtetutës, i cili është testi që duhet të gjejë zbatim në çdo ndërhyrje në të drejtat dhe liritë themelore të individit, sipas praktikës së konsoliduar të Gjykatës. </w:t>
      </w:r>
      <w:r w:rsidR="00612E4E" w:rsidRPr="00037FB1">
        <w:rPr>
          <w:rFonts w:ascii="Times New Roman" w:hAnsi="Times New Roman"/>
          <w:sz w:val="24"/>
          <w:szCs w:val="24"/>
          <w:lang w:val="sq-AL"/>
        </w:rPr>
        <w:t>Sipas këtij neni “kufizime të të drejtave dhe lirive të parashikuara në Kushtetutë mund të vendosen vetëm me ligj për një interes publik ose për mbrojtjen e të drejtave të të tjerëve. Kufizimi duhet të jetë në përpjesëtim me gjendjen që e ka diktuar atë. Këto kufizime nuk mund të cenojnë thelbin e lirive dhe të të drejtave dhe në asnjë rast nuk mund të tejkalojnë kufizimet e parashikuara në KEDN</w:t>
      </w:r>
      <w:r w:rsidR="00227B7E" w:rsidRPr="00037FB1">
        <w:rPr>
          <w:rFonts w:ascii="Times New Roman" w:hAnsi="Times New Roman"/>
          <w:sz w:val="24"/>
          <w:szCs w:val="24"/>
          <w:lang w:val="sq-AL"/>
        </w:rPr>
        <w:t>J</w:t>
      </w:r>
      <w:r w:rsidR="00612E4E" w:rsidRPr="00037FB1">
        <w:rPr>
          <w:rFonts w:ascii="Times New Roman" w:hAnsi="Times New Roman"/>
          <w:sz w:val="24"/>
          <w:szCs w:val="24"/>
          <w:lang w:val="sq-AL"/>
        </w:rPr>
        <w:t xml:space="preserve">”. </w:t>
      </w:r>
    </w:p>
    <w:p w:rsidR="00367EB7"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43</w:t>
      </w:r>
      <w:r w:rsidR="00367EB7" w:rsidRPr="00037FB1">
        <w:rPr>
          <w:rFonts w:ascii="Times New Roman" w:hAnsi="Times New Roman"/>
          <w:sz w:val="24"/>
          <w:szCs w:val="24"/>
          <w:lang w:val="sq-AL"/>
        </w:rPr>
        <w:t>. Në vijim Gjykata do të analizojë nëse janë përmbushur kriteret e nenit 17 të Kushtetutës</w:t>
      </w:r>
      <w:r w:rsidR="00665065" w:rsidRPr="00037FB1">
        <w:rPr>
          <w:rFonts w:ascii="Times New Roman" w:hAnsi="Times New Roman"/>
          <w:sz w:val="24"/>
          <w:szCs w:val="24"/>
          <w:lang w:val="sq-AL"/>
        </w:rPr>
        <w:t xml:space="preserve">, </w:t>
      </w:r>
      <w:r w:rsidR="00F20702" w:rsidRPr="00037FB1">
        <w:rPr>
          <w:rFonts w:ascii="Times New Roman" w:hAnsi="Times New Roman"/>
          <w:sz w:val="24"/>
          <w:szCs w:val="24"/>
          <w:lang w:val="sq-AL"/>
        </w:rPr>
        <w:t>me referenc</w:t>
      </w:r>
      <w:r w:rsidR="00C04753" w:rsidRPr="00037FB1">
        <w:rPr>
          <w:rFonts w:ascii="Times New Roman" w:hAnsi="Times New Roman"/>
          <w:sz w:val="24"/>
          <w:szCs w:val="24"/>
          <w:lang w:val="sq-AL"/>
        </w:rPr>
        <w:t>ë</w:t>
      </w:r>
      <w:r w:rsidR="00F20702" w:rsidRPr="00037FB1">
        <w:rPr>
          <w:rFonts w:ascii="Times New Roman" w:hAnsi="Times New Roman"/>
          <w:sz w:val="24"/>
          <w:szCs w:val="24"/>
          <w:lang w:val="sq-AL"/>
        </w:rPr>
        <w:t xml:space="preserve"> te </w:t>
      </w:r>
      <w:r w:rsidR="00665065" w:rsidRPr="00037FB1">
        <w:rPr>
          <w:rFonts w:ascii="Times New Roman" w:hAnsi="Times New Roman"/>
          <w:sz w:val="24"/>
          <w:szCs w:val="24"/>
          <w:lang w:val="sq-AL"/>
        </w:rPr>
        <w:t>liri</w:t>
      </w:r>
      <w:r w:rsidR="00F20702" w:rsidRPr="00037FB1">
        <w:rPr>
          <w:rFonts w:ascii="Times New Roman" w:hAnsi="Times New Roman"/>
          <w:sz w:val="24"/>
          <w:szCs w:val="24"/>
          <w:lang w:val="sq-AL"/>
        </w:rPr>
        <w:t>a</w:t>
      </w:r>
      <w:r w:rsidR="00665065" w:rsidRPr="00037FB1">
        <w:rPr>
          <w:rFonts w:ascii="Times New Roman" w:hAnsi="Times New Roman"/>
          <w:sz w:val="24"/>
          <w:szCs w:val="24"/>
          <w:lang w:val="sq-AL"/>
        </w:rPr>
        <w:t xml:space="preserve"> e tubimit, duke qen</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se urdhri i kund</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rshtuar disponon drejtp</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rs</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drejti mbi k</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t</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liri</w:t>
      </w:r>
      <w:r w:rsidR="00F20702" w:rsidRPr="00037FB1">
        <w:rPr>
          <w:rFonts w:ascii="Times New Roman" w:hAnsi="Times New Roman"/>
          <w:sz w:val="24"/>
          <w:szCs w:val="24"/>
          <w:lang w:val="sq-AL"/>
        </w:rPr>
        <w:t>. Vler</w:t>
      </w:r>
      <w:r w:rsidR="00C04753" w:rsidRPr="00037FB1">
        <w:rPr>
          <w:rFonts w:ascii="Times New Roman" w:hAnsi="Times New Roman"/>
          <w:sz w:val="24"/>
          <w:szCs w:val="24"/>
          <w:lang w:val="sq-AL"/>
        </w:rPr>
        <w:t>ë</w:t>
      </w:r>
      <w:r w:rsidR="00F20702" w:rsidRPr="00037FB1">
        <w:rPr>
          <w:rFonts w:ascii="Times New Roman" w:hAnsi="Times New Roman"/>
          <w:sz w:val="24"/>
          <w:szCs w:val="24"/>
          <w:lang w:val="sq-AL"/>
        </w:rPr>
        <w:t>simi i Gjykat</w:t>
      </w:r>
      <w:r w:rsidR="00C04753" w:rsidRPr="00037FB1">
        <w:rPr>
          <w:rFonts w:ascii="Times New Roman" w:hAnsi="Times New Roman"/>
          <w:sz w:val="24"/>
          <w:szCs w:val="24"/>
          <w:lang w:val="sq-AL"/>
        </w:rPr>
        <w:t>ë</w:t>
      </w:r>
      <w:r w:rsidR="00F20702" w:rsidRPr="00037FB1">
        <w:rPr>
          <w:rFonts w:ascii="Times New Roman" w:hAnsi="Times New Roman"/>
          <w:sz w:val="24"/>
          <w:szCs w:val="24"/>
          <w:lang w:val="sq-AL"/>
        </w:rPr>
        <w:t>s p</w:t>
      </w:r>
      <w:r w:rsidR="00C04753" w:rsidRPr="00037FB1">
        <w:rPr>
          <w:rFonts w:ascii="Times New Roman" w:hAnsi="Times New Roman"/>
          <w:sz w:val="24"/>
          <w:szCs w:val="24"/>
          <w:lang w:val="sq-AL"/>
        </w:rPr>
        <w:t>ë</w:t>
      </w:r>
      <w:r w:rsidR="00F20702" w:rsidRPr="00037FB1">
        <w:rPr>
          <w:rFonts w:ascii="Times New Roman" w:hAnsi="Times New Roman"/>
          <w:sz w:val="24"/>
          <w:szCs w:val="24"/>
          <w:lang w:val="sq-AL"/>
        </w:rPr>
        <w:t>r lirin</w:t>
      </w:r>
      <w:r w:rsidR="00C04753" w:rsidRPr="00037FB1">
        <w:rPr>
          <w:rFonts w:ascii="Times New Roman" w:hAnsi="Times New Roman"/>
          <w:sz w:val="24"/>
          <w:szCs w:val="24"/>
          <w:lang w:val="sq-AL"/>
        </w:rPr>
        <w:t>ë</w:t>
      </w:r>
      <w:r w:rsidR="00F20702" w:rsidRPr="00037FB1">
        <w:rPr>
          <w:rFonts w:ascii="Times New Roman" w:hAnsi="Times New Roman"/>
          <w:sz w:val="24"/>
          <w:szCs w:val="24"/>
          <w:lang w:val="sq-AL"/>
        </w:rPr>
        <w:t xml:space="preserve"> e tubimit mbulon edhe dy lirit</w:t>
      </w:r>
      <w:r w:rsidR="00C04753" w:rsidRPr="00037FB1">
        <w:rPr>
          <w:rFonts w:ascii="Times New Roman" w:hAnsi="Times New Roman"/>
          <w:sz w:val="24"/>
          <w:szCs w:val="24"/>
          <w:lang w:val="sq-AL"/>
        </w:rPr>
        <w:t>ë</w:t>
      </w:r>
      <w:r w:rsidR="00F20702" w:rsidRPr="00037FB1">
        <w:rPr>
          <w:rFonts w:ascii="Times New Roman" w:hAnsi="Times New Roman"/>
          <w:sz w:val="24"/>
          <w:szCs w:val="24"/>
          <w:lang w:val="sq-AL"/>
        </w:rPr>
        <w:t xml:space="preserve"> e tjer</w:t>
      </w:r>
      <w:r w:rsidR="00227B7E" w:rsidRPr="00037FB1">
        <w:rPr>
          <w:rFonts w:ascii="Times New Roman" w:hAnsi="Times New Roman"/>
          <w:sz w:val="24"/>
          <w:szCs w:val="24"/>
          <w:lang w:val="sq-AL"/>
        </w:rPr>
        <w:t>a</w:t>
      </w:r>
      <w:r w:rsidR="00F20702" w:rsidRPr="00037FB1">
        <w:rPr>
          <w:rFonts w:ascii="Times New Roman" w:hAnsi="Times New Roman"/>
          <w:sz w:val="24"/>
          <w:szCs w:val="24"/>
          <w:lang w:val="sq-AL"/>
        </w:rPr>
        <w:t>, meq</w:t>
      </w:r>
      <w:r w:rsidR="00C04753" w:rsidRPr="00037FB1">
        <w:rPr>
          <w:rFonts w:ascii="Times New Roman" w:hAnsi="Times New Roman"/>
          <w:sz w:val="24"/>
          <w:szCs w:val="24"/>
          <w:lang w:val="sq-AL"/>
        </w:rPr>
        <w:t>ë</w:t>
      </w:r>
      <w:r w:rsidR="00F20702" w:rsidRPr="00037FB1">
        <w:rPr>
          <w:rFonts w:ascii="Times New Roman" w:hAnsi="Times New Roman"/>
          <w:sz w:val="24"/>
          <w:szCs w:val="24"/>
          <w:lang w:val="sq-AL"/>
        </w:rPr>
        <w:t xml:space="preserve"> ato</w:t>
      </w:r>
      <w:r w:rsidR="00665065" w:rsidRPr="00037FB1">
        <w:rPr>
          <w:rFonts w:ascii="Times New Roman" w:hAnsi="Times New Roman"/>
          <w:sz w:val="24"/>
          <w:szCs w:val="24"/>
          <w:lang w:val="sq-AL"/>
        </w:rPr>
        <w:t>, sikurse u shpjegua m</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lart, jan</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t</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lidhura ngusht</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me t</w:t>
      </w:r>
      <w:r w:rsidR="00C4630B" w:rsidRPr="00037FB1">
        <w:rPr>
          <w:rFonts w:ascii="Times New Roman" w:hAnsi="Times New Roman"/>
          <w:sz w:val="24"/>
          <w:szCs w:val="24"/>
          <w:lang w:val="sq-AL"/>
        </w:rPr>
        <w:t>ë</w:t>
      </w:r>
      <w:r w:rsidR="00F20702"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 xml:space="preserve"> </w:t>
      </w:r>
    </w:p>
    <w:p w:rsidR="00367EB7" w:rsidRPr="00037FB1" w:rsidRDefault="00367EB7" w:rsidP="0037360A">
      <w:pPr>
        <w:tabs>
          <w:tab w:val="left" w:pos="1080"/>
        </w:tabs>
        <w:spacing w:after="0" w:line="360" w:lineRule="auto"/>
        <w:ind w:firstLine="720"/>
        <w:contextualSpacing/>
        <w:jc w:val="both"/>
        <w:rPr>
          <w:rFonts w:ascii="Times New Roman" w:hAnsi="Times New Roman"/>
          <w:sz w:val="24"/>
          <w:szCs w:val="24"/>
          <w:lang w:val="sq-AL"/>
        </w:rPr>
      </w:pPr>
    </w:p>
    <w:p w:rsidR="00367EB7" w:rsidRPr="00037FB1" w:rsidRDefault="00B9169A" w:rsidP="0037360A">
      <w:pPr>
        <w:tabs>
          <w:tab w:val="left" w:pos="1080"/>
        </w:tabs>
        <w:spacing w:after="0" w:line="360" w:lineRule="auto"/>
        <w:ind w:firstLine="720"/>
        <w:jc w:val="both"/>
        <w:rPr>
          <w:rFonts w:ascii="Times New Roman" w:hAnsi="Times New Roman"/>
          <w:i/>
          <w:sz w:val="24"/>
          <w:szCs w:val="24"/>
          <w:lang w:val="sq-AL"/>
        </w:rPr>
      </w:pPr>
      <w:r w:rsidRPr="00037FB1">
        <w:rPr>
          <w:rFonts w:ascii="Times New Roman" w:hAnsi="Times New Roman"/>
          <w:i/>
          <w:sz w:val="24"/>
          <w:szCs w:val="24"/>
          <w:lang w:val="sq-AL"/>
        </w:rPr>
        <w:t>C</w:t>
      </w:r>
      <w:r w:rsidR="008C13FD" w:rsidRPr="00037FB1">
        <w:rPr>
          <w:rFonts w:ascii="Times New Roman" w:hAnsi="Times New Roman"/>
          <w:i/>
          <w:sz w:val="24"/>
          <w:szCs w:val="24"/>
          <w:lang w:val="sq-AL"/>
        </w:rPr>
        <w:t>.</w:t>
      </w:r>
      <w:r w:rsidRPr="00037FB1">
        <w:rPr>
          <w:rFonts w:ascii="Times New Roman" w:hAnsi="Times New Roman"/>
          <w:i/>
          <w:sz w:val="24"/>
          <w:szCs w:val="24"/>
          <w:lang w:val="sq-AL"/>
        </w:rPr>
        <w:t>2</w:t>
      </w:r>
      <w:r w:rsidR="008C13FD" w:rsidRPr="00037FB1">
        <w:rPr>
          <w:rFonts w:ascii="Times New Roman" w:hAnsi="Times New Roman"/>
          <w:i/>
          <w:sz w:val="24"/>
          <w:szCs w:val="24"/>
          <w:lang w:val="sq-AL"/>
        </w:rPr>
        <w:t>.</w:t>
      </w:r>
      <w:r w:rsidRPr="00037FB1">
        <w:rPr>
          <w:rFonts w:ascii="Times New Roman" w:hAnsi="Times New Roman"/>
          <w:i/>
          <w:sz w:val="24"/>
          <w:szCs w:val="24"/>
          <w:lang w:val="sq-AL"/>
        </w:rPr>
        <w:t>1</w:t>
      </w:r>
      <w:r w:rsidR="008856A1" w:rsidRPr="00037FB1">
        <w:rPr>
          <w:rFonts w:ascii="Times New Roman" w:hAnsi="Times New Roman"/>
          <w:i/>
          <w:sz w:val="24"/>
          <w:szCs w:val="24"/>
          <w:lang w:val="sq-AL"/>
        </w:rPr>
        <w:t>.</w:t>
      </w:r>
      <w:r w:rsidR="008C13FD" w:rsidRPr="00037FB1">
        <w:rPr>
          <w:rFonts w:ascii="Times New Roman" w:hAnsi="Times New Roman"/>
          <w:i/>
          <w:sz w:val="24"/>
          <w:szCs w:val="24"/>
          <w:lang w:val="sq-AL"/>
        </w:rPr>
        <w:t xml:space="preserve"> </w:t>
      </w:r>
      <w:r w:rsidR="00227B7E" w:rsidRPr="00037FB1">
        <w:rPr>
          <w:rFonts w:ascii="Times New Roman" w:hAnsi="Times New Roman"/>
          <w:i/>
          <w:sz w:val="24"/>
          <w:szCs w:val="24"/>
          <w:lang w:val="sq-AL"/>
        </w:rPr>
        <w:t>Për</w:t>
      </w:r>
      <w:r w:rsidR="008C13FD" w:rsidRPr="00037FB1">
        <w:rPr>
          <w:rFonts w:ascii="Times New Roman" w:hAnsi="Times New Roman"/>
          <w:i/>
          <w:sz w:val="24"/>
          <w:szCs w:val="24"/>
          <w:lang w:val="sq-AL"/>
        </w:rPr>
        <w:t xml:space="preserve"> kriterin e </w:t>
      </w:r>
      <w:r w:rsidR="00367EB7" w:rsidRPr="00037FB1">
        <w:rPr>
          <w:rFonts w:ascii="Times New Roman" w:hAnsi="Times New Roman"/>
          <w:i/>
          <w:sz w:val="24"/>
          <w:szCs w:val="24"/>
          <w:lang w:val="sq-AL"/>
        </w:rPr>
        <w:t>kufizimi</w:t>
      </w:r>
      <w:r w:rsidR="008C13FD" w:rsidRPr="00037FB1">
        <w:rPr>
          <w:rFonts w:ascii="Times New Roman" w:hAnsi="Times New Roman"/>
          <w:i/>
          <w:sz w:val="24"/>
          <w:szCs w:val="24"/>
          <w:lang w:val="sq-AL"/>
        </w:rPr>
        <w:t>t me ligj</w:t>
      </w:r>
    </w:p>
    <w:p w:rsidR="00076373"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44</w:t>
      </w:r>
      <w:r w:rsidR="00FC7A9D" w:rsidRPr="00037FB1">
        <w:rPr>
          <w:rFonts w:ascii="Times New Roman" w:hAnsi="Times New Roman"/>
          <w:sz w:val="24"/>
          <w:szCs w:val="24"/>
          <w:lang w:val="sq-AL"/>
        </w:rPr>
        <w:t xml:space="preserve">. </w:t>
      </w:r>
      <w:r w:rsidR="00017291" w:rsidRPr="00037FB1">
        <w:rPr>
          <w:rFonts w:ascii="Times New Roman" w:hAnsi="Times New Roman"/>
          <w:sz w:val="24"/>
          <w:szCs w:val="24"/>
          <w:lang w:val="sq-AL"/>
        </w:rPr>
        <w:t xml:space="preserve">Sipas nenit 17 të Kushtetutës, </w:t>
      </w:r>
      <w:r w:rsidR="008F7B3A" w:rsidRPr="00037FB1">
        <w:rPr>
          <w:rFonts w:ascii="Times New Roman" w:hAnsi="Times New Roman"/>
          <w:sz w:val="24"/>
          <w:szCs w:val="24"/>
          <w:lang w:val="sq-AL"/>
        </w:rPr>
        <w:t>kriteri i par</w:t>
      </w:r>
      <w:r w:rsidR="008E76A8" w:rsidRPr="00037FB1">
        <w:rPr>
          <w:rFonts w:ascii="Times New Roman" w:hAnsi="Times New Roman"/>
          <w:sz w:val="24"/>
          <w:szCs w:val="24"/>
          <w:lang w:val="sq-AL"/>
        </w:rPr>
        <w:t>ë</w:t>
      </w:r>
      <w:r w:rsidR="008F7B3A" w:rsidRPr="00037FB1">
        <w:rPr>
          <w:rFonts w:ascii="Times New Roman" w:hAnsi="Times New Roman"/>
          <w:sz w:val="24"/>
          <w:szCs w:val="24"/>
          <w:lang w:val="sq-AL"/>
        </w:rPr>
        <w:t xml:space="preserve"> p</w:t>
      </w:r>
      <w:r w:rsidR="008E76A8" w:rsidRPr="00037FB1">
        <w:rPr>
          <w:rFonts w:ascii="Times New Roman" w:hAnsi="Times New Roman"/>
          <w:sz w:val="24"/>
          <w:szCs w:val="24"/>
          <w:lang w:val="sq-AL"/>
        </w:rPr>
        <w:t>ë</w:t>
      </w:r>
      <w:r w:rsidR="008F7B3A" w:rsidRPr="00037FB1">
        <w:rPr>
          <w:rFonts w:ascii="Times New Roman" w:hAnsi="Times New Roman"/>
          <w:sz w:val="24"/>
          <w:szCs w:val="24"/>
          <w:lang w:val="sq-AL"/>
        </w:rPr>
        <w:t xml:space="preserve">r t’u </w:t>
      </w:r>
      <w:r w:rsidR="007D2B89" w:rsidRPr="00037FB1">
        <w:rPr>
          <w:rFonts w:ascii="Times New Roman" w:hAnsi="Times New Roman"/>
          <w:sz w:val="24"/>
          <w:szCs w:val="24"/>
          <w:lang w:val="sq-AL"/>
        </w:rPr>
        <w:t xml:space="preserve">analizuar </w:t>
      </w:r>
      <w:r w:rsidR="008E76A8" w:rsidRPr="00037FB1">
        <w:rPr>
          <w:rFonts w:ascii="Times New Roman" w:hAnsi="Times New Roman"/>
          <w:sz w:val="24"/>
          <w:szCs w:val="24"/>
          <w:lang w:val="sq-AL"/>
        </w:rPr>
        <w:t>ë</w:t>
      </w:r>
      <w:r w:rsidR="008F7B3A" w:rsidRPr="00037FB1">
        <w:rPr>
          <w:rFonts w:ascii="Times New Roman" w:hAnsi="Times New Roman"/>
          <w:sz w:val="24"/>
          <w:szCs w:val="24"/>
          <w:lang w:val="sq-AL"/>
        </w:rPr>
        <w:t>sht</w:t>
      </w:r>
      <w:r w:rsidR="008E76A8" w:rsidRPr="00037FB1">
        <w:rPr>
          <w:rFonts w:ascii="Times New Roman" w:hAnsi="Times New Roman"/>
          <w:sz w:val="24"/>
          <w:szCs w:val="24"/>
          <w:lang w:val="sq-AL"/>
        </w:rPr>
        <w:t>ë</w:t>
      </w:r>
      <w:r w:rsidR="008F7B3A" w:rsidRPr="00037FB1">
        <w:rPr>
          <w:rFonts w:ascii="Times New Roman" w:hAnsi="Times New Roman"/>
          <w:sz w:val="24"/>
          <w:szCs w:val="24"/>
          <w:lang w:val="sq-AL"/>
        </w:rPr>
        <w:t xml:space="preserve"> q</w:t>
      </w:r>
      <w:r w:rsidR="008E76A8" w:rsidRPr="00037FB1">
        <w:rPr>
          <w:rFonts w:ascii="Times New Roman" w:hAnsi="Times New Roman"/>
          <w:sz w:val="24"/>
          <w:szCs w:val="24"/>
          <w:lang w:val="sq-AL"/>
        </w:rPr>
        <w:t>ë</w:t>
      </w:r>
      <w:r w:rsidR="008F7B3A" w:rsidRPr="00037FB1">
        <w:rPr>
          <w:rFonts w:ascii="Times New Roman" w:hAnsi="Times New Roman"/>
          <w:sz w:val="24"/>
          <w:szCs w:val="24"/>
          <w:lang w:val="sq-AL"/>
        </w:rPr>
        <w:t xml:space="preserve"> </w:t>
      </w:r>
      <w:r w:rsidR="00017291" w:rsidRPr="00037FB1">
        <w:rPr>
          <w:rFonts w:ascii="Times New Roman" w:hAnsi="Times New Roman"/>
          <w:sz w:val="24"/>
          <w:szCs w:val="24"/>
          <w:lang w:val="sq-AL"/>
        </w:rPr>
        <w:t xml:space="preserve">të drejtat dhe liritë e individit mund të kufizohen vetëm me ligj. Qëllimi i këtij </w:t>
      </w:r>
      <w:r w:rsidR="00D35562" w:rsidRPr="00037FB1">
        <w:rPr>
          <w:rFonts w:ascii="Times New Roman" w:hAnsi="Times New Roman"/>
          <w:sz w:val="24"/>
          <w:szCs w:val="24"/>
          <w:lang w:val="sq-AL"/>
        </w:rPr>
        <w:t xml:space="preserve">kriteri </w:t>
      </w:r>
      <w:r w:rsidR="00CC3901" w:rsidRPr="00037FB1">
        <w:rPr>
          <w:rFonts w:ascii="Times New Roman" w:hAnsi="Times New Roman"/>
          <w:sz w:val="24"/>
          <w:szCs w:val="24"/>
          <w:lang w:val="sq-AL"/>
        </w:rPr>
        <w:t>ë</w:t>
      </w:r>
      <w:r w:rsidR="00D35562" w:rsidRPr="00037FB1">
        <w:rPr>
          <w:rFonts w:ascii="Times New Roman" w:hAnsi="Times New Roman"/>
          <w:sz w:val="24"/>
          <w:szCs w:val="24"/>
          <w:lang w:val="sq-AL"/>
        </w:rPr>
        <w:t>sht</w:t>
      </w:r>
      <w:r w:rsidR="00CC3901" w:rsidRPr="00037FB1">
        <w:rPr>
          <w:rFonts w:ascii="Times New Roman" w:hAnsi="Times New Roman"/>
          <w:sz w:val="24"/>
          <w:szCs w:val="24"/>
          <w:lang w:val="sq-AL"/>
        </w:rPr>
        <w:t>ë</w:t>
      </w:r>
      <w:r w:rsidR="00D35562" w:rsidRPr="00037FB1">
        <w:rPr>
          <w:rFonts w:ascii="Times New Roman" w:hAnsi="Times New Roman"/>
          <w:sz w:val="24"/>
          <w:szCs w:val="24"/>
          <w:lang w:val="sq-AL"/>
        </w:rPr>
        <w:t xml:space="preserve"> ofrimi i garancive sa m</w:t>
      </w:r>
      <w:r w:rsidR="00CC3901" w:rsidRPr="00037FB1">
        <w:rPr>
          <w:rFonts w:ascii="Times New Roman" w:hAnsi="Times New Roman"/>
          <w:sz w:val="24"/>
          <w:szCs w:val="24"/>
          <w:lang w:val="sq-AL"/>
        </w:rPr>
        <w:t>ë</w:t>
      </w:r>
      <w:r w:rsidR="00D35562" w:rsidRPr="00037FB1">
        <w:rPr>
          <w:rFonts w:ascii="Times New Roman" w:hAnsi="Times New Roman"/>
          <w:sz w:val="24"/>
          <w:szCs w:val="24"/>
          <w:lang w:val="sq-AL"/>
        </w:rPr>
        <w:t xml:space="preserve"> t</w:t>
      </w:r>
      <w:r w:rsidR="00CC3901" w:rsidRPr="00037FB1">
        <w:rPr>
          <w:rFonts w:ascii="Times New Roman" w:hAnsi="Times New Roman"/>
          <w:sz w:val="24"/>
          <w:szCs w:val="24"/>
          <w:lang w:val="sq-AL"/>
        </w:rPr>
        <w:t>ë</w:t>
      </w:r>
      <w:r w:rsidR="00D35562" w:rsidRPr="00037FB1">
        <w:rPr>
          <w:rFonts w:ascii="Times New Roman" w:hAnsi="Times New Roman"/>
          <w:sz w:val="24"/>
          <w:szCs w:val="24"/>
          <w:lang w:val="sq-AL"/>
        </w:rPr>
        <w:t xml:space="preserve"> plota </w:t>
      </w:r>
      <w:r w:rsidR="00017291" w:rsidRPr="00037FB1">
        <w:rPr>
          <w:rFonts w:ascii="Times New Roman" w:hAnsi="Times New Roman"/>
          <w:sz w:val="24"/>
          <w:szCs w:val="24"/>
          <w:lang w:val="sq-AL"/>
        </w:rPr>
        <w:t>në rastin e kufizimeve</w:t>
      </w:r>
      <w:r w:rsidR="00D35562" w:rsidRPr="00037FB1">
        <w:rPr>
          <w:rFonts w:ascii="Times New Roman" w:hAnsi="Times New Roman"/>
          <w:sz w:val="24"/>
          <w:szCs w:val="24"/>
          <w:lang w:val="sq-AL"/>
        </w:rPr>
        <w:t xml:space="preserve"> dhe p</w:t>
      </w:r>
      <w:r w:rsidR="00CC3901" w:rsidRPr="00037FB1">
        <w:rPr>
          <w:rFonts w:ascii="Times New Roman" w:hAnsi="Times New Roman"/>
          <w:sz w:val="24"/>
          <w:szCs w:val="24"/>
          <w:lang w:val="sq-AL"/>
        </w:rPr>
        <w:t>ë</w:t>
      </w:r>
      <w:r w:rsidR="00D35562" w:rsidRPr="00037FB1">
        <w:rPr>
          <w:rFonts w:ascii="Times New Roman" w:hAnsi="Times New Roman"/>
          <w:sz w:val="24"/>
          <w:szCs w:val="24"/>
          <w:lang w:val="sq-AL"/>
        </w:rPr>
        <w:t>r k</w:t>
      </w:r>
      <w:r w:rsidR="00CC3901" w:rsidRPr="00037FB1">
        <w:rPr>
          <w:rFonts w:ascii="Times New Roman" w:hAnsi="Times New Roman"/>
          <w:sz w:val="24"/>
          <w:szCs w:val="24"/>
          <w:lang w:val="sq-AL"/>
        </w:rPr>
        <w:t>ë</w:t>
      </w:r>
      <w:r w:rsidR="00D35562" w:rsidRPr="00037FB1">
        <w:rPr>
          <w:rFonts w:ascii="Times New Roman" w:hAnsi="Times New Roman"/>
          <w:sz w:val="24"/>
          <w:szCs w:val="24"/>
          <w:lang w:val="sq-AL"/>
        </w:rPr>
        <w:t>t</w:t>
      </w:r>
      <w:r w:rsidR="00CC3901" w:rsidRPr="00037FB1">
        <w:rPr>
          <w:rFonts w:ascii="Times New Roman" w:hAnsi="Times New Roman"/>
          <w:sz w:val="24"/>
          <w:szCs w:val="24"/>
          <w:lang w:val="sq-AL"/>
        </w:rPr>
        <w:t>ë</w:t>
      </w:r>
      <w:r w:rsidR="00D35562" w:rsidRPr="00037FB1">
        <w:rPr>
          <w:rFonts w:ascii="Times New Roman" w:hAnsi="Times New Roman"/>
          <w:sz w:val="24"/>
          <w:szCs w:val="24"/>
          <w:lang w:val="sq-AL"/>
        </w:rPr>
        <w:t xml:space="preserve"> shkak, </w:t>
      </w:r>
      <w:r w:rsidR="00017291" w:rsidRPr="00037FB1">
        <w:rPr>
          <w:rFonts w:ascii="Times New Roman" w:hAnsi="Times New Roman"/>
          <w:sz w:val="24"/>
          <w:szCs w:val="24"/>
          <w:lang w:val="sq-AL"/>
        </w:rPr>
        <w:t>kompetent duhet të jet</w:t>
      </w:r>
      <w:r w:rsidR="00227B7E" w:rsidRPr="00037FB1">
        <w:rPr>
          <w:rFonts w:ascii="Times New Roman" w:hAnsi="Times New Roman"/>
          <w:sz w:val="24"/>
          <w:szCs w:val="24"/>
          <w:lang w:val="sq-AL"/>
        </w:rPr>
        <w:t>ë vetëm një organ dhe pikërisht</w:t>
      </w:r>
      <w:r w:rsidR="00017291" w:rsidRPr="00037FB1">
        <w:rPr>
          <w:rFonts w:ascii="Times New Roman" w:hAnsi="Times New Roman"/>
          <w:sz w:val="24"/>
          <w:szCs w:val="24"/>
          <w:lang w:val="sq-AL"/>
        </w:rPr>
        <w:t xml:space="preserve"> organi më i lartë ligjvënës. Shprehja “vetëm me ligj” ka kuptimin që në rast se është i nevojshëm kufizimi i një të drejte të parashikuar në Kushtetutë, atëherë ky vlerësim është në </w:t>
      </w:r>
      <w:r w:rsidR="007D2B89" w:rsidRPr="00037FB1">
        <w:rPr>
          <w:rFonts w:ascii="Times New Roman" w:hAnsi="Times New Roman"/>
          <w:sz w:val="24"/>
          <w:szCs w:val="24"/>
          <w:lang w:val="sq-AL"/>
        </w:rPr>
        <w:t xml:space="preserve">çmim </w:t>
      </w:r>
      <w:r w:rsidR="00017291" w:rsidRPr="00037FB1">
        <w:rPr>
          <w:rFonts w:ascii="Times New Roman" w:hAnsi="Times New Roman"/>
          <w:sz w:val="24"/>
          <w:szCs w:val="24"/>
          <w:lang w:val="sq-AL"/>
        </w:rPr>
        <w:t xml:space="preserve">vetëm të ligjvënësit dhe jo të organeve të tjera, përfshirë edhe Këshillin e Ministrave. </w:t>
      </w:r>
      <w:r w:rsidR="00227B7E" w:rsidRPr="00037FB1">
        <w:rPr>
          <w:rFonts w:ascii="Times New Roman" w:hAnsi="Times New Roman"/>
          <w:sz w:val="24"/>
          <w:szCs w:val="24"/>
          <w:lang w:val="sq-AL"/>
        </w:rPr>
        <w:t>Konteksti</w:t>
      </w:r>
      <w:r w:rsidR="00FC7A9D" w:rsidRPr="00037FB1">
        <w:rPr>
          <w:rFonts w:ascii="Times New Roman" w:hAnsi="Times New Roman"/>
          <w:sz w:val="24"/>
          <w:szCs w:val="24"/>
          <w:lang w:val="sq-AL"/>
        </w:rPr>
        <w:t xml:space="preserve"> në të cil</w:t>
      </w:r>
      <w:r w:rsidR="00227B7E" w:rsidRPr="00037FB1">
        <w:rPr>
          <w:rFonts w:ascii="Times New Roman" w:hAnsi="Times New Roman"/>
          <w:sz w:val="24"/>
          <w:szCs w:val="24"/>
          <w:lang w:val="sq-AL"/>
        </w:rPr>
        <w:t>i</w:t>
      </w:r>
      <w:r w:rsidR="00FC7A9D" w:rsidRPr="00037FB1">
        <w:rPr>
          <w:rFonts w:ascii="Times New Roman" w:hAnsi="Times New Roman"/>
          <w:sz w:val="24"/>
          <w:szCs w:val="24"/>
          <w:lang w:val="sq-AL"/>
        </w:rPr>
        <w:t>n është përdorur togfjalëshi “vetëm me ligj” nuk lejon të bëhet interpretim i zgjeruar. Kjo edhe për faktin se një interpretim i tillë i normave kushtetuese mund të bëhet vetëm në aspektin pozitiv, kur ky interpretim shkon në favor të mbrojtjes së të drejtave dhe jo e kundërta</w:t>
      </w:r>
      <w:r w:rsidR="00EA0304" w:rsidRPr="00037FB1">
        <w:rPr>
          <w:rFonts w:ascii="Times New Roman" w:hAnsi="Times New Roman"/>
          <w:sz w:val="24"/>
          <w:szCs w:val="24"/>
          <w:lang w:val="sq-AL"/>
        </w:rPr>
        <w:t>.</w:t>
      </w:r>
      <w:r w:rsidR="00FC7A9D" w:rsidRPr="00037FB1">
        <w:rPr>
          <w:rFonts w:ascii="Times New Roman" w:hAnsi="Times New Roman"/>
          <w:sz w:val="24"/>
          <w:szCs w:val="24"/>
          <w:lang w:val="sq-AL"/>
        </w:rPr>
        <w:t xml:space="preserve"> Gjykata Kushtetuese çmon se rregullimi i parashikuar në nenin 17 për kufizimin e të drejtave dhe </w:t>
      </w:r>
      <w:r w:rsidR="00227B7E" w:rsidRPr="00037FB1">
        <w:rPr>
          <w:rFonts w:ascii="Times New Roman" w:hAnsi="Times New Roman"/>
          <w:sz w:val="24"/>
          <w:szCs w:val="24"/>
          <w:lang w:val="sq-AL"/>
        </w:rPr>
        <w:t>lirive vetëm me ligj</w:t>
      </w:r>
      <w:r w:rsidR="00FC7A9D" w:rsidRPr="00037FB1">
        <w:rPr>
          <w:rFonts w:ascii="Times New Roman" w:hAnsi="Times New Roman"/>
          <w:sz w:val="24"/>
          <w:szCs w:val="24"/>
          <w:lang w:val="sq-AL"/>
        </w:rPr>
        <w:t xml:space="preserve"> ka të bëjë edhe me përcaktimin e kompetencës së një organi konkret</w:t>
      </w:r>
      <w:r w:rsidR="00227B7E" w:rsidRPr="00037FB1">
        <w:rPr>
          <w:rFonts w:ascii="Times New Roman" w:hAnsi="Times New Roman"/>
          <w:sz w:val="24"/>
          <w:szCs w:val="24"/>
          <w:lang w:val="sq-AL"/>
        </w:rPr>
        <w:t>,</w:t>
      </w:r>
      <w:r w:rsidR="00FC7A9D" w:rsidRPr="00037FB1">
        <w:rPr>
          <w:rFonts w:ascii="Times New Roman" w:hAnsi="Times New Roman"/>
          <w:sz w:val="24"/>
          <w:szCs w:val="24"/>
          <w:lang w:val="sq-AL"/>
        </w:rPr>
        <w:t xml:space="preserve"> që në këtë rast është vetëm Kuvendi. Një shprehje e tillë të referon në kompetencën e organit ligjvënës dhe nxjerrja e akteve të tjera për të rregulluar marrëdhënie të</w:t>
      </w:r>
      <w:r w:rsidR="00227B7E" w:rsidRPr="00037FB1">
        <w:rPr>
          <w:rFonts w:ascii="Times New Roman" w:hAnsi="Times New Roman"/>
          <w:sz w:val="24"/>
          <w:szCs w:val="24"/>
          <w:lang w:val="sq-AL"/>
        </w:rPr>
        <w:t xml:space="preserve"> tilla</w:t>
      </w:r>
      <w:r w:rsidR="00FC7A9D" w:rsidRPr="00037FB1">
        <w:rPr>
          <w:rFonts w:ascii="Times New Roman" w:hAnsi="Times New Roman"/>
          <w:sz w:val="24"/>
          <w:szCs w:val="24"/>
          <w:lang w:val="sq-AL"/>
        </w:rPr>
        <w:t xml:space="preserve"> cenon kompetencat e këtij organi</w:t>
      </w:r>
      <w:r w:rsidR="007847EB" w:rsidRPr="00037FB1">
        <w:rPr>
          <w:rFonts w:ascii="Times New Roman" w:hAnsi="Times New Roman"/>
          <w:sz w:val="24"/>
          <w:szCs w:val="24"/>
          <w:lang w:val="sq-AL"/>
        </w:rPr>
        <w:t xml:space="preserve"> (</w:t>
      </w:r>
      <w:r w:rsidR="00C631FB" w:rsidRPr="00037FB1">
        <w:rPr>
          <w:rFonts w:ascii="Times New Roman" w:hAnsi="Times New Roman"/>
          <w:i/>
          <w:sz w:val="24"/>
          <w:szCs w:val="24"/>
          <w:lang w:val="sq-AL"/>
        </w:rPr>
        <w:t>shih vendimet nr. 7, datë 27.02.2013; nr. 20, datë 11.07.2006 të Gjykatës Kushtetuese).</w:t>
      </w:r>
    </w:p>
    <w:p w:rsidR="00076373" w:rsidRPr="00037FB1" w:rsidRDefault="009F1F66" w:rsidP="0037360A">
      <w:pPr>
        <w:tabs>
          <w:tab w:val="left" w:pos="1080"/>
        </w:tabs>
        <w:spacing w:after="0" w:line="360" w:lineRule="auto"/>
        <w:ind w:firstLine="720"/>
        <w:jc w:val="both"/>
        <w:rPr>
          <w:rFonts w:ascii="Times New Roman" w:hAnsi="Times New Roman"/>
          <w:i/>
          <w:sz w:val="24"/>
          <w:szCs w:val="24"/>
          <w:lang w:val="sq-AL"/>
        </w:rPr>
      </w:pPr>
      <w:r w:rsidRPr="00037FB1">
        <w:rPr>
          <w:rFonts w:ascii="Times New Roman" w:hAnsi="Times New Roman"/>
          <w:sz w:val="24"/>
          <w:szCs w:val="24"/>
          <w:lang w:val="sq-AL"/>
        </w:rPr>
        <w:t>45</w:t>
      </w:r>
      <w:r w:rsidR="005803E7" w:rsidRPr="00037FB1">
        <w:rPr>
          <w:rFonts w:ascii="Times New Roman" w:hAnsi="Times New Roman"/>
          <w:sz w:val="24"/>
          <w:szCs w:val="24"/>
          <w:lang w:val="sq-AL"/>
        </w:rPr>
        <w:t xml:space="preserve">. Neni 118, pika </w:t>
      </w:r>
      <w:r w:rsidR="000A7174" w:rsidRPr="00037FB1">
        <w:rPr>
          <w:rFonts w:ascii="Times New Roman" w:hAnsi="Times New Roman"/>
          <w:sz w:val="24"/>
          <w:szCs w:val="24"/>
          <w:lang w:val="sq-AL"/>
        </w:rPr>
        <w:t>1</w:t>
      </w:r>
      <w:r w:rsidR="005803E7" w:rsidRPr="00037FB1">
        <w:rPr>
          <w:rFonts w:ascii="Times New Roman" w:hAnsi="Times New Roman"/>
          <w:sz w:val="24"/>
          <w:szCs w:val="24"/>
          <w:lang w:val="sq-AL"/>
        </w:rPr>
        <w:t>,</w:t>
      </w:r>
      <w:r w:rsidR="000A7174" w:rsidRPr="00037FB1">
        <w:rPr>
          <w:rFonts w:ascii="Times New Roman" w:hAnsi="Times New Roman"/>
          <w:sz w:val="24"/>
          <w:szCs w:val="24"/>
          <w:lang w:val="sq-AL"/>
        </w:rPr>
        <w:t xml:space="preserve"> i Kushtetutës sanksionon se “aktet nënligjore nxirren në bazë dhe për zbatim të ligjeve nga organet e parashikuara në Kushtetutë”. Ndërsa paragrafi i </w:t>
      </w:r>
      <w:r w:rsidR="00227B7E" w:rsidRPr="00037FB1">
        <w:rPr>
          <w:rFonts w:ascii="Times New Roman" w:hAnsi="Times New Roman"/>
          <w:sz w:val="24"/>
          <w:szCs w:val="24"/>
          <w:lang w:val="sq-AL"/>
        </w:rPr>
        <w:t>dytë i këtij neni parashikon: “L</w:t>
      </w:r>
      <w:r w:rsidR="000A7174" w:rsidRPr="00037FB1">
        <w:rPr>
          <w:rFonts w:ascii="Times New Roman" w:hAnsi="Times New Roman"/>
          <w:sz w:val="24"/>
          <w:szCs w:val="24"/>
          <w:lang w:val="sq-AL"/>
        </w:rPr>
        <w:t>igji duhet të autorizojë nxjerrjen e akteve nënligjore, të përcaktojë organin kompetent, çështjen që duhet rregulluar, si dhe parimet në bazë të të cilave nxirren këto akte.”</w:t>
      </w:r>
      <w:r w:rsidR="00227B7E" w:rsidRPr="00037FB1">
        <w:rPr>
          <w:rFonts w:ascii="Times New Roman" w:hAnsi="Times New Roman"/>
          <w:sz w:val="24"/>
          <w:szCs w:val="24"/>
          <w:lang w:val="sq-AL"/>
        </w:rPr>
        <w:t>.</w:t>
      </w:r>
      <w:r w:rsidR="000A7174" w:rsidRPr="00037FB1">
        <w:rPr>
          <w:rFonts w:ascii="Times New Roman" w:hAnsi="Times New Roman"/>
          <w:sz w:val="24"/>
          <w:szCs w:val="24"/>
          <w:lang w:val="sq-AL"/>
        </w:rPr>
        <w:t xml:space="preserve"> Këto dispozita ndihmojnë për t’i dhënë kuptimin kushtetues dhe doktrinar konceptit “rezervë ligjore”, nëpërmjet të cilit kufizohet </w:t>
      </w:r>
      <w:r w:rsidR="00227B7E" w:rsidRPr="00037FB1">
        <w:rPr>
          <w:rFonts w:ascii="Times New Roman" w:hAnsi="Times New Roman"/>
          <w:sz w:val="24"/>
          <w:szCs w:val="24"/>
          <w:lang w:val="sq-AL"/>
        </w:rPr>
        <w:t>ose</w:t>
      </w:r>
      <w:r w:rsidR="000A7174" w:rsidRPr="00037FB1">
        <w:rPr>
          <w:rFonts w:ascii="Times New Roman" w:hAnsi="Times New Roman"/>
          <w:sz w:val="24"/>
          <w:szCs w:val="24"/>
          <w:lang w:val="sq-AL"/>
        </w:rPr>
        <w:t xml:space="preserve"> orientohet pushteti normativ i organeve ekzekutive për të rregulluar marrëdhënie të caktuara me akte nënligjore. Kjo rezervë ligjore krijon mundësinë që çështja konkrete e rregulluar pjesërisht me ligj të mund të detajohet më tej nga aktet nënligjore, duke iu përmbajtur parimeve dhe kufijve të përcaktuar nga ligji. Vetëm në këtë mënyrë autorizimi i ligjvënësit për nxjerrjen e akteve nënligjore mund të konsiderohet i realizuar brenda kufijve të kushtetutshmërisë.</w:t>
      </w:r>
      <w:r w:rsidR="00674738" w:rsidRPr="00037FB1">
        <w:rPr>
          <w:rFonts w:ascii="Times New Roman" w:hAnsi="Times New Roman"/>
          <w:sz w:val="24"/>
          <w:szCs w:val="24"/>
          <w:lang w:val="sq-AL"/>
        </w:rPr>
        <w:t xml:space="preserve"> </w:t>
      </w:r>
      <w:r w:rsidR="000A7174" w:rsidRPr="00037FB1">
        <w:rPr>
          <w:rFonts w:ascii="Times New Roman" w:hAnsi="Times New Roman"/>
          <w:sz w:val="24"/>
          <w:szCs w:val="24"/>
          <w:lang w:val="sq-AL"/>
        </w:rPr>
        <w:t>Gjykata në disa raste e ka konsideruar veprimin e qeverisë për nxjerrjen e akteve nënligjore si cenim të kufijve të rezervës ligjore kur ligji nuk ka bërë asnjë delegim tek ekzekutivi për të rregulluar një çështje konkrete (rezervë ligjore absolute) ose kur ekzekutivi ka rregulluar çështje të tjera nga ato që i ka deleguar ligjvënësi (rezerva ligjore relative). Në rastin e rezervës ligjore relative, aktet nënligjore duhet të nxirren në respektim të kritereve të përcaktuara në nenin 118 të Kushtetutës, të cilat, nga njëra anë, e detyrojnë ligjvënësin t’u përmbahet atyre në mënyrë rigoroze dhe, nga ana tjetër, orientojnë dhe kufizojnë pushtetin normativ të organeve të tjera shtetërore në nxjerrjen e akteve nënligjore</w:t>
      </w:r>
      <w:r w:rsidR="000A7174" w:rsidRPr="00037FB1">
        <w:rPr>
          <w:rFonts w:ascii="Times New Roman" w:hAnsi="Times New Roman"/>
          <w:i/>
          <w:sz w:val="24"/>
          <w:szCs w:val="24"/>
          <w:lang w:val="sq-AL"/>
        </w:rPr>
        <w:t xml:space="preserve"> (shih vendimet </w:t>
      </w:r>
      <w:r w:rsidR="00076373" w:rsidRPr="00037FB1">
        <w:rPr>
          <w:rFonts w:ascii="Times New Roman" w:hAnsi="Times New Roman"/>
          <w:i/>
          <w:sz w:val="24"/>
          <w:szCs w:val="24"/>
          <w:lang w:val="sq-AL"/>
        </w:rPr>
        <w:t>nr.7, datë 27.</w:t>
      </w:r>
      <w:r w:rsidR="00227B7E" w:rsidRPr="00037FB1">
        <w:rPr>
          <w:rFonts w:ascii="Times New Roman" w:hAnsi="Times New Roman"/>
          <w:i/>
          <w:sz w:val="24"/>
          <w:szCs w:val="24"/>
          <w:lang w:val="sq-AL"/>
        </w:rPr>
        <w:t>0</w:t>
      </w:r>
      <w:r w:rsidR="00076373" w:rsidRPr="00037FB1">
        <w:rPr>
          <w:rFonts w:ascii="Times New Roman" w:hAnsi="Times New Roman"/>
          <w:i/>
          <w:sz w:val="24"/>
          <w:szCs w:val="24"/>
          <w:lang w:val="sq-AL"/>
        </w:rPr>
        <w:t>2.2013; nr. 12, datë 28.</w:t>
      </w:r>
      <w:r w:rsidR="00227B7E" w:rsidRPr="00037FB1">
        <w:rPr>
          <w:rFonts w:ascii="Times New Roman" w:hAnsi="Times New Roman"/>
          <w:i/>
          <w:sz w:val="24"/>
          <w:szCs w:val="24"/>
          <w:lang w:val="sq-AL"/>
        </w:rPr>
        <w:t>0</w:t>
      </w:r>
      <w:r w:rsidR="00076373" w:rsidRPr="00037FB1">
        <w:rPr>
          <w:rFonts w:ascii="Times New Roman" w:hAnsi="Times New Roman"/>
          <w:i/>
          <w:sz w:val="24"/>
          <w:szCs w:val="24"/>
          <w:lang w:val="sq-AL"/>
        </w:rPr>
        <w:t>4.2009; nr.24, datë 24.</w:t>
      </w:r>
      <w:r w:rsidR="00227B7E" w:rsidRPr="00037FB1">
        <w:rPr>
          <w:rFonts w:ascii="Times New Roman" w:hAnsi="Times New Roman"/>
          <w:i/>
          <w:sz w:val="24"/>
          <w:szCs w:val="24"/>
          <w:lang w:val="sq-AL"/>
        </w:rPr>
        <w:t>0</w:t>
      </w:r>
      <w:r w:rsidR="00076373" w:rsidRPr="00037FB1">
        <w:rPr>
          <w:rFonts w:ascii="Times New Roman" w:hAnsi="Times New Roman"/>
          <w:i/>
          <w:sz w:val="24"/>
          <w:szCs w:val="24"/>
          <w:lang w:val="sq-AL"/>
        </w:rPr>
        <w:t>7.2009; nr.17, datë 25.</w:t>
      </w:r>
      <w:r w:rsidR="00227B7E" w:rsidRPr="00037FB1">
        <w:rPr>
          <w:rFonts w:ascii="Times New Roman" w:hAnsi="Times New Roman"/>
          <w:i/>
          <w:sz w:val="24"/>
          <w:szCs w:val="24"/>
          <w:lang w:val="sq-AL"/>
        </w:rPr>
        <w:t>0</w:t>
      </w:r>
      <w:r w:rsidR="00076373" w:rsidRPr="00037FB1">
        <w:rPr>
          <w:rFonts w:ascii="Times New Roman" w:hAnsi="Times New Roman"/>
          <w:i/>
          <w:sz w:val="24"/>
          <w:szCs w:val="24"/>
          <w:lang w:val="sq-AL"/>
        </w:rPr>
        <w:t>7.2008</w:t>
      </w:r>
      <w:r w:rsidR="000A7174" w:rsidRPr="00037FB1">
        <w:rPr>
          <w:rFonts w:ascii="Times New Roman" w:hAnsi="Times New Roman"/>
          <w:i/>
          <w:sz w:val="24"/>
          <w:szCs w:val="24"/>
          <w:lang w:val="sq-AL"/>
        </w:rPr>
        <w:t xml:space="preserve"> </w:t>
      </w:r>
      <w:r w:rsidR="00076373" w:rsidRPr="00037FB1">
        <w:rPr>
          <w:rFonts w:ascii="Times New Roman" w:hAnsi="Times New Roman"/>
          <w:i/>
          <w:sz w:val="24"/>
          <w:szCs w:val="24"/>
          <w:lang w:val="sq-AL"/>
        </w:rPr>
        <w:t xml:space="preserve">të Gjykatës Kushtetuese). </w:t>
      </w:r>
    </w:p>
    <w:p w:rsidR="00227E5B"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46</w:t>
      </w:r>
      <w:r w:rsidR="00076373" w:rsidRPr="00037FB1">
        <w:rPr>
          <w:rFonts w:ascii="Times New Roman" w:hAnsi="Times New Roman"/>
          <w:sz w:val="24"/>
          <w:szCs w:val="24"/>
          <w:lang w:val="sq-AL"/>
        </w:rPr>
        <w:t xml:space="preserve">. </w:t>
      </w:r>
      <w:r w:rsidR="00674738" w:rsidRPr="00037FB1">
        <w:rPr>
          <w:rFonts w:ascii="Times New Roman" w:hAnsi="Times New Roman"/>
          <w:sz w:val="24"/>
          <w:szCs w:val="24"/>
          <w:lang w:val="sq-AL"/>
        </w:rPr>
        <w:t xml:space="preserve">Bazuar në standardet e mësipërme, Gjykata vlerëson </w:t>
      </w:r>
      <w:r w:rsidR="007D2B89" w:rsidRPr="00037FB1">
        <w:rPr>
          <w:rFonts w:ascii="Times New Roman" w:hAnsi="Times New Roman"/>
          <w:sz w:val="24"/>
          <w:szCs w:val="24"/>
          <w:lang w:val="sq-AL"/>
        </w:rPr>
        <w:t xml:space="preserve">se </w:t>
      </w:r>
      <w:r w:rsidR="00C4630B" w:rsidRPr="00037FB1">
        <w:rPr>
          <w:rFonts w:ascii="Times New Roman" w:hAnsi="Times New Roman"/>
          <w:sz w:val="24"/>
          <w:szCs w:val="24"/>
          <w:lang w:val="sq-AL"/>
        </w:rPr>
        <w:t>ë</w:t>
      </w:r>
      <w:r w:rsidR="007D2B89" w:rsidRPr="00037FB1">
        <w:rPr>
          <w:rFonts w:ascii="Times New Roman" w:hAnsi="Times New Roman"/>
          <w:sz w:val="24"/>
          <w:szCs w:val="24"/>
          <w:lang w:val="sq-AL"/>
        </w:rPr>
        <w:t>sht</w:t>
      </w:r>
      <w:r w:rsidR="00C4630B" w:rsidRPr="00037FB1">
        <w:rPr>
          <w:rFonts w:ascii="Times New Roman" w:hAnsi="Times New Roman"/>
          <w:sz w:val="24"/>
          <w:szCs w:val="24"/>
          <w:lang w:val="sq-AL"/>
        </w:rPr>
        <w:t>ë</w:t>
      </w:r>
      <w:r w:rsidR="007D2B89" w:rsidRPr="00037FB1">
        <w:rPr>
          <w:rFonts w:ascii="Times New Roman" w:hAnsi="Times New Roman"/>
          <w:sz w:val="24"/>
          <w:szCs w:val="24"/>
          <w:lang w:val="sq-AL"/>
        </w:rPr>
        <w:t xml:space="preserve"> </w:t>
      </w:r>
      <w:r w:rsidR="00227B7E" w:rsidRPr="00037FB1">
        <w:rPr>
          <w:rFonts w:ascii="Times New Roman" w:hAnsi="Times New Roman"/>
          <w:sz w:val="24"/>
          <w:szCs w:val="24"/>
          <w:lang w:val="sq-AL"/>
        </w:rPr>
        <w:t>e</w:t>
      </w:r>
      <w:r w:rsidR="007D2B89" w:rsidRPr="00037FB1">
        <w:rPr>
          <w:rFonts w:ascii="Times New Roman" w:hAnsi="Times New Roman"/>
          <w:sz w:val="24"/>
          <w:szCs w:val="24"/>
          <w:lang w:val="sq-AL"/>
        </w:rPr>
        <w:t xml:space="preserve"> nevojshme </w:t>
      </w:r>
      <w:r w:rsidR="00674738" w:rsidRPr="00037FB1">
        <w:rPr>
          <w:rFonts w:ascii="Times New Roman" w:hAnsi="Times New Roman"/>
          <w:sz w:val="24"/>
          <w:szCs w:val="24"/>
          <w:lang w:val="sq-AL"/>
        </w:rPr>
        <w:t>të analizo</w:t>
      </w:r>
      <w:r w:rsidR="00D1248F" w:rsidRPr="00037FB1">
        <w:rPr>
          <w:rFonts w:ascii="Times New Roman" w:hAnsi="Times New Roman"/>
          <w:sz w:val="24"/>
          <w:szCs w:val="24"/>
          <w:lang w:val="sq-AL"/>
        </w:rPr>
        <w:t>het</w:t>
      </w:r>
      <w:r w:rsidR="00674738" w:rsidRPr="00037FB1">
        <w:rPr>
          <w:rFonts w:ascii="Times New Roman" w:hAnsi="Times New Roman"/>
          <w:sz w:val="24"/>
          <w:szCs w:val="24"/>
          <w:lang w:val="sq-AL"/>
        </w:rPr>
        <w:t xml:space="preserve"> nëse në rastin konkret kufizimi është </w:t>
      </w:r>
      <w:r w:rsidR="005803E7" w:rsidRPr="00037FB1">
        <w:rPr>
          <w:rFonts w:ascii="Times New Roman" w:hAnsi="Times New Roman"/>
          <w:sz w:val="24"/>
          <w:szCs w:val="24"/>
          <w:lang w:val="sq-AL"/>
        </w:rPr>
        <w:t>bërë</w:t>
      </w:r>
      <w:r w:rsidR="00674738" w:rsidRPr="00037FB1">
        <w:rPr>
          <w:rFonts w:ascii="Times New Roman" w:hAnsi="Times New Roman"/>
          <w:sz w:val="24"/>
          <w:szCs w:val="24"/>
          <w:lang w:val="sq-AL"/>
        </w:rPr>
        <w:t xml:space="preserve"> me ligj, si dhe nëse </w:t>
      </w:r>
      <w:r w:rsidR="007D2B89" w:rsidRPr="00037FB1">
        <w:rPr>
          <w:rFonts w:ascii="Times New Roman" w:hAnsi="Times New Roman"/>
          <w:sz w:val="24"/>
          <w:szCs w:val="24"/>
          <w:lang w:val="sq-AL"/>
        </w:rPr>
        <w:t xml:space="preserve">materializimi </w:t>
      </w:r>
      <w:r w:rsidR="00F331FC" w:rsidRPr="00037FB1">
        <w:rPr>
          <w:rFonts w:ascii="Times New Roman" w:hAnsi="Times New Roman"/>
          <w:sz w:val="24"/>
          <w:szCs w:val="24"/>
          <w:lang w:val="sq-AL"/>
        </w:rPr>
        <w:t xml:space="preserve">në urdhrin nr. 633/2020 </w:t>
      </w:r>
      <w:r w:rsidR="00674738" w:rsidRPr="00037FB1">
        <w:rPr>
          <w:rFonts w:ascii="Times New Roman" w:hAnsi="Times New Roman"/>
          <w:sz w:val="24"/>
          <w:szCs w:val="24"/>
          <w:lang w:val="sq-AL"/>
        </w:rPr>
        <w:t>është bërë në përputh</w:t>
      </w:r>
      <w:r w:rsidR="00AD53C0" w:rsidRPr="00037FB1">
        <w:rPr>
          <w:rFonts w:ascii="Times New Roman" w:hAnsi="Times New Roman"/>
          <w:sz w:val="24"/>
          <w:szCs w:val="24"/>
          <w:lang w:val="sq-AL"/>
        </w:rPr>
        <w:t xml:space="preserve">je me rezervën ligjore relative. </w:t>
      </w:r>
      <w:r w:rsidR="00FC7A9D" w:rsidRPr="00037FB1">
        <w:rPr>
          <w:rFonts w:ascii="Times New Roman" w:hAnsi="Times New Roman"/>
          <w:sz w:val="24"/>
          <w:szCs w:val="24"/>
          <w:lang w:val="sq-AL"/>
        </w:rPr>
        <w:t xml:space="preserve"> </w:t>
      </w:r>
    </w:p>
    <w:p w:rsidR="00227E5B" w:rsidRPr="00037FB1" w:rsidRDefault="008D76D8"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4</w:t>
      </w:r>
      <w:r w:rsidR="009F1F66" w:rsidRPr="00037FB1">
        <w:rPr>
          <w:rFonts w:ascii="Times New Roman" w:hAnsi="Times New Roman"/>
          <w:sz w:val="24"/>
          <w:szCs w:val="24"/>
          <w:lang w:val="sq-AL"/>
        </w:rPr>
        <w:t>7</w:t>
      </w:r>
      <w:r w:rsidR="00227E5B" w:rsidRPr="00037FB1">
        <w:rPr>
          <w:rFonts w:ascii="Times New Roman" w:hAnsi="Times New Roman"/>
          <w:sz w:val="24"/>
          <w:szCs w:val="24"/>
          <w:lang w:val="sq-AL"/>
        </w:rPr>
        <w:t xml:space="preserve">. </w:t>
      </w:r>
      <w:r w:rsidR="007D2B89" w:rsidRPr="00037FB1">
        <w:rPr>
          <w:rFonts w:ascii="Times New Roman" w:hAnsi="Times New Roman"/>
          <w:sz w:val="24"/>
          <w:szCs w:val="24"/>
          <w:lang w:val="sq-AL"/>
        </w:rPr>
        <w:t xml:space="preserve">Qasja </w:t>
      </w:r>
      <w:r w:rsidR="00227E5B" w:rsidRPr="00037FB1">
        <w:rPr>
          <w:rFonts w:ascii="Times New Roman" w:hAnsi="Times New Roman"/>
          <w:sz w:val="24"/>
          <w:szCs w:val="24"/>
          <w:lang w:val="sq-AL"/>
        </w:rPr>
        <w:t xml:space="preserve">që kanë ndjekur autoritetet publike në Shqipëri, </w:t>
      </w:r>
      <w:r w:rsidR="00E2419D" w:rsidRPr="00037FB1">
        <w:rPr>
          <w:rFonts w:ascii="Times New Roman" w:hAnsi="Times New Roman"/>
          <w:sz w:val="24"/>
          <w:szCs w:val="24"/>
          <w:lang w:val="sq-AL"/>
        </w:rPr>
        <w:t xml:space="preserve">në marrjen e masave parandaluese ndaj përhapjes së </w:t>
      </w:r>
      <w:r w:rsidR="00293B82">
        <w:rPr>
          <w:rFonts w:ascii="Times New Roman" w:hAnsi="Times New Roman"/>
          <w:sz w:val="24"/>
          <w:szCs w:val="24"/>
          <w:lang w:val="sq-AL"/>
        </w:rPr>
        <w:t>COVID</w:t>
      </w:r>
      <w:r w:rsidR="00E2419D" w:rsidRPr="00037FB1">
        <w:rPr>
          <w:rFonts w:ascii="Times New Roman" w:hAnsi="Times New Roman"/>
          <w:sz w:val="24"/>
          <w:szCs w:val="24"/>
          <w:lang w:val="sq-AL"/>
        </w:rPr>
        <w:t xml:space="preserve">-19, </w:t>
      </w:r>
      <w:r w:rsidR="00227E5B" w:rsidRPr="00037FB1">
        <w:rPr>
          <w:rFonts w:ascii="Times New Roman" w:hAnsi="Times New Roman"/>
          <w:sz w:val="24"/>
          <w:szCs w:val="24"/>
          <w:lang w:val="sq-AL"/>
        </w:rPr>
        <w:t xml:space="preserve">është që në hartimin e strategjive dhe </w:t>
      </w:r>
      <w:r w:rsidR="00227B7E" w:rsidRPr="00037FB1">
        <w:rPr>
          <w:rFonts w:ascii="Times New Roman" w:hAnsi="Times New Roman"/>
          <w:sz w:val="24"/>
          <w:szCs w:val="24"/>
          <w:lang w:val="sq-AL"/>
        </w:rPr>
        <w:t xml:space="preserve">të </w:t>
      </w:r>
      <w:r w:rsidR="00227E5B" w:rsidRPr="00037FB1">
        <w:rPr>
          <w:rFonts w:ascii="Times New Roman" w:hAnsi="Times New Roman"/>
          <w:sz w:val="24"/>
          <w:szCs w:val="24"/>
          <w:lang w:val="sq-AL"/>
        </w:rPr>
        <w:t>masave të posaçme janë mbështetur në një masë të konsiderueshme në këshillat e ekspertëve, duke ngritur edhe një Komitet Teknik të posaçëm. Nga ana tjetër, kjo qasje</w:t>
      </w:r>
      <w:r w:rsidR="00227B7E" w:rsidRPr="00037FB1">
        <w:rPr>
          <w:rFonts w:ascii="Times New Roman" w:hAnsi="Times New Roman"/>
          <w:sz w:val="24"/>
          <w:szCs w:val="24"/>
          <w:lang w:val="sq-AL"/>
        </w:rPr>
        <w:t>,</w:t>
      </w:r>
      <w:r w:rsidR="00227E5B" w:rsidRPr="00037FB1">
        <w:rPr>
          <w:rFonts w:ascii="Times New Roman" w:hAnsi="Times New Roman"/>
          <w:sz w:val="24"/>
          <w:szCs w:val="24"/>
          <w:lang w:val="sq-AL"/>
        </w:rPr>
        <w:t xml:space="preserve"> e ndërthurur me kërkesën kushtetuese që kufizimet e të drejtave themelore të kufizohen me ligj, rrezikon të zbehë rolin thelbësor të Kuvendit në aspektin e ndarjes dhe balancimit të pushteteve, i cili ka rëndësi jetike për shtetin ligjor dhe demokracinë. Po ashtu, për shkak të rëndësisë së situatës së shkaktuar nga pandemia, edhe pritshmëritë e qytetarëve kërkojnë një përfshirje të Kuvendit në një masë më të lartë në rregullimin ligjor të të drejtave të tyre dhe në monitorimin e situatës. Për të adresuar këtë shqetësim, një praktikë e mirë do të ishte që autoritetet publike t’i justifikonin publikisht aktet nënligjore, duke dhënë detaje </w:t>
      </w:r>
      <w:r w:rsidR="00037FB1" w:rsidRPr="00037FB1">
        <w:rPr>
          <w:rFonts w:ascii="Times New Roman" w:hAnsi="Times New Roman"/>
          <w:sz w:val="24"/>
          <w:szCs w:val="24"/>
          <w:lang w:val="sq-AL"/>
        </w:rPr>
        <w:t>për</w:t>
      </w:r>
      <w:r w:rsidR="00227E5B" w:rsidRPr="00037FB1">
        <w:rPr>
          <w:rFonts w:ascii="Times New Roman" w:hAnsi="Times New Roman"/>
          <w:sz w:val="24"/>
          <w:szCs w:val="24"/>
          <w:lang w:val="sq-AL"/>
        </w:rPr>
        <w:t xml:space="preserve"> shkakun, objektin dhe qëllimin, që në një term të vetëm nënkupton “</w:t>
      </w:r>
      <w:r w:rsidR="00227E5B" w:rsidRPr="00037FB1">
        <w:rPr>
          <w:rFonts w:ascii="Times New Roman" w:hAnsi="Times New Roman"/>
          <w:i/>
          <w:sz w:val="24"/>
          <w:szCs w:val="24"/>
          <w:lang w:val="sq-AL"/>
        </w:rPr>
        <w:t>ratio legis</w:t>
      </w:r>
      <w:r w:rsidR="00227E5B" w:rsidRPr="00037FB1">
        <w:rPr>
          <w:rFonts w:ascii="Times New Roman" w:hAnsi="Times New Roman"/>
          <w:sz w:val="24"/>
          <w:szCs w:val="24"/>
          <w:lang w:val="sq-AL"/>
        </w:rPr>
        <w:t>”, si dhe duke vënë në dispozicion të publiku</w:t>
      </w:r>
      <w:r w:rsidR="00EA56FF" w:rsidRPr="00037FB1">
        <w:rPr>
          <w:rFonts w:ascii="Times New Roman" w:hAnsi="Times New Roman"/>
          <w:sz w:val="24"/>
          <w:szCs w:val="24"/>
          <w:lang w:val="sq-AL"/>
        </w:rPr>
        <w:t>t</w:t>
      </w:r>
      <w:r w:rsidR="00227E5B" w:rsidRPr="00037FB1">
        <w:rPr>
          <w:rFonts w:ascii="Times New Roman" w:hAnsi="Times New Roman"/>
          <w:sz w:val="24"/>
          <w:szCs w:val="24"/>
          <w:lang w:val="sq-AL"/>
        </w:rPr>
        <w:t xml:space="preserve"> informacionin </w:t>
      </w:r>
      <w:r w:rsidR="00EA56FF" w:rsidRPr="00037FB1">
        <w:rPr>
          <w:rFonts w:ascii="Times New Roman" w:hAnsi="Times New Roman"/>
          <w:sz w:val="24"/>
          <w:szCs w:val="24"/>
          <w:lang w:val="sq-AL"/>
        </w:rPr>
        <w:t>e duhur</w:t>
      </w:r>
      <w:r w:rsidR="00227E5B" w:rsidRPr="00037FB1">
        <w:rPr>
          <w:rFonts w:ascii="Times New Roman" w:hAnsi="Times New Roman"/>
          <w:sz w:val="24"/>
          <w:szCs w:val="24"/>
          <w:lang w:val="sq-AL"/>
        </w:rPr>
        <w:t>. Kjo lloj praktike përfshin edhe informacionin se si kufizimet janë në përputhje me kërkesat e parimeve kushtetuese të ligjshmërisë, barazisë dhe proporcionalitetit. Kjo</w:t>
      </w:r>
      <w:r w:rsidR="00037FB1" w:rsidRPr="00037FB1">
        <w:rPr>
          <w:rFonts w:ascii="Times New Roman" w:hAnsi="Times New Roman"/>
          <w:sz w:val="24"/>
          <w:szCs w:val="24"/>
          <w:lang w:val="sq-AL"/>
        </w:rPr>
        <w:t>,</w:t>
      </w:r>
      <w:r w:rsidR="00227E5B" w:rsidRPr="00037FB1">
        <w:rPr>
          <w:rFonts w:ascii="Times New Roman" w:hAnsi="Times New Roman"/>
          <w:sz w:val="24"/>
          <w:szCs w:val="24"/>
          <w:lang w:val="sq-AL"/>
        </w:rPr>
        <w:t xml:space="preserve"> gjithashtu, mund të përfshijë edhe arsyet </w:t>
      </w:r>
      <w:r w:rsidR="00037FB1" w:rsidRPr="00037FB1">
        <w:rPr>
          <w:rFonts w:ascii="Times New Roman" w:hAnsi="Times New Roman"/>
          <w:sz w:val="24"/>
          <w:szCs w:val="24"/>
          <w:lang w:val="sq-AL"/>
        </w:rPr>
        <w:t xml:space="preserve">se </w:t>
      </w:r>
      <w:r w:rsidR="00227E5B" w:rsidRPr="00037FB1">
        <w:rPr>
          <w:rFonts w:ascii="Times New Roman" w:hAnsi="Times New Roman"/>
          <w:sz w:val="24"/>
          <w:szCs w:val="24"/>
          <w:lang w:val="sq-AL"/>
        </w:rPr>
        <w:t>përse disa veprimtari grupohen së bashku</w:t>
      </w:r>
      <w:r w:rsidR="00037FB1" w:rsidRPr="00037FB1">
        <w:rPr>
          <w:rFonts w:ascii="Times New Roman" w:hAnsi="Times New Roman"/>
          <w:sz w:val="24"/>
          <w:szCs w:val="24"/>
          <w:lang w:val="sq-AL"/>
        </w:rPr>
        <w:t>,</w:t>
      </w:r>
      <w:r w:rsidR="00227E5B" w:rsidRPr="00037FB1">
        <w:rPr>
          <w:rFonts w:ascii="Times New Roman" w:hAnsi="Times New Roman"/>
          <w:sz w:val="24"/>
          <w:szCs w:val="24"/>
          <w:lang w:val="sq-AL"/>
        </w:rPr>
        <w:t xml:space="preserve"> ndërsa disa të tjera trajtohen ndryshe. Po ashtu, raportimi periodik përpara legjislativit i autoriteteve publike që marrin këto masa kufizuese është një praktikë tjetër e mirë, që i shërben </w:t>
      </w:r>
      <w:r w:rsidR="00665065" w:rsidRPr="00037FB1">
        <w:rPr>
          <w:rFonts w:ascii="Times New Roman" w:hAnsi="Times New Roman"/>
          <w:sz w:val="24"/>
          <w:szCs w:val="24"/>
          <w:lang w:val="sq-AL"/>
        </w:rPr>
        <w:t>shtetit t</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s</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drejt</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s, n</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t</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cilin </w:t>
      </w:r>
      <w:r w:rsidR="00227E5B" w:rsidRPr="00037FB1">
        <w:rPr>
          <w:rFonts w:ascii="Times New Roman" w:hAnsi="Times New Roman"/>
          <w:sz w:val="24"/>
          <w:szCs w:val="24"/>
          <w:lang w:val="sq-AL"/>
        </w:rPr>
        <w:t>pushteti legjislativ</w:t>
      </w:r>
      <w:r w:rsidR="00037FB1" w:rsidRPr="00037FB1">
        <w:rPr>
          <w:rFonts w:ascii="Times New Roman" w:hAnsi="Times New Roman"/>
          <w:sz w:val="24"/>
          <w:szCs w:val="24"/>
          <w:lang w:val="sq-AL"/>
        </w:rPr>
        <w:t>,</w:t>
      </w:r>
      <w:r w:rsidR="00227E5B" w:rsidRPr="00037FB1">
        <w:rPr>
          <w:rFonts w:ascii="Times New Roman" w:hAnsi="Times New Roman"/>
          <w:sz w:val="24"/>
          <w:szCs w:val="24"/>
          <w:lang w:val="sq-AL"/>
        </w:rPr>
        <w:t xml:space="preserve"> </w:t>
      </w:r>
      <w:r w:rsidR="00665065" w:rsidRPr="00037FB1">
        <w:rPr>
          <w:rFonts w:ascii="Times New Roman" w:hAnsi="Times New Roman"/>
          <w:sz w:val="24"/>
          <w:szCs w:val="24"/>
          <w:lang w:val="sq-AL"/>
        </w:rPr>
        <w:t>nd</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r t</w:t>
      </w:r>
      <w:r w:rsidR="00C4630B" w:rsidRPr="00037FB1">
        <w:rPr>
          <w:rFonts w:ascii="Times New Roman" w:hAnsi="Times New Roman"/>
          <w:sz w:val="24"/>
          <w:szCs w:val="24"/>
          <w:lang w:val="sq-AL"/>
        </w:rPr>
        <w:t>ë</w:t>
      </w:r>
      <w:r w:rsidR="00665065" w:rsidRPr="00037FB1">
        <w:rPr>
          <w:rFonts w:ascii="Times New Roman" w:hAnsi="Times New Roman"/>
          <w:sz w:val="24"/>
          <w:szCs w:val="24"/>
          <w:lang w:val="sq-AL"/>
        </w:rPr>
        <w:t xml:space="preserve"> tjera, kontrollon dhe garanton </w:t>
      </w:r>
      <w:r w:rsidR="00227E5B" w:rsidRPr="00037FB1">
        <w:rPr>
          <w:rFonts w:ascii="Times New Roman" w:hAnsi="Times New Roman"/>
          <w:sz w:val="24"/>
          <w:szCs w:val="24"/>
          <w:lang w:val="sq-AL"/>
        </w:rPr>
        <w:t>përgjegjshmëri</w:t>
      </w:r>
      <w:r w:rsidR="00665065" w:rsidRPr="00037FB1">
        <w:rPr>
          <w:rFonts w:ascii="Times New Roman" w:hAnsi="Times New Roman"/>
          <w:sz w:val="24"/>
          <w:szCs w:val="24"/>
          <w:lang w:val="sq-AL"/>
        </w:rPr>
        <w:t>n</w:t>
      </w:r>
      <w:r w:rsidR="00227E5B" w:rsidRPr="00037FB1">
        <w:rPr>
          <w:rFonts w:ascii="Times New Roman" w:hAnsi="Times New Roman"/>
          <w:sz w:val="24"/>
          <w:szCs w:val="24"/>
          <w:lang w:val="sq-AL"/>
        </w:rPr>
        <w:t xml:space="preserve">ë </w:t>
      </w:r>
      <w:r w:rsidR="00665065" w:rsidRPr="00037FB1">
        <w:rPr>
          <w:rFonts w:ascii="Times New Roman" w:hAnsi="Times New Roman"/>
          <w:sz w:val="24"/>
          <w:szCs w:val="24"/>
          <w:lang w:val="sq-AL"/>
        </w:rPr>
        <w:t>e</w:t>
      </w:r>
      <w:r w:rsidR="00227E5B" w:rsidRPr="00037FB1">
        <w:rPr>
          <w:rFonts w:ascii="Times New Roman" w:hAnsi="Times New Roman"/>
          <w:sz w:val="24"/>
          <w:szCs w:val="24"/>
          <w:lang w:val="sq-AL"/>
        </w:rPr>
        <w:t xml:space="preserve"> organeve të ekzekutivit. </w:t>
      </w:r>
    </w:p>
    <w:p w:rsidR="00AF1599" w:rsidRPr="00037FB1" w:rsidRDefault="008D76D8"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4</w:t>
      </w:r>
      <w:r w:rsidR="009F1F66" w:rsidRPr="00037FB1">
        <w:rPr>
          <w:rFonts w:ascii="Times New Roman" w:hAnsi="Times New Roman"/>
          <w:sz w:val="24"/>
          <w:szCs w:val="24"/>
          <w:lang w:val="sq-AL"/>
        </w:rPr>
        <w:t>8</w:t>
      </w:r>
      <w:r w:rsidR="00076373"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 xml:space="preserve">Në </w:t>
      </w:r>
      <w:r w:rsidR="00E2419D" w:rsidRPr="00037FB1">
        <w:rPr>
          <w:rFonts w:ascii="Times New Roman" w:hAnsi="Times New Roman"/>
          <w:sz w:val="24"/>
          <w:szCs w:val="24"/>
          <w:lang w:val="sq-AL"/>
        </w:rPr>
        <w:t>çështjen në shqyrtim</w:t>
      </w:r>
      <w:r w:rsidR="00367EB7" w:rsidRPr="00037FB1">
        <w:rPr>
          <w:rFonts w:ascii="Times New Roman" w:hAnsi="Times New Roman"/>
          <w:sz w:val="24"/>
          <w:szCs w:val="24"/>
          <w:lang w:val="sq-AL"/>
        </w:rPr>
        <w:t>, akti i kundërshtuar është bazuar në ligjin nr.</w:t>
      </w:r>
      <w:r w:rsidR="005803E7"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15/2016</w:t>
      </w:r>
      <w:r w:rsidR="00037FB1" w:rsidRPr="00037FB1">
        <w:rPr>
          <w:rFonts w:ascii="Times New Roman" w:hAnsi="Times New Roman"/>
          <w:sz w:val="24"/>
          <w:szCs w:val="24"/>
          <w:lang w:val="sq-AL"/>
        </w:rPr>
        <w:t>, datë 10.03.2016 “Për parandalimin dhe luftimin e infeksioneve dhe sëmundjeve infe</w:t>
      </w:r>
      <w:r w:rsidR="00037FB1">
        <w:rPr>
          <w:rFonts w:ascii="Times New Roman" w:hAnsi="Times New Roman"/>
          <w:sz w:val="24"/>
          <w:szCs w:val="24"/>
          <w:lang w:val="sq-AL"/>
        </w:rPr>
        <w:t>k</w:t>
      </w:r>
      <w:r w:rsidR="00037FB1" w:rsidRPr="00037FB1">
        <w:rPr>
          <w:rFonts w:ascii="Times New Roman" w:hAnsi="Times New Roman"/>
          <w:sz w:val="24"/>
          <w:szCs w:val="24"/>
          <w:lang w:val="sq-AL"/>
        </w:rPr>
        <w:t>tive” (</w:t>
      </w:r>
      <w:r w:rsidR="00037FB1" w:rsidRPr="00037FB1">
        <w:rPr>
          <w:rFonts w:ascii="Times New Roman" w:hAnsi="Times New Roman"/>
          <w:i/>
          <w:sz w:val="24"/>
          <w:szCs w:val="24"/>
          <w:lang w:val="sq-AL"/>
        </w:rPr>
        <w:t>ligji nr. 15/2016</w:t>
      </w:r>
      <w:r w:rsidR="00037FB1" w:rsidRPr="00037FB1">
        <w:rPr>
          <w:rFonts w:ascii="Times New Roman" w:hAnsi="Times New Roman"/>
          <w:sz w:val="24"/>
          <w:szCs w:val="24"/>
          <w:lang w:val="sq-AL"/>
        </w:rPr>
        <w:t>)</w:t>
      </w:r>
      <w:r w:rsidR="00646CAD" w:rsidRPr="00037FB1">
        <w:rPr>
          <w:rFonts w:ascii="Times New Roman" w:hAnsi="Times New Roman"/>
          <w:sz w:val="24"/>
          <w:szCs w:val="24"/>
          <w:lang w:val="sq-AL"/>
        </w:rPr>
        <w:t>, neni</w:t>
      </w:r>
      <w:r w:rsidR="00367EB7" w:rsidRPr="00037FB1">
        <w:rPr>
          <w:rFonts w:ascii="Times New Roman" w:hAnsi="Times New Roman"/>
          <w:sz w:val="24"/>
          <w:szCs w:val="24"/>
          <w:lang w:val="sq-AL"/>
        </w:rPr>
        <w:t xml:space="preserve"> 4 i </w:t>
      </w:r>
      <w:r w:rsidR="00646CAD" w:rsidRPr="00037FB1">
        <w:rPr>
          <w:rFonts w:ascii="Times New Roman" w:hAnsi="Times New Roman"/>
          <w:sz w:val="24"/>
          <w:szCs w:val="24"/>
          <w:lang w:val="sq-AL"/>
        </w:rPr>
        <w:t xml:space="preserve">të cilit </w:t>
      </w:r>
      <w:r w:rsidR="00367EB7" w:rsidRPr="00037FB1">
        <w:rPr>
          <w:rFonts w:ascii="Times New Roman" w:hAnsi="Times New Roman"/>
          <w:sz w:val="24"/>
          <w:szCs w:val="24"/>
          <w:lang w:val="sq-AL"/>
        </w:rPr>
        <w:t xml:space="preserve">parashikon parimet për parandalimin dhe </w:t>
      </w:r>
      <w:r w:rsidR="00687598" w:rsidRPr="00037FB1">
        <w:rPr>
          <w:rFonts w:ascii="Times New Roman" w:hAnsi="Times New Roman"/>
          <w:sz w:val="24"/>
          <w:szCs w:val="24"/>
          <w:lang w:val="sq-AL"/>
        </w:rPr>
        <w:t>eli</w:t>
      </w:r>
      <w:r w:rsidR="00905018" w:rsidRPr="00037FB1">
        <w:rPr>
          <w:rFonts w:ascii="Times New Roman" w:hAnsi="Times New Roman"/>
          <w:sz w:val="24"/>
          <w:szCs w:val="24"/>
          <w:lang w:val="sq-AL"/>
        </w:rPr>
        <w:t xml:space="preserve">minimin </w:t>
      </w:r>
      <w:r w:rsidR="00367EB7" w:rsidRPr="00037FB1">
        <w:rPr>
          <w:rFonts w:ascii="Times New Roman" w:hAnsi="Times New Roman"/>
          <w:sz w:val="24"/>
          <w:szCs w:val="24"/>
          <w:lang w:val="sq-AL"/>
        </w:rPr>
        <w:t>e infeksioneve dhe sëmundjeve infektive</w:t>
      </w:r>
      <w:r w:rsidR="00894967" w:rsidRPr="00037FB1">
        <w:rPr>
          <w:rFonts w:ascii="Times New Roman" w:hAnsi="Times New Roman"/>
          <w:sz w:val="24"/>
          <w:szCs w:val="24"/>
          <w:lang w:val="sq-AL"/>
        </w:rPr>
        <w:t>.</w:t>
      </w:r>
      <w:r w:rsidR="009144FC" w:rsidRPr="00037FB1">
        <w:rPr>
          <w:rFonts w:ascii="Times New Roman" w:hAnsi="Times New Roman"/>
          <w:sz w:val="24"/>
          <w:szCs w:val="24"/>
          <w:lang w:val="sq-AL"/>
        </w:rPr>
        <w:t xml:space="preserve"> N</w:t>
      </w:r>
      <w:r w:rsidR="00367EB7" w:rsidRPr="00037FB1">
        <w:rPr>
          <w:rFonts w:ascii="Times New Roman" w:hAnsi="Times New Roman"/>
          <w:sz w:val="24"/>
          <w:szCs w:val="24"/>
          <w:lang w:val="sq-AL"/>
        </w:rPr>
        <w:t>dërsa neni 7</w:t>
      </w:r>
      <w:r w:rsidR="00807133" w:rsidRPr="00037FB1">
        <w:rPr>
          <w:rFonts w:ascii="Times New Roman" w:hAnsi="Times New Roman"/>
          <w:sz w:val="24"/>
          <w:szCs w:val="24"/>
          <w:lang w:val="sq-AL"/>
        </w:rPr>
        <w:t xml:space="preserve"> i po të njëjtit ligj autorizon</w:t>
      </w:r>
      <w:r w:rsidR="00367EB7" w:rsidRPr="00037FB1">
        <w:rPr>
          <w:rFonts w:ascii="Times New Roman" w:hAnsi="Times New Roman"/>
          <w:sz w:val="24"/>
          <w:szCs w:val="24"/>
          <w:lang w:val="sq-AL"/>
        </w:rPr>
        <w:t xml:space="preserve"> </w:t>
      </w:r>
      <w:r w:rsidR="00037FB1">
        <w:rPr>
          <w:rFonts w:ascii="Times New Roman" w:hAnsi="Times New Roman"/>
          <w:sz w:val="24"/>
          <w:szCs w:val="24"/>
          <w:lang w:val="sq-AL"/>
        </w:rPr>
        <w:t>m</w:t>
      </w:r>
      <w:r w:rsidR="00367EB7" w:rsidRPr="00037FB1">
        <w:rPr>
          <w:rFonts w:ascii="Times New Roman" w:hAnsi="Times New Roman"/>
          <w:sz w:val="24"/>
          <w:szCs w:val="24"/>
          <w:lang w:val="sq-AL"/>
        </w:rPr>
        <w:t>inistrin përgjegjës për shëndetësinë të miratojë me urdhër masa të veçanta për të mbrojtur pop</w:t>
      </w:r>
      <w:r w:rsidR="00807133" w:rsidRPr="00037FB1">
        <w:rPr>
          <w:rFonts w:ascii="Times New Roman" w:hAnsi="Times New Roman"/>
          <w:sz w:val="24"/>
          <w:szCs w:val="24"/>
          <w:lang w:val="sq-AL"/>
        </w:rPr>
        <w:t>ullatën nga sëmundjet infektive</w:t>
      </w:r>
      <w:r w:rsidR="00367EB7" w:rsidRPr="00037FB1">
        <w:rPr>
          <w:rFonts w:ascii="Times New Roman" w:hAnsi="Times New Roman"/>
          <w:sz w:val="24"/>
          <w:szCs w:val="24"/>
          <w:lang w:val="sq-AL"/>
        </w:rPr>
        <w:t xml:space="preserve"> që kanë impakt të madh në shëndetin e saj.  Konkretisht</w:t>
      </w:r>
      <w:r w:rsidR="00807133" w:rsidRPr="00037FB1">
        <w:rPr>
          <w:rFonts w:ascii="Times New Roman" w:hAnsi="Times New Roman"/>
          <w:sz w:val="24"/>
          <w:szCs w:val="24"/>
          <w:lang w:val="sq-AL"/>
        </w:rPr>
        <w:t>,</w:t>
      </w:r>
      <w:r w:rsidR="00367EB7" w:rsidRPr="00037FB1">
        <w:rPr>
          <w:rFonts w:ascii="Times New Roman" w:hAnsi="Times New Roman"/>
          <w:sz w:val="24"/>
          <w:szCs w:val="24"/>
          <w:lang w:val="sq-AL"/>
        </w:rPr>
        <w:t xml:space="preserve"> në këto masa përfshihen edhe: kufizimi ose ndalimi i udhëtimeve në vendin ku është përhapur epidemia nga këto sëmundje; kufizimi ose ndalimi i qarkullimit në rajonet e infektuara ose të rrezikuara; </w:t>
      </w:r>
      <w:r w:rsidR="00367EB7" w:rsidRPr="00037FB1">
        <w:rPr>
          <w:rFonts w:ascii="Times New Roman" w:hAnsi="Times New Roman"/>
          <w:i/>
          <w:sz w:val="24"/>
          <w:szCs w:val="24"/>
          <w:lang w:val="sq-AL"/>
        </w:rPr>
        <w:t>mbyllja e aktiviteteve jopublike apo publike</w:t>
      </w:r>
      <w:r w:rsidR="00367EB7" w:rsidRPr="00037FB1">
        <w:rPr>
          <w:rFonts w:ascii="Times New Roman" w:hAnsi="Times New Roman"/>
          <w:sz w:val="24"/>
          <w:szCs w:val="24"/>
          <w:lang w:val="sq-AL"/>
        </w:rPr>
        <w:t xml:space="preserve">; </w:t>
      </w:r>
      <w:r w:rsidR="00367EB7" w:rsidRPr="00037FB1">
        <w:rPr>
          <w:rFonts w:ascii="Times New Roman" w:hAnsi="Times New Roman"/>
          <w:i/>
          <w:sz w:val="24"/>
          <w:szCs w:val="24"/>
          <w:lang w:val="sq-AL"/>
        </w:rPr>
        <w:t>anulimi i grumbullimeve masive në vende të mbyllura apo të hapura</w:t>
      </w:r>
      <w:r w:rsidR="00367EB7" w:rsidRPr="00037FB1">
        <w:rPr>
          <w:rFonts w:ascii="Times New Roman" w:hAnsi="Times New Roman"/>
          <w:sz w:val="24"/>
          <w:szCs w:val="24"/>
          <w:lang w:val="sq-AL"/>
        </w:rPr>
        <w:t>; kufi</w:t>
      </w:r>
      <w:r w:rsidR="000A3B3D" w:rsidRPr="00037FB1">
        <w:rPr>
          <w:rFonts w:ascii="Times New Roman" w:hAnsi="Times New Roman"/>
          <w:sz w:val="24"/>
          <w:szCs w:val="24"/>
          <w:lang w:val="sq-AL"/>
        </w:rPr>
        <w:t xml:space="preserve">zimi i lëvizjeve brenda vendit. </w:t>
      </w:r>
    </w:p>
    <w:p w:rsidR="00AF1599" w:rsidRPr="00037FB1" w:rsidRDefault="008D76D8"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4</w:t>
      </w:r>
      <w:r w:rsidR="009F1F66" w:rsidRPr="00037FB1">
        <w:rPr>
          <w:rFonts w:ascii="Times New Roman" w:hAnsi="Times New Roman"/>
          <w:sz w:val="24"/>
          <w:szCs w:val="24"/>
          <w:lang w:val="sq-AL"/>
        </w:rPr>
        <w:t>9</w:t>
      </w:r>
      <w:r w:rsidR="00AF1599" w:rsidRPr="00037FB1">
        <w:rPr>
          <w:rFonts w:ascii="Times New Roman" w:hAnsi="Times New Roman"/>
          <w:sz w:val="24"/>
          <w:szCs w:val="24"/>
          <w:lang w:val="sq-AL"/>
        </w:rPr>
        <w:t xml:space="preserve">. </w:t>
      </w:r>
      <w:r w:rsidR="00B6075F" w:rsidRPr="00037FB1">
        <w:rPr>
          <w:rFonts w:ascii="Times New Roman" w:hAnsi="Times New Roman"/>
          <w:sz w:val="24"/>
          <w:szCs w:val="24"/>
          <w:lang w:val="sq-AL"/>
        </w:rPr>
        <w:t xml:space="preserve">Nga ana tjetër, edhe ligji </w:t>
      </w:r>
      <w:r w:rsidR="00A516BC" w:rsidRPr="00037FB1">
        <w:rPr>
          <w:rFonts w:ascii="Times New Roman" w:hAnsi="Times New Roman"/>
          <w:sz w:val="24"/>
          <w:szCs w:val="24"/>
          <w:lang w:val="sq-AL"/>
        </w:rPr>
        <w:t>nr. 8773/2001</w:t>
      </w:r>
      <w:r w:rsidR="0075239A" w:rsidRPr="00037FB1">
        <w:rPr>
          <w:rFonts w:ascii="Times New Roman" w:hAnsi="Times New Roman"/>
          <w:sz w:val="24"/>
          <w:szCs w:val="24"/>
          <w:lang w:val="sq-AL"/>
        </w:rPr>
        <w:t>,</w:t>
      </w:r>
      <w:r w:rsidR="000A4E03" w:rsidRPr="00037FB1">
        <w:rPr>
          <w:rFonts w:ascii="Times New Roman" w:hAnsi="Times New Roman"/>
          <w:sz w:val="24"/>
          <w:szCs w:val="24"/>
          <w:lang w:val="sq-AL"/>
        </w:rPr>
        <w:t xml:space="preserve"> në nenet 1, pika 2</w:t>
      </w:r>
      <w:r w:rsidR="00807133" w:rsidRPr="00037FB1">
        <w:rPr>
          <w:rFonts w:ascii="Times New Roman" w:hAnsi="Times New Roman"/>
          <w:sz w:val="24"/>
          <w:szCs w:val="24"/>
          <w:lang w:val="sq-AL"/>
        </w:rPr>
        <w:t>,</w:t>
      </w:r>
      <w:r w:rsidR="00037FB1">
        <w:rPr>
          <w:rFonts w:ascii="Times New Roman" w:hAnsi="Times New Roman"/>
          <w:sz w:val="24"/>
          <w:szCs w:val="24"/>
          <w:lang w:val="sq-AL"/>
        </w:rPr>
        <w:t xml:space="preserve"> 16, 17 dhe</w:t>
      </w:r>
      <w:r w:rsidR="000A4E03" w:rsidRPr="00037FB1">
        <w:rPr>
          <w:rFonts w:ascii="Times New Roman" w:hAnsi="Times New Roman"/>
          <w:sz w:val="24"/>
          <w:szCs w:val="24"/>
          <w:lang w:val="sq-AL"/>
        </w:rPr>
        <w:t xml:space="preserve"> 18 të tij</w:t>
      </w:r>
      <w:r w:rsidR="00A516BC" w:rsidRPr="00037FB1">
        <w:rPr>
          <w:rFonts w:ascii="Times New Roman" w:hAnsi="Times New Roman"/>
          <w:sz w:val="24"/>
          <w:szCs w:val="24"/>
          <w:lang w:val="sq-AL"/>
        </w:rPr>
        <w:t xml:space="preserve"> parashikon se e drejta e tubimit </w:t>
      </w:r>
      <w:r w:rsidR="000A4E03" w:rsidRPr="00037FB1">
        <w:rPr>
          <w:rFonts w:ascii="Times New Roman" w:hAnsi="Times New Roman"/>
          <w:sz w:val="24"/>
          <w:szCs w:val="24"/>
          <w:lang w:val="sq-AL"/>
        </w:rPr>
        <w:t>kufizohet</w:t>
      </w:r>
      <w:r w:rsidR="00A516BC" w:rsidRPr="00037FB1">
        <w:rPr>
          <w:rFonts w:ascii="Times New Roman" w:hAnsi="Times New Roman"/>
          <w:sz w:val="24"/>
          <w:szCs w:val="24"/>
          <w:lang w:val="sq-AL"/>
        </w:rPr>
        <w:t xml:space="preserve"> në rast se rrezikohet, </w:t>
      </w:r>
      <w:r w:rsidR="00A516BC" w:rsidRPr="00037FB1">
        <w:rPr>
          <w:rFonts w:ascii="Times New Roman" w:hAnsi="Times New Roman"/>
          <w:i/>
          <w:sz w:val="24"/>
          <w:szCs w:val="24"/>
          <w:lang w:val="sq-AL"/>
        </w:rPr>
        <w:t xml:space="preserve">inter alia, </w:t>
      </w:r>
      <w:r w:rsidR="00A516BC" w:rsidRPr="00037FB1">
        <w:rPr>
          <w:rFonts w:ascii="Times New Roman" w:hAnsi="Times New Roman"/>
          <w:sz w:val="24"/>
          <w:szCs w:val="24"/>
          <w:lang w:val="sq-AL"/>
        </w:rPr>
        <w:t>ruajtja e shëndetit ose mbrojtja e të drejtave dhe e lirive të të tjerëve.</w:t>
      </w:r>
      <w:r w:rsidR="006B1419" w:rsidRPr="00037FB1">
        <w:rPr>
          <w:rFonts w:ascii="Times New Roman" w:hAnsi="Times New Roman"/>
          <w:sz w:val="24"/>
          <w:szCs w:val="24"/>
          <w:lang w:val="sq-AL"/>
        </w:rPr>
        <w:t xml:space="preserve"> </w:t>
      </w:r>
    </w:p>
    <w:p w:rsidR="00AF1599" w:rsidRPr="00037FB1" w:rsidRDefault="009F1F66" w:rsidP="0037360A">
      <w:pPr>
        <w:tabs>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50</w:t>
      </w:r>
      <w:r w:rsidR="00AF1599"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 xml:space="preserve">Për sa më sipër, Gjykata </w:t>
      </w:r>
      <w:r w:rsidR="00262FDF" w:rsidRPr="00037FB1">
        <w:rPr>
          <w:rFonts w:ascii="Times New Roman" w:hAnsi="Times New Roman"/>
          <w:sz w:val="24"/>
          <w:szCs w:val="24"/>
          <w:lang w:val="sq-AL"/>
        </w:rPr>
        <w:t xml:space="preserve">çmon </w:t>
      </w:r>
      <w:r w:rsidR="00367EB7" w:rsidRPr="00037FB1">
        <w:rPr>
          <w:rFonts w:ascii="Times New Roman" w:hAnsi="Times New Roman"/>
          <w:sz w:val="24"/>
          <w:szCs w:val="24"/>
          <w:lang w:val="sq-AL"/>
        </w:rPr>
        <w:t xml:space="preserve">se </w:t>
      </w:r>
      <w:r w:rsidR="00262FDF" w:rsidRPr="00037FB1">
        <w:rPr>
          <w:rFonts w:ascii="Times New Roman" w:hAnsi="Times New Roman"/>
          <w:sz w:val="24"/>
          <w:szCs w:val="24"/>
          <w:lang w:val="sq-AL"/>
        </w:rPr>
        <w:t>n</w:t>
      </w:r>
      <w:r w:rsidR="00367EB7" w:rsidRPr="00037FB1">
        <w:rPr>
          <w:rFonts w:ascii="Times New Roman" w:hAnsi="Times New Roman"/>
          <w:sz w:val="24"/>
          <w:szCs w:val="24"/>
          <w:lang w:val="sq-AL"/>
        </w:rPr>
        <w:t xml:space="preserve">ë kuadrin e masave </w:t>
      </w:r>
      <w:r w:rsidR="00262FDF" w:rsidRPr="00037FB1">
        <w:rPr>
          <w:rFonts w:ascii="Times New Roman" w:hAnsi="Times New Roman"/>
          <w:sz w:val="24"/>
          <w:szCs w:val="24"/>
          <w:lang w:val="sq-AL"/>
        </w:rPr>
        <w:t>t</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veçanta </w:t>
      </w:r>
      <w:r w:rsidR="00367EB7" w:rsidRPr="00037FB1">
        <w:rPr>
          <w:rFonts w:ascii="Times New Roman" w:hAnsi="Times New Roman"/>
          <w:sz w:val="24"/>
          <w:szCs w:val="24"/>
          <w:lang w:val="sq-AL"/>
        </w:rPr>
        <w:t>që merren për të mbrojtur popullatën nga sëmundjet infektive</w:t>
      </w:r>
      <w:r w:rsidR="007847EB" w:rsidRPr="00037FB1">
        <w:rPr>
          <w:rFonts w:ascii="Times New Roman" w:hAnsi="Times New Roman"/>
          <w:sz w:val="24"/>
          <w:szCs w:val="24"/>
          <w:lang w:val="sq-AL"/>
        </w:rPr>
        <w:t xml:space="preserve">, </w:t>
      </w:r>
      <w:r w:rsidR="00262FDF" w:rsidRPr="00037FB1">
        <w:rPr>
          <w:rFonts w:ascii="Times New Roman" w:hAnsi="Times New Roman"/>
          <w:sz w:val="24"/>
          <w:szCs w:val="24"/>
          <w:lang w:val="sq-AL"/>
        </w:rPr>
        <w:t>me impakt t</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madh, </w:t>
      </w:r>
      <w:r w:rsidR="007847EB" w:rsidRPr="00037FB1">
        <w:rPr>
          <w:rFonts w:ascii="Times New Roman" w:hAnsi="Times New Roman"/>
          <w:sz w:val="24"/>
          <w:szCs w:val="24"/>
          <w:lang w:val="sq-AL"/>
        </w:rPr>
        <w:t xml:space="preserve">kufizimi i </w:t>
      </w:r>
      <w:r w:rsidR="00037FB1">
        <w:rPr>
          <w:rFonts w:ascii="Times New Roman" w:hAnsi="Times New Roman"/>
          <w:sz w:val="24"/>
          <w:szCs w:val="24"/>
          <w:lang w:val="sq-AL"/>
        </w:rPr>
        <w:t>s</w:t>
      </w:r>
      <w:r w:rsidR="007847EB" w:rsidRPr="00037FB1">
        <w:rPr>
          <w:rFonts w:ascii="Times New Roman" w:hAnsi="Times New Roman"/>
          <w:sz w:val="24"/>
          <w:szCs w:val="24"/>
          <w:lang w:val="sq-AL"/>
        </w:rPr>
        <w:t xml:space="preserve">ë drejtës </w:t>
      </w:r>
      <w:r w:rsidR="00037FB1">
        <w:rPr>
          <w:rFonts w:ascii="Times New Roman" w:hAnsi="Times New Roman"/>
          <w:sz w:val="24"/>
          <w:szCs w:val="24"/>
          <w:lang w:val="sq-AL"/>
        </w:rPr>
        <w:t>s</w:t>
      </w:r>
      <w:r w:rsidR="007847EB" w:rsidRPr="00037FB1">
        <w:rPr>
          <w:rFonts w:ascii="Times New Roman" w:hAnsi="Times New Roman"/>
          <w:sz w:val="24"/>
          <w:szCs w:val="24"/>
          <w:lang w:val="sq-AL"/>
        </w:rPr>
        <w:t>ë tubimit, i lidhur me lirinë</w:t>
      </w:r>
      <w:r w:rsidR="00037FB1">
        <w:rPr>
          <w:rFonts w:ascii="Times New Roman" w:hAnsi="Times New Roman"/>
          <w:sz w:val="24"/>
          <w:szCs w:val="24"/>
          <w:lang w:val="sq-AL"/>
        </w:rPr>
        <w:t xml:space="preserve"> e shprehjes, në rastin konkret</w:t>
      </w:r>
      <w:r w:rsidR="007847EB" w:rsidRPr="00037FB1">
        <w:rPr>
          <w:rFonts w:ascii="Times New Roman" w:hAnsi="Times New Roman"/>
          <w:sz w:val="24"/>
          <w:szCs w:val="24"/>
          <w:lang w:val="sq-AL"/>
        </w:rPr>
        <w:t xml:space="preserve"> është i parashikuar në </w:t>
      </w:r>
      <w:r w:rsidR="00262FDF" w:rsidRPr="00037FB1">
        <w:rPr>
          <w:rFonts w:ascii="Times New Roman" w:hAnsi="Times New Roman"/>
          <w:sz w:val="24"/>
          <w:szCs w:val="24"/>
          <w:lang w:val="sq-AL"/>
        </w:rPr>
        <w:t>nenin 7 t</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w:t>
      </w:r>
      <w:r w:rsidR="007847EB" w:rsidRPr="00037FB1">
        <w:rPr>
          <w:rFonts w:ascii="Times New Roman" w:hAnsi="Times New Roman"/>
          <w:sz w:val="24"/>
          <w:szCs w:val="24"/>
          <w:lang w:val="sq-AL"/>
        </w:rPr>
        <w:t>ligj</w:t>
      </w:r>
      <w:r w:rsidR="00262FDF" w:rsidRPr="00037FB1">
        <w:rPr>
          <w:rFonts w:ascii="Times New Roman" w:hAnsi="Times New Roman"/>
          <w:sz w:val="24"/>
          <w:szCs w:val="24"/>
          <w:lang w:val="sq-AL"/>
        </w:rPr>
        <w:t>it nr. 15/2016, n</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form</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n e anulimit t</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grumbullimeve masive n</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vende t</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mbyllura apo t</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hapura</w:t>
      </w:r>
      <w:r w:rsidR="00367EB7" w:rsidRPr="00037FB1">
        <w:rPr>
          <w:rFonts w:ascii="Times New Roman" w:hAnsi="Times New Roman"/>
          <w:sz w:val="24"/>
          <w:szCs w:val="24"/>
          <w:lang w:val="sq-AL"/>
        </w:rPr>
        <w:t xml:space="preserve">. </w:t>
      </w:r>
      <w:r w:rsidR="008C3E24" w:rsidRPr="00037FB1">
        <w:rPr>
          <w:rFonts w:ascii="Times New Roman" w:hAnsi="Times New Roman"/>
          <w:sz w:val="24"/>
          <w:szCs w:val="24"/>
          <w:lang w:val="sq-AL"/>
        </w:rPr>
        <w:t xml:space="preserve">Urdhri </w:t>
      </w:r>
      <w:r w:rsidR="00262FDF" w:rsidRPr="00037FB1">
        <w:rPr>
          <w:rFonts w:ascii="Times New Roman" w:hAnsi="Times New Roman"/>
          <w:sz w:val="24"/>
          <w:szCs w:val="24"/>
          <w:lang w:val="sq-AL"/>
        </w:rPr>
        <w:t xml:space="preserve">nr. 633/2020 </w:t>
      </w:r>
      <w:r w:rsidR="008C3E24" w:rsidRPr="00037FB1">
        <w:rPr>
          <w:rFonts w:ascii="Times New Roman" w:hAnsi="Times New Roman"/>
          <w:sz w:val="24"/>
          <w:szCs w:val="24"/>
          <w:lang w:val="sq-AL"/>
        </w:rPr>
        <w:t xml:space="preserve">ka dalë për të bërë të zbatueshëm </w:t>
      </w:r>
      <w:r w:rsidR="00262FDF" w:rsidRPr="00037FB1">
        <w:rPr>
          <w:rFonts w:ascii="Times New Roman" w:hAnsi="Times New Roman"/>
          <w:sz w:val="24"/>
          <w:szCs w:val="24"/>
          <w:lang w:val="sq-AL"/>
        </w:rPr>
        <w:t>k</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t</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dispozit</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w:t>
      </w:r>
      <w:r w:rsidR="008C3E24" w:rsidRPr="00037FB1">
        <w:rPr>
          <w:rFonts w:ascii="Times New Roman" w:hAnsi="Times New Roman"/>
          <w:sz w:val="24"/>
          <w:szCs w:val="24"/>
          <w:lang w:val="sq-AL"/>
        </w:rPr>
        <w:t>ligj</w:t>
      </w:r>
      <w:r w:rsidR="00262FDF" w:rsidRPr="00037FB1">
        <w:rPr>
          <w:rFonts w:ascii="Times New Roman" w:hAnsi="Times New Roman"/>
          <w:sz w:val="24"/>
          <w:szCs w:val="24"/>
          <w:lang w:val="sq-AL"/>
        </w:rPr>
        <w:t xml:space="preserve">ore </w:t>
      </w:r>
      <w:r w:rsidR="008C3E24" w:rsidRPr="00037FB1">
        <w:rPr>
          <w:rFonts w:ascii="Times New Roman" w:hAnsi="Times New Roman"/>
          <w:sz w:val="24"/>
          <w:szCs w:val="24"/>
          <w:lang w:val="sq-AL"/>
        </w:rPr>
        <w:t>dhe</w:t>
      </w:r>
      <w:r w:rsidR="00037FB1">
        <w:rPr>
          <w:rFonts w:ascii="Times New Roman" w:hAnsi="Times New Roman"/>
          <w:sz w:val="24"/>
          <w:szCs w:val="24"/>
          <w:lang w:val="sq-AL"/>
        </w:rPr>
        <w:t>,</w:t>
      </w:r>
      <w:r w:rsidR="00262FDF" w:rsidRPr="00037FB1">
        <w:rPr>
          <w:rFonts w:ascii="Times New Roman" w:hAnsi="Times New Roman"/>
          <w:sz w:val="24"/>
          <w:szCs w:val="24"/>
          <w:lang w:val="sq-AL"/>
        </w:rPr>
        <w:t xml:space="preserve"> p</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r rrjedhoj</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w:t>
      </w:r>
      <w:r w:rsidR="008C3E24" w:rsidRPr="00037FB1">
        <w:rPr>
          <w:rFonts w:ascii="Times New Roman" w:hAnsi="Times New Roman"/>
          <w:sz w:val="24"/>
          <w:szCs w:val="24"/>
          <w:lang w:val="sq-AL"/>
        </w:rPr>
        <w:t xml:space="preserve">Gjykata </w:t>
      </w:r>
      <w:r w:rsidR="00262FDF" w:rsidRPr="00037FB1">
        <w:rPr>
          <w:rFonts w:ascii="Times New Roman" w:hAnsi="Times New Roman"/>
          <w:sz w:val="24"/>
          <w:szCs w:val="24"/>
          <w:lang w:val="sq-AL"/>
        </w:rPr>
        <w:t>vler</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son se</w:t>
      </w:r>
      <w:r w:rsidR="008C3E24" w:rsidRPr="00037FB1">
        <w:rPr>
          <w:rFonts w:ascii="Times New Roman" w:hAnsi="Times New Roman"/>
          <w:sz w:val="24"/>
          <w:szCs w:val="24"/>
          <w:lang w:val="sq-AL"/>
        </w:rPr>
        <w:t xml:space="preserve"> nuk ka shkelje të kriterit të kufizimit “me ligj”</w:t>
      </w:r>
      <w:r w:rsidR="00037FB1">
        <w:rPr>
          <w:rFonts w:ascii="Times New Roman" w:hAnsi="Times New Roman"/>
          <w:sz w:val="24"/>
          <w:szCs w:val="24"/>
          <w:lang w:val="sq-AL"/>
        </w:rPr>
        <w:t>,</w:t>
      </w:r>
      <w:r w:rsidR="008C3E24" w:rsidRPr="00037FB1">
        <w:rPr>
          <w:rFonts w:ascii="Times New Roman" w:hAnsi="Times New Roman"/>
          <w:sz w:val="24"/>
          <w:szCs w:val="24"/>
          <w:lang w:val="sq-AL"/>
        </w:rPr>
        <w:t xml:space="preserve"> sipas nenit 17 të Kushtetutës. </w:t>
      </w:r>
    </w:p>
    <w:p w:rsidR="007E2B69" w:rsidRPr="00037FB1" w:rsidRDefault="007E2B69" w:rsidP="0037360A">
      <w:pPr>
        <w:tabs>
          <w:tab w:val="left" w:pos="1080"/>
        </w:tabs>
        <w:spacing w:after="0" w:line="360" w:lineRule="auto"/>
        <w:ind w:firstLine="720"/>
        <w:jc w:val="both"/>
        <w:rPr>
          <w:rFonts w:ascii="Times New Roman" w:hAnsi="Times New Roman"/>
          <w:sz w:val="24"/>
          <w:szCs w:val="24"/>
          <w:lang w:val="sq-AL"/>
        </w:rPr>
      </w:pPr>
    </w:p>
    <w:p w:rsidR="00367EB7" w:rsidRPr="00037FB1" w:rsidRDefault="00A92535" w:rsidP="0037360A">
      <w:pPr>
        <w:tabs>
          <w:tab w:val="left" w:pos="1080"/>
        </w:tabs>
        <w:spacing w:after="0" w:line="360" w:lineRule="auto"/>
        <w:ind w:firstLine="720"/>
        <w:jc w:val="both"/>
        <w:rPr>
          <w:rFonts w:ascii="Times New Roman" w:hAnsi="Times New Roman"/>
          <w:i/>
          <w:sz w:val="24"/>
          <w:szCs w:val="24"/>
          <w:lang w:val="sq-AL"/>
        </w:rPr>
      </w:pPr>
      <w:r w:rsidRPr="00037FB1">
        <w:rPr>
          <w:rFonts w:ascii="Times New Roman" w:hAnsi="Times New Roman"/>
          <w:i/>
          <w:sz w:val="24"/>
          <w:szCs w:val="24"/>
          <w:lang w:val="sq-AL"/>
        </w:rPr>
        <w:t>C</w:t>
      </w:r>
      <w:r w:rsidR="00367EB7" w:rsidRPr="00037FB1">
        <w:rPr>
          <w:rFonts w:ascii="Times New Roman" w:hAnsi="Times New Roman"/>
          <w:i/>
          <w:sz w:val="24"/>
          <w:szCs w:val="24"/>
          <w:lang w:val="sq-AL"/>
        </w:rPr>
        <w:t>.2.</w:t>
      </w:r>
      <w:r w:rsidRPr="00037FB1">
        <w:rPr>
          <w:rFonts w:ascii="Times New Roman" w:hAnsi="Times New Roman"/>
          <w:i/>
          <w:sz w:val="24"/>
          <w:szCs w:val="24"/>
          <w:lang w:val="sq-AL"/>
        </w:rPr>
        <w:t>2.</w:t>
      </w:r>
      <w:r w:rsidR="00367EB7" w:rsidRPr="00037FB1">
        <w:rPr>
          <w:rFonts w:ascii="Times New Roman" w:hAnsi="Times New Roman"/>
          <w:i/>
          <w:sz w:val="24"/>
          <w:szCs w:val="24"/>
          <w:lang w:val="sq-AL"/>
        </w:rPr>
        <w:t xml:space="preserve"> </w:t>
      </w:r>
      <w:r w:rsidR="00037FB1">
        <w:rPr>
          <w:rFonts w:ascii="Times New Roman" w:hAnsi="Times New Roman"/>
          <w:i/>
          <w:sz w:val="24"/>
          <w:szCs w:val="24"/>
          <w:lang w:val="sq-AL"/>
        </w:rPr>
        <w:t>P</w:t>
      </w:r>
      <w:r w:rsidR="00C91C68" w:rsidRPr="00037FB1">
        <w:rPr>
          <w:rFonts w:ascii="Times New Roman" w:hAnsi="Times New Roman"/>
          <w:i/>
          <w:sz w:val="24"/>
          <w:szCs w:val="24"/>
          <w:lang w:val="sq-AL"/>
        </w:rPr>
        <w:t>ë</w:t>
      </w:r>
      <w:r w:rsidR="00037FB1">
        <w:rPr>
          <w:rFonts w:ascii="Times New Roman" w:hAnsi="Times New Roman"/>
          <w:i/>
          <w:sz w:val="24"/>
          <w:szCs w:val="24"/>
          <w:lang w:val="sq-AL"/>
        </w:rPr>
        <w:t xml:space="preserve">r </w:t>
      </w:r>
      <w:r w:rsidR="00C91C68" w:rsidRPr="00037FB1">
        <w:rPr>
          <w:rFonts w:ascii="Times New Roman" w:hAnsi="Times New Roman"/>
          <w:i/>
          <w:sz w:val="24"/>
          <w:szCs w:val="24"/>
          <w:lang w:val="sq-AL"/>
        </w:rPr>
        <w:t>kriterin e interesit publik</w:t>
      </w:r>
      <w:r w:rsidR="00367EB7" w:rsidRPr="00037FB1">
        <w:rPr>
          <w:rFonts w:ascii="Times New Roman" w:hAnsi="Times New Roman"/>
          <w:i/>
          <w:sz w:val="24"/>
          <w:szCs w:val="24"/>
          <w:lang w:val="sq-AL"/>
        </w:rPr>
        <w:t xml:space="preserve"> </w:t>
      </w:r>
    </w:p>
    <w:p w:rsidR="00817310" w:rsidRPr="00037FB1" w:rsidRDefault="009F1F66" w:rsidP="0037360A">
      <w:pPr>
        <w:tabs>
          <w:tab w:val="left" w:pos="0"/>
          <w:tab w:val="left" w:pos="142"/>
          <w:tab w:val="left" w:pos="851"/>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51</w:t>
      </w:r>
      <w:r w:rsidR="008D76D8" w:rsidRPr="00037FB1">
        <w:rPr>
          <w:rFonts w:ascii="Times New Roman" w:hAnsi="Times New Roman"/>
          <w:sz w:val="24"/>
          <w:szCs w:val="24"/>
          <w:lang w:val="sq-AL"/>
        </w:rPr>
        <w:t xml:space="preserve">. </w:t>
      </w:r>
      <w:r w:rsidR="008F7B3A" w:rsidRPr="00037FB1">
        <w:rPr>
          <w:rFonts w:ascii="Times New Roman" w:hAnsi="Times New Roman"/>
          <w:sz w:val="24"/>
          <w:szCs w:val="24"/>
          <w:lang w:val="sq-AL"/>
        </w:rPr>
        <w:t>Kriteri i dytë në radhë për t’u vlerësuar p</w:t>
      </w:r>
      <w:r w:rsidR="008E76A8" w:rsidRPr="00037FB1">
        <w:rPr>
          <w:rFonts w:ascii="Times New Roman" w:hAnsi="Times New Roman"/>
          <w:sz w:val="24"/>
          <w:szCs w:val="24"/>
          <w:lang w:val="sq-AL"/>
        </w:rPr>
        <w:t>ë</w:t>
      </w:r>
      <w:r w:rsidR="008F7B3A" w:rsidRPr="00037FB1">
        <w:rPr>
          <w:rFonts w:ascii="Times New Roman" w:hAnsi="Times New Roman"/>
          <w:sz w:val="24"/>
          <w:szCs w:val="24"/>
          <w:lang w:val="sq-AL"/>
        </w:rPr>
        <w:t>r kufizimin e t</w:t>
      </w:r>
      <w:r w:rsidR="008E76A8" w:rsidRPr="00037FB1">
        <w:rPr>
          <w:rFonts w:ascii="Times New Roman" w:hAnsi="Times New Roman"/>
          <w:sz w:val="24"/>
          <w:szCs w:val="24"/>
          <w:lang w:val="sq-AL"/>
        </w:rPr>
        <w:t>ë</w:t>
      </w:r>
      <w:r w:rsidR="008F7B3A" w:rsidRPr="00037FB1">
        <w:rPr>
          <w:rFonts w:ascii="Times New Roman" w:hAnsi="Times New Roman"/>
          <w:sz w:val="24"/>
          <w:szCs w:val="24"/>
          <w:lang w:val="sq-AL"/>
        </w:rPr>
        <w:t xml:space="preserve"> drejtave dhe lirive kushtetuese</w:t>
      </w:r>
      <w:r w:rsidR="00037FB1">
        <w:rPr>
          <w:rFonts w:ascii="Times New Roman" w:hAnsi="Times New Roman"/>
          <w:sz w:val="24"/>
          <w:szCs w:val="24"/>
          <w:lang w:val="sq-AL"/>
        </w:rPr>
        <w:t>,</w:t>
      </w:r>
      <w:r w:rsidR="008F7B3A" w:rsidRPr="00037FB1">
        <w:rPr>
          <w:rFonts w:ascii="Times New Roman" w:hAnsi="Times New Roman"/>
          <w:sz w:val="24"/>
          <w:szCs w:val="24"/>
          <w:lang w:val="sq-AL"/>
        </w:rPr>
        <w:t xml:space="preserve"> sipas nenit 17 të Kushtetutës</w:t>
      </w:r>
      <w:r w:rsidR="00037FB1">
        <w:rPr>
          <w:rFonts w:ascii="Times New Roman" w:hAnsi="Times New Roman"/>
          <w:sz w:val="24"/>
          <w:szCs w:val="24"/>
          <w:lang w:val="sq-AL"/>
        </w:rPr>
        <w:t xml:space="preserve">, </w:t>
      </w:r>
      <w:r w:rsidR="008F7B3A" w:rsidRPr="00037FB1">
        <w:rPr>
          <w:rFonts w:ascii="Times New Roman" w:hAnsi="Times New Roman"/>
          <w:sz w:val="24"/>
          <w:szCs w:val="24"/>
          <w:lang w:val="sq-AL"/>
        </w:rPr>
        <w:t xml:space="preserve">është ekzistenca e interesit publik </w:t>
      </w:r>
      <w:r w:rsidR="00367EB7" w:rsidRPr="00037FB1">
        <w:rPr>
          <w:rFonts w:ascii="Times New Roman" w:hAnsi="Times New Roman"/>
          <w:sz w:val="24"/>
          <w:szCs w:val="24"/>
          <w:lang w:val="sq-AL"/>
        </w:rPr>
        <w:t>ose mbrojtj</w:t>
      </w:r>
      <w:r w:rsidR="008F7B3A" w:rsidRPr="00037FB1">
        <w:rPr>
          <w:rFonts w:ascii="Times New Roman" w:hAnsi="Times New Roman"/>
          <w:sz w:val="24"/>
          <w:szCs w:val="24"/>
          <w:lang w:val="sq-AL"/>
        </w:rPr>
        <w:t xml:space="preserve">a </w:t>
      </w:r>
      <w:r w:rsidR="00367EB7" w:rsidRPr="00037FB1">
        <w:rPr>
          <w:rFonts w:ascii="Times New Roman" w:hAnsi="Times New Roman"/>
          <w:sz w:val="24"/>
          <w:szCs w:val="24"/>
          <w:lang w:val="sq-AL"/>
        </w:rPr>
        <w:t>e të drejtave të të tjerëve.</w:t>
      </w:r>
    </w:p>
    <w:p w:rsidR="00817310" w:rsidRPr="00037FB1" w:rsidRDefault="009F1F66" w:rsidP="0037360A">
      <w:pPr>
        <w:tabs>
          <w:tab w:val="left" w:pos="0"/>
          <w:tab w:val="left" w:pos="142"/>
          <w:tab w:val="left" w:pos="851"/>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52</w:t>
      </w:r>
      <w:r w:rsidR="008D76D8" w:rsidRPr="00037FB1">
        <w:rPr>
          <w:rFonts w:ascii="Times New Roman" w:hAnsi="Times New Roman"/>
          <w:sz w:val="24"/>
          <w:szCs w:val="24"/>
          <w:lang w:val="sq-AL"/>
        </w:rPr>
        <w:t xml:space="preserve">. </w:t>
      </w:r>
      <w:r w:rsidR="00367EB7" w:rsidRPr="00037FB1">
        <w:rPr>
          <w:rFonts w:ascii="Times New Roman" w:hAnsi="Times New Roman"/>
          <w:bCs/>
          <w:sz w:val="24"/>
          <w:szCs w:val="24"/>
          <w:lang w:val="sq-AL"/>
        </w:rPr>
        <w:t>Koncepti kushtetues i interesit publik, ashtu siç është trajtuar tashmë në disa raste nga kjo Gjykatë, është mjaft i gjerë dhe duhet parë në këndvështrimin e dispozitës konkrete që paraqitet për kontroll para saj. Ë</w:t>
      </w:r>
      <w:r w:rsidR="00367EB7" w:rsidRPr="00037FB1">
        <w:rPr>
          <w:rFonts w:ascii="Times New Roman" w:hAnsi="Times New Roman"/>
          <w:sz w:val="24"/>
          <w:szCs w:val="24"/>
          <w:lang w:val="sq-AL"/>
        </w:rPr>
        <w:t xml:space="preserve">shtë e vështirë të radhiten në mënyrë shteruese rastet e interesit publik ose të arsyes publike që </w:t>
      </w:r>
      <w:r w:rsidR="00037FB1">
        <w:rPr>
          <w:rFonts w:ascii="Times New Roman" w:hAnsi="Times New Roman"/>
          <w:sz w:val="24"/>
          <w:szCs w:val="24"/>
          <w:lang w:val="sq-AL"/>
        </w:rPr>
        <w:t xml:space="preserve">të </w:t>
      </w:r>
      <w:r w:rsidR="00367EB7" w:rsidRPr="00037FB1">
        <w:rPr>
          <w:rFonts w:ascii="Times New Roman" w:hAnsi="Times New Roman"/>
          <w:sz w:val="24"/>
          <w:szCs w:val="24"/>
          <w:lang w:val="sq-AL"/>
        </w:rPr>
        <w:t>çojnë në kufizimin e një të drejte themelore, pasi interesi publik duhet kuptuar në sensin relativ, në varësi të situatave të ndryshme që krijohen. Ato mund të renditen vetëm negativisht, pra në aspektin e kufizimit konkret. Në praktikën kushtetuese është pranuar tashmë se ligjvënësi, parimisht, është i lirë të veprojë brenda hapësirës së tij normuese</w:t>
      </w:r>
      <w:r w:rsidR="00037FB1">
        <w:rPr>
          <w:rFonts w:ascii="Times New Roman" w:hAnsi="Times New Roman"/>
          <w:sz w:val="24"/>
          <w:szCs w:val="24"/>
          <w:lang w:val="sq-AL"/>
        </w:rPr>
        <w:t xml:space="preserve">, </w:t>
      </w:r>
      <w:r w:rsidR="00367EB7" w:rsidRPr="00037FB1">
        <w:rPr>
          <w:rFonts w:ascii="Times New Roman" w:hAnsi="Times New Roman"/>
          <w:sz w:val="24"/>
          <w:szCs w:val="24"/>
          <w:lang w:val="sq-AL"/>
        </w:rPr>
        <w:t>duke përcaktuar qartë dhe rast pas rasti qëllimet që kërkon të arrijë (</w:t>
      </w:r>
      <w:r w:rsidR="00367EB7" w:rsidRPr="00037FB1">
        <w:rPr>
          <w:rFonts w:ascii="Times New Roman" w:hAnsi="Times New Roman"/>
          <w:i/>
          <w:sz w:val="24"/>
          <w:szCs w:val="24"/>
          <w:lang w:val="sq-AL"/>
        </w:rPr>
        <w:t>shih vendimet nr. 16, datë 01.03.2017</w:t>
      </w:r>
      <w:r w:rsidR="00367EB7" w:rsidRPr="00037FB1">
        <w:rPr>
          <w:rFonts w:ascii="Times New Roman" w:hAnsi="Times New Roman"/>
          <w:bCs/>
          <w:i/>
          <w:sz w:val="24"/>
          <w:szCs w:val="24"/>
          <w:lang w:val="sq-AL"/>
        </w:rPr>
        <w:t xml:space="preserve">; </w:t>
      </w:r>
      <w:r w:rsidR="009B1CBF" w:rsidRPr="00037FB1">
        <w:rPr>
          <w:rFonts w:ascii="Times New Roman" w:hAnsi="Times New Roman"/>
          <w:i/>
          <w:sz w:val="24"/>
          <w:szCs w:val="24"/>
          <w:lang w:val="sq-AL"/>
        </w:rPr>
        <w:t xml:space="preserve">nr. 10, datë 19.03.2008; </w:t>
      </w:r>
      <w:r w:rsidR="00367EB7" w:rsidRPr="00037FB1">
        <w:rPr>
          <w:rFonts w:ascii="Times New Roman" w:hAnsi="Times New Roman"/>
          <w:bCs/>
          <w:i/>
          <w:sz w:val="24"/>
          <w:szCs w:val="24"/>
          <w:lang w:val="sq-AL"/>
        </w:rPr>
        <w:t>nr.</w:t>
      </w:r>
      <w:r w:rsidR="00367EB7" w:rsidRPr="00037FB1">
        <w:rPr>
          <w:rFonts w:ascii="Times New Roman" w:hAnsi="Times New Roman"/>
          <w:i/>
          <w:sz w:val="24"/>
          <w:szCs w:val="24"/>
          <w:lang w:val="sq-AL"/>
        </w:rPr>
        <w:t xml:space="preserve"> 18, datë 14.05.2003 të Gjykatës Kushtetuese).</w:t>
      </w:r>
      <w:r w:rsidR="00367EB7" w:rsidRPr="00037FB1">
        <w:rPr>
          <w:rFonts w:ascii="Times New Roman" w:hAnsi="Times New Roman"/>
          <w:sz w:val="24"/>
          <w:szCs w:val="24"/>
          <w:lang w:val="sq-AL"/>
        </w:rPr>
        <w:t xml:space="preserve"> </w:t>
      </w:r>
    </w:p>
    <w:p w:rsidR="00586681" w:rsidRPr="00037FB1" w:rsidRDefault="009F1F66" w:rsidP="0037360A">
      <w:pPr>
        <w:tabs>
          <w:tab w:val="left" w:pos="0"/>
          <w:tab w:val="left" w:pos="142"/>
          <w:tab w:val="left" w:pos="851"/>
          <w:tab w:val="left" w:pos="1080"/>
        </w:tabs>
        <w:spacing w:after="0" w:line="360" w:lineRule="auto"/>
        <w:ind w:firstLine="720"/>
        <w:jc w:val="both"/>
        <w:rPr>
          <w:rFonts w:ascii="Times New Roman" w:hAnsi="Times New Roman"/>
          <w:sz w:val="24"/>
          <w:szCs w:val="24"/>
          <w:lang w:val="sq-AL"/>
        </w:rPr>
      </w:pPr>
      <w:r w:rsidRPr="00037FB1">
        <w:rPr>
          <w:rFonts w:ascii="Times New Roman" w:hAnsi="Times New Roman"/>
          <w:sz w:val="24"/>
          <w:szCs w:val="24"/>
          <w:lang w:val="sq-AL"/>
        </w:rPr>
        <w:t>53</w:t>
      </w:r>
      <w:r w:rsidR="008D76D8" w:rsidRPr="00037FB1">
        <w:rPr>
          <w:rFonts w:ascii="Times New Roman" w:hAnsi="Times New Roman"/>
          <w:sz w:val="24"/>
          <w:szCs w:val="24"/>
          <w:lang w:val="sq-AL"/>
        </w:rPr>
        <w:t xml:space="preserve">. </w:t>
      </w:r>
      <w:r w:rsidR="00904146" w:rsidRPr="00037FB1">
        <w:rPr>
          <w:rFonts w:ascii="Times New Roman" w:hAnsi="Times New Roman"/>
          <w:sz w:val="24"/>
          <w:szCs w:val="24"/>
          <w:lang w:val="sq-AL"/>
        </w:rPr>
        <w:t xml:space="preserve">Edhe </w:t>
      </w:r>
      <w:r w:rsidR="00586681" w:rsidRPr="00037FB1">
        <w:rPr>
          <w:rFonts w:ascii="Times New Roman" w:hAnsi="Times New Roman"/>
          <w:sz w:val="24"/>
          <w:szCs w:val="24"/>
          <w:lang w:val="sq-AL"/>
        </w:rPr>
        <w:t>KEDNJ</w:t>
      </w:r>
      <w:r w:rsidR="00037FB1">
        <w:rPr>
          <w:rFonts w:ascii="Times New Roman" w:hAnsi="Times New Roman"/>
          <w:sz w:val="24"/>
          <w:szCs w:val="24"/>
          <w:lang w:val="sq-AL"/>
        </w:rPr>
        <w:t>-ja</w:t>
      </w:r>
      <w:r w:rsidR="00586681" w:rsidRPr="00037FB1">
        <w:rPr>
          <w:rFonts w:ascii="Times New Roman" w:hAnsi="Times New Roman"/>
          <w:sz w:val="24"/>
          <w:szCs w:val="24"/>
          <w:lang w:val="sq-AL"/>
        </w:rPr>
        <w:t>, n</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xml:space="preserve"> nenin 11</w:t>
      </w:r>
      <w:r w:rsidR="00037FB1">
        <w:rPr>
          <w:rFonts w:ascii="Times New Roman" w:hAnsi="Times New Roman"/>
          <w:sz w:val="24"/>
          <w:szCs w:val="24"/>
          <w:lang w:val="sq-AL"/>
        </w:rPr>
        <w:t>,</w:t>
      </w:r>
      <w:r w:rsidR="00586681" w:rsidRPr="00037FB1">
        <w:rPr>
          <w:rFonts w:ascii="Times New Roman" w:hAnsi="Times New Roman"/>
          <w:sz w:val="24"/>
          <w:szCs w:val="24"/>
          <w:lang w:val="sq-AL"/>
        </w:rPr>
        <w:t xml:space="preserve"> pika 2, liston “</w:t>
      </w:r>
      <w:r w:rsidR="00904146" w:rsidRPr="00037FB1">
        <w:rPr>
          <w:rFonts w:ascii="Times New Roman" w:hAnsi="Times New Roman"/>
          <w:i/>
          <w:iCs/>
          <w:sz w:val="24"/>
          <w:szCs w:val="24"/>
          <w:lang w:val="sq-AL"/>
        </w:rPr>
        <w:t>q</w:t>
      </w:r>
      <w:r w:rsidR="00CC3901" w:rsidRPr="00037FB1">
        <w:rPr>
          <w:rFonts w:ascii="Times New Roman" w:hAnsi="Times New Roman"/>
          <w:i/>
          <w:iCs/>
          <w:sz w:val="24"/>
          <w:szCs w:val="24"/>
          <w:lang w:val="sq-AL"/>
        </w:rPr>
        <w:t>ë</w:t>
      </w:r>
      <w:r w:rsidR="00904146" w:rsidRPr="00037FB1">
        <w:rPr>
          <w:rFonts w:ascii="Times New Roman" w:hAnsi="Times New Roman"/>
          <w:i/>
          <w:iCs/>
          <w:sz w:val="24"/>
          <w:szCs w:val="24"/>
          <w:lang w:val="sq-AL"/>
        </w:rPr>
        <w:t>llimet legjitime</w:t>
      </w:r>
      <w:r w:rsidR="00586681" w:rsidRPr="00037FB1">
        <w:rPr>
          <w:rFonts w:ascii="Times New Roman" w:hAnsi="Times New Roman"/>
          <w:sz w:val="24"/>
          <w:szCs w:val="24"/>
          <w:lang w:val="sq-AL"/>
        </w:rPr>
        <w:t>”, t</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xml:space="preserve"> cilat duhet t</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xml:space="preserve"> p</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rmbush</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xml:space="preserve"> nj</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xml:space="preserve"> </w:t>
      </w:r>
      <w:r w:rsidR="00904146" w:rsidRPr="00037FB1">
        <w:rPr>
          <w:rFonts w:ascii="Times New Roman" w:hAnsi="Times New Roman"/>
          <w:sz w:val="24"/>
          <w:szCs w:val="24"/>
          <w:lang w:val="sq-AL"/>
        </w:rPr>
        <w:t>“</w:t>
      </w:r>
      <w:r w:rsidR="00904146" w:rsidRPr="00037FB1">
        <w:rPr>
          <w:rFonts w:ascii="Times New Roman" w:hAnsi="Times New Roman"/>
          <w:i/>
          <w:iCs/>
          <w:sz w:val="24"/>
          <w:szCs w:val="24"/>
          <w:lang w:val="sq-AL"/>
        </w:rPr>
        <w:t>ndërhyrje</w:t>
      </w:r>
      <w:r w:rsidR="00904146" w:rsidRPr="00037FB1">
        <w:rPr>
          <w:rFonts w:ascii="Times New Roman" w:hAnsi="Times New Roman"/>
          <w:sz w:val="24"/>
          <w:szCs w:val="24"/>
          <w:lang w:val="sq-AL"/>
        </w:rPr>
        <w:t>”</w:t>
      </w:r>
      <w:r w:rsidR="00262FDF" w:rsidRPr="00037FB1">
        <w:rPr>
          <w:rFonts w:ascii="Times New Roman" w:hAnsi="Times New Roman"/>
          <w:sz w:val="24"/>
          <w:szCs w:val="24"/>
          <w:lang w:val="sq-AL"/>
        </w:rPr>
        <w:t xml:space="preserve"> q</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kufizon t</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 xml:space="preserve"> drejt</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n e tubimit paq</w:t>
      </w:r>
      <w:r w:rsidR="00CC3901" w:rsidRPr="00037FB1">
        <w:rPr>
          <w:rFonts w:ascii="Times New Roman" w:hAnsi="Times New Roman"/>
          <w:sz w:val="24"/>
          <w:szCs w:val="24"/>
          <w:lang w:val="sq-AL"/>
        </w:rPr>
        <w:t>ë</w:t>
      </w:r>
      <w:r w:rsidR="00262FDF" w:rsidRPr="00037FB1">
        <w:rPr>
          <w:rFonts w:ascii="Times New Roman" w:hAnsi="Times New Roman"/>
          <w:sz w:val="24"/>
          <w:szCs w:val="24"/>
          <w:lang w:val="sq-AL"/>
        </w:rPr>
        <w:t>sor</w:t>
      </w:r>
      <w:r w:rsidR="00586681" w:rsidRPr="00037FB1">
        <w:rPr>
          <w:rFonts w:ascii="Times New Roman" w:hAnsi="Times New Roman"/>
          <w:sz w:val="24"/>
          <w:szCs w:val="24"/>
          <w:lang w:val="sq-AL"/>
        </w:rPr>
        <w:t>, t</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xml:space="preserve"> cilat jan</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siguria publike ose siguria komb</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tare, mbrojtja e rendit ose parandalimi i krimit, mbrojtja e sh</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ndetit ose e moralit, ose mbrojtja e t</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xml:space="preserve"> drejtave dhe lirive t</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xml:space="preserve"> t</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xml:space="preserve"> tjer</w:t>
      </w:r>
      <w:r w:rsidR="00CC3901" w:rsidRPr="00037FB1">
        <w:rPr>
          <w:rFonts w:ascii="Times New Roman" w:hAnsi="Times New Roman"/>
          <w:sz w:val="24"/>
          <w:szCs w:val="24"/>
          <w:lang w:val="sq-AL"/>
        </w:rPr>
        <w:t>ë</w:t>
      </w:r>
      <w:r w:rsidR="00586681" w:rsidRPr="00037FB1">
        <w:rPr>
          <w:rFonts w:ascii="Times New Roman" w:hAnsi="Times New Roman"/>
          <w:sz w:val="24"/>
          <w:szCs w:val="24"/>
          <w:lang w:val="sq-AL"/>
        </w:rPr>
        <w:t xml:space="preserve">ve. </w:t>
      </w:r>
    </w:p>
    <w:p w:rsidR="00817310" w:rsidRPr="00037FB1" w:rsidRDefault="00367EB7" w:rsidP="0037360A">
      <w:pPr>
        <w:pStyle w:val="ListParagraph"/>
        <w:numPr>
          <w:ilvl w:val="0"/>
          <w:numId w:val="22"/>
        </w:numPr>
        <w:tabs>
          <w:tab w:val="left" w:pos="450"/>
          <w:tab w:val="left" w:pos="720"/>
          <w:tab w:val="left" w:pos="1080"/>
        </w:tabs>
        <w:spacing w:after="0" w:line="360" w:lineRule="auto"/>
        <w:ind w:left="90" w:firstLine="630"/>
        <w:jc w:val="both"/>
        <w:rPr>
          <w:rFonts w:ascii="Times New Roman" w:hAnsi="Times New Roman"/>
          <w:sz w:val="24"/>
          <w:szCs w:val="24"/>
          <w:lang w:val="sq-AL"/>
        </w:rPr>
      </w:pPr>
      <w:r w:rsidRPr="00037FB1">
        <w:rPr>
          <w:rFonts w:ascii="Times New Roman" w:hAnsi="Times New Roman"/>
          <w:sz w:val="24"/>
          <w:szCs w:val="24"/>
          <w:lang w:val="sq-AL"/>
        </w:rPr>
        <w:t>P</w:t>
      </w:r>
      <w:r w:rsidR="00F65290" w:rsidRPr="00037FB1">
        <w:rPr>
          <w:rFonts w:ascii="Times New Roman" w:hAnsi="Times New Roman"/>
          <w:sz w:val="24"/>
          <w:szCs w:val="24"/>
          <w:lang w:val="sq-AL"/>
        </w:rPr>
        <w:t>o ashtu</w:t>
      </w:r>
      <w:r w:rsidR="00037FB1">
        <w:rPr>
          <w:rFonts w:ascii="Times New Roman" w:hAnsi="Times New Roman"/>
          <w:sz w:val="24"/>
          <w:szCs w:val="24"/>
          <w:lang w:val="sq-AL"/>
        </w:rPr>
        <w:t>,</w:t>
      </w:r>
      <w:r w:rsidR="00F65290" w:rsidRPr="00037FB1">
        <w:rPr>
          <w:rFonts w:ascii="Times New Roman" w:hAnsi="Times New Roman"/>
          <w:sz w:val="24"/>
          <w:szCs w:val="24"/>
          <w:lang w:val="sq-AL"/>
        </w:rPr>
        <w:t xml:space="preserve"> </w:t>
      </w:r>
      <w:r w:rsidRPr="00037FB1">
        <w:rPr>
          <w:rFonts w:ascii="Times New Roman" w:hAnsi="Times New Roman"/>
          <w:sz w:val="24"/>
          <w:szCs w:val="24"/>
          <w:lang w:val="sq-AL"/>
        </w:rPr>
        <w:t>Gjykata i referohet edhe Dokumentit Informativ SG/Inf(2020)11</w:t>
      </w:r>
      <w:r w:rsidR="00037FB1">
        <w:rPr>
          <w:rFonts w:ascii="Times New Roman" w:hAnsi="Times New Roman"/>
          <w:sz w:val="24"/>
          <w:szCs w:val="24"/>
          <w:lang w:val="sq-AL"/>
        </w:rPr>
        <w:t>,</w:t>
      </w:r>
      <w:r w:rsidRPr="00037FB1">
        <w:rPr>
          <w:rFonts w:ascii="Times New Roman" w:hAnsi="Times New Roman"/>
          <w:sz w:val="24"/>
          <w:szCs w:val="24"/>
          <w:lang w:val="sq-AL"/>
        </w:rPr>
        <w:t xml:space="preserve"> </w:t>
      </w:r>
      <w:r w:rsidR="00037FB1">
        <w:rPr>
          <w:rFonts w:ascii="Times New Roman" w:hAnsi="Times New Roman"/>
          <w:sz w:val="24"/>
          <w:szCs w:val="24"/>
          <w:lang w:val="sq-AL"/>
        </w:rPr>
        <w:t>datë</w:t>
      </w:r>
      <w:r w:rsidR="00037FB1" w:rsidRPr="00037FB1">
        <w:rPr>
          <w:rFonts w:ascii="Times New Roman" w:hAnsi="Times New Roman"/>
          <w:sz w:val="24"/>
          <w:szCs w:val="24"/>
          <w:lang w:val="sq-AL"/>
        </w:rPr>
        <w:t xml:space="preserve"> 7 prill 2020</w:t>
      </w:r>
      <w:r w:rsidR="00037FB1">
        <w:rPr>
          <w:rFonts w:ascii="Times New Roman" w:hAnsi="Times New Roman"/>
          <w:sz w:val="24"/>
          <w:szCs w:val="24"/>
          <w:lang w:val="sq-AL"/>
        </w:rPr>
        <w:t>,</w:t>
      </w:r>
      <w:r w:rsidR="00037FB1" w:rsidRPr="00037FB1">
        <w:rPr>
          <w:rFonts w:ascii="Times New Roman" w:hAnsi="Times New Roman"/>
          <w:sz w:val="24"/>
          <w:szCs w:val="24"/>
          <w:lang w:val="sq-AL"/>
        </w:rPr>
        <w:t xml:space="preserve"> të Këshillit të Evropës</w:t>
      </w:r>
      <w:r w:rsidR="00037FB1">
        <w:rPr>
          <w:rFonts w:ascii="Times New Roman" w:hAnsi="Times New Roman"/>
          <w:sz w:val="24"/>
          <w:szCs w:val="24"/>
          <w:lang w:val="sq-AL"/>
        </w:rPr>
        <w:t xml:space="preserve">, </w:t>
      </w:r>
      <w:r w:rsidRPr="00037FB1">
        <w:rPr>
          <w:rFonts w:ascii="Times New Roman" w:hAnsi="Times New Roman"/>
          <w:sz w:val="24"/>
          <w:szCs w:val="24"/>
          <w:lang w:val="sq-AL"/>
        </w:rPr>
        <w:t xml:space="preserve">për </w:t>
      </w:r>
      <w:r w:rsidR="00037FB1">
        <w:rPr>
          <w:rFonts w:ascii="Times New Roman" w:hAnsi="Times New Roman"/>
          <w:sz w:val="24"/>
          <w:szCs w:val="24"/>
          <w:lang w:val="sq-AL"/>
        </w:rPr>
        <w:t>“</w:t>
      </w:r>
      <w:r w:rsidRPr="00037FB1">
        <w:rPr>
          <w:rFonts w:ascii="Times New Roman" w:hAnsi="Times New Roman"/>
          <w:sz w:val="24"/>
          <w:szCs w:val="24"/>
          <w:lang w:val="sq-AL"/>
        </w:rPr>
        <w:t xml:space="preserve">Respektimin e </w:t>
      </w:r>
      <w:r w:rsidR="00037FB1">
        <w:rPr>
          <w:rFonts w:ascii="Times New Roman" w:hAnsi="Times New Roman"/>
          <w:sz w:val="24"/>
          <w:szCs w:val="24"/>
          <w:lang w:val="sq-AL"/>
        </w:rPr>
        <w:t>d</w:t>
      </w:r>
      <w:r w:rsidRPr="00037FB1">
        <w:rPr>
          <w:rFonts w:ascii="Times New Roman" w:hAnsi="Times New Roman"/>
          <w:sz w:val="24"/>
          <w:szCs w:val="24"/>
          <w:lang w:val="sq-AL"/>
        </w:rPr>
        <w:t xml:space="preserve">emokracisë, </w:t>
      </w:r>
      <w:r w:rsidR="00037FB1">
        <w:rPr>
          <w:rFonts w:ascii="Times New Roman" w:hAnsi="Times New Roman"/>
          <w:sz w:val="24"/>
          <w:szCs w:val="24"/>
          <w:lang w:val="sq-AL"/>
        </w:rPr>
        <w:t>s</w:t>
      </w:r>
      <w:r w:rsidRPr="00037FB1">
        <w:rPr>
          <w:rFonts w:ascii="Times New Roman" w:hAnsi="Times New Roman"/>
          <w:sz w:val="24"/>
          <w:szCs w:val="24"/>
          <w:lang w:val="sq-AL"/>
        </w:rPr>
        <w:t xml:space="preserve">htetit të së </w:t>
      </w:r>
      <w:r w:rsidR="00037FB1">
        <w:rPr>
          <w:rFonts w:ascii="Times New Roman" w:hAnsi="Times New Roman"/>
          <w:sz w:val="24"/>
          <w:szCs w:val="24"/>
          <w:lang w:val="sq-AL"/>
        </w:rPr>
        <w:t>d</w:t>
      </w:r>
      <w:r w:rsidRPr="00037FB1">
        <w:rPr>
          <w:rFonts w:ascii="Times New Roman" w:hAnsi="Times New Roman"/>
          <w:sz w:val="24"/>
          <w:szCs w:val="24"/>
          <w:lang w:val="sq-AL"/>
        </w:rPr>
        <w:t xml:space="preserve">rejtës dhe të </w:t>
      </w:r>
      <w:r w:rsidR="00037FB1">
        <w:rPr>
          <w:rFonts w:ascii="Times New Roman" w:hAnsi="Times New Roman"/>
          <w:sz w:val="24"/>
          <w:szCs w:val="24"/>
          <w:lang w:val="sq-AL"/>
        </w:rPr>
        <w:t>d</w:t>
      </w:r>
      <w:r w:rsidRPr="00037FB1">
        <w:rPr>
          <w:rFonts w:ascii="Times New Roman" w:hAnsi="Times New Roman"/>
          <w:sz w:val="24"/>
          <w:szCs w:val="24"/>
          <w:lang w:val="sq-AL"/>
        </w:rPr>
        <w:t xml:space="preserve">rejtave të </w:t>
      </w:r>
      <w:r w:rsidR="00037FB1">
        <w:rPr>
          <w:rFonts w:ascii="Times New Roman" w:hAnsi="Times New Roman"/>
          <w:sz w:val="24"/>
          <w:szCs w:val="24"/>
          <w:lang w:val="sq-AL"/>
        </w:rPr>
        <w:t>n</w:t>
      </w:r>
      <w:r w:rsidRPr="00037FB1">
        <w:rPr>
          <w:rFonts w:ascii="Times New Roman" w:hAnsi="Times New Roman"/>
          <w:sz w:val="24"/>
          <w:szCs w:val="24"/>
          <w:lang w:val="sq-AL"/>
        </w:rPr>
        <w:t xml:space="preserve">jeriut në kuadrin e </w:t>
      </w:r>
      <w:r w:rsidR="00037FB1">
        <w:rPr>
          <w:rFonts w:ascii="Times New Roman" w:hAnsi="Times New Roman"/>
          <w:sz w:val="24"/>
          <w:szCs w:val="24"/>
          <w:lang w:val="sq-AL"/>
        </w:rPr>
        <w:t>k</w:t>
      </w:r>
      <w:r w:rsidRPr="00037FB1">
        <w:rPr>
          <w:rFonts w:ascii="Times New Roman" w:hAnsi="Times New Roman"/>
          <w:sz w:val="24"/>
          <w:szCs w:val="24"/>
          <w:lang w:val="sq-AL"/>
        </w:rPr>
        <w:t xml:space="preserve">rizës </w:t>
      </w:r>
      <w:r w:rsidR="00037FB1">
        <w:rPr>
          <w:rFonts w:ascii="Times New Roman" w:hAnsi="Times New Roman"/>
          <w:sz w:val="24"/>
          <w:szCs w:val="24"/>
          <w:lang w:val="sq-AL"/>
        </w:rPr>
        <w:t>s</w:t>
      </w:r>
      <w:r w:rsidRPr="00037FB1">
        <w:rPr>
          <w:rFonts w:ascii="Times New Roman" w:hAnsi="Times New Roman"/>
          <w:sz w:val="24"/>
          <w:szCs w:val="24"/>
          <w:lang w:val="sq-AL"/>
        </w:rPr>
        <w:t xml:space="preserve">anitare të </w:t>
      </w:r>
      <w:r w:rsidR="00293B82">
        <w:rPr>
          <w:rFonts w:ascii="Times New Roman" w:hAnsi="Times New Roman"/>
          <w:sz w:val="24"/>
          <w:szCs w:val="24"/>
          <w:lang w:val="sq-AL"/>
        </w:rPr>
        <w:t>COVID</w:t>
      </w:r>
      <w:r w:rsidRPr="00037FB1">
        <w:rPr>
          <w:rFonts w:ascii="Times New Roman" w:hAnsi="Times New Roman"/>
          <w:sz w:val="24"/>
          <w:szCs w:val="24"/>
          <w:lang w:val="sq-AL"/>
        </w:rPr>
        <w:t>-19</w:t>
      </w:r>
      <w:r w:rsidR="00037FB1">
        <w:rPr>
          <w:rFonts w:ascii="Times New Roman" w:hAnsi="Times New Roman"/>
          <w:sz w:val="24"/>
          <w:szCs w:val="24"/>
          <w:lang w:val="sq-AL"/>
        </w:rPr>
        <w:t>”</w:t>
      </w:r>
      <w:r w:rsidRPr="00037FB1">
        <w:rPr>
          <w:rFonts w:ascii="Times New Roman" w:hAnsi="Times New Roman"/>
          <w:sz w:val="24"/>
          <w:szCs w:val="24"/>
          <w:lang w:val="sq-AL"/>
        </w:rPr>
        <w:t>, i cili, ndër tjera, thekson se “</w:t>
      </w:r>
      <w:r w:rsidRPr="00037FB1">
        <w:rPr>
          <w:rFonts w:ascii="Times New Roman" w:hAnsi="Times New Roman"/>
          <w:i/>
          <w:iCs/>
          <w:sz w:val="24"/>
          <w:szCs w:val="24"/>
          <w:lang w:val="sq-AL"/>
        </w:rPr>
        <w:t>mbrojtja e shëndetit</w:t>
      </w:r>
      <w:r w:rsidRPr="00037FB1">
        <w:rPr>
          <w:rFonts w:ascii="Times New Roman" w:hAnsi="Times New Roman"/>
          <w:sz w:val="24"/>
          <w:szCs w:val="24"/>
          <w:lang w:val="sq-AL"/>
        </w:rPr>
        <w:t>” është një nga “</w:t>
      </w:r>
      <w:r w:rsidRPr="00037FB1">
        <w:rPr>
          <w:rFonts w:ascii="Times New Roman" w:hAnsi="Times New Roman"/>
          <w:i/>
          <w:iCs/>
          <w:sz w:val="24"/>
          <w:szCs w:val="24"/>
          <w:lang w:val="sq-AL"/>
        </w:rPr>
        <w:t>qëllimet legjitime</w:t>
      </w:r>
      <w:r w:rsidRPr="00037FB1">
        <w:rPr>
          <w:rFonts w:ascii="Times New Roman" w:hAnsi="Times New Roman"/>
          <w:sz w:val="24"/>
          <w:szCs w:val="24"/>
          <w:lang w:val="sq-AL"/>
        </w:rPr>
        <w:t xml:space="preserve">” që u mundëson </w:t>
      </w:r>
      <w:r w:rsidR="00037FB1">
        <w:rPr>
          <w:rFonts w:ascii="Times New Roman" w:hAnsi="Times New Roman"/>
          <w:sz w:val="24"/>
          <w:szCs w:val="24"/>
          <w:lang w:val="sq-AL"/>
        </w:rPr>
        <w:t>q</w:t>
      </w:r>
      <w:r w:rsidRPr="00037FB1">
        <w:rPr>
          <w:rFonts w:ascii="Times New Roman" w:hAnsi="Times New Roman"/>
          <w:sz w:val="24"/>
          <w:szCs w:val="24"/>
          <w:lang w:val="sq-AL"/>
        </w:rPr>
        <w:t xml:space="preserve">everive përkatëse të ndërmarrin masa kufizuese gjatë parandalimit dhe luftimit të pandemisë përkatëse, po kuptohet, vetëm nëse </w:t>
      </w:r>
      <w:r w:rsidR="003018E3" w:rsidRPr="00037FB1">
        <w:rPr>
          <w:rFonts w:ascii="Times New Roman" w:hAnsi="Times New Roman"/>
          <w:sz w:val="24"/>
          <w:szCs w:val="24"/>
          <w:lang w:val="sq-AL"/>
        </w:rPr>
        <w:t>ato</w:t>
      </w:r>
      <w:r w:rsidRPr="00037FB1">
        <w:rPr>
          <w:rFonts w:ascii="Times New Roman" w:hAnsi="Times New Roman"/>
          <w:sz w:val="24"/>
          <w:szCs w:val="24"/>
          <w:lang w:val="sq-AL"/>
        </w:rPr>
        <w:t xml:space="preserve"> janë të “</w:t>
      </w:r>
      <w:r w:rsidRPr="00037FB1">
        <w:rPr>
          <w:rFonts w:ascii="Times New Roman" w:hAnsi="Times New Roman"/>
          <w:i/>
          <w:iCs/>
          <w:sz w:val="24"/>
          <w:szCs w:val="24"/>
          <w:lang w:val="sq-AL"/>
        </w:rPr>
        <w:t>përcaktuara në ligj</w:t>
      </w:r>
      <w:r w:rsidRPr="00037FB1">
        <w:rPr>
          <w:rFonts w:ascii="Times New Roman" w:hAnsi="Times New Roman"/>
          <w:sz w:val="24"/>
          <w:szCs w:val="24"/>
          <w:lang w:val="sq-AL"/>
        </w:rPr>
        <w:t>” dhe “</w:t>
      </w:r>
      <w:r w:rsidRPr="00037FB1">
        <w:rPr>
          <w:rFonts w:ascii="Times New Roman" w:hAnsi="Times New Roman"/>
          <w:i/>
          <w:iCs/>
          <w:sz w:val="24"/>
          <w:szCs w:val="24"/>
          <w:lang w:val="sq-AL"/>
        </w:rPr>
        <w:t>të domosdoshme në një shoqëri</w:t>
      </w:r>
      <w:r w:rsidRPr="00037FB1">
        <w:rPr>
          <w:rFonts w:ascii="Times New Roman" w:hAnsi="Times New Roman"/>
          <w:sz w:val="24"/>
          <w:szCs w:val="24"/>
          <w:lang w:val="sq-AL"/>
        </w:rPr>
        <w:t xml:space="preserve"> </w:t>
      </w:r>
      <w:r w:rsidRPr="00037FB1">
        <w:rPr>
          <w:rFonts w:ascii="Times New Roman" w:hAnsi="Times New Roman"/>
          <w:i/>
          <w:iCs/>
          <w:sz w:val="24"/>
          <w:szCs w:val="24"/>
          <w:lang w:val="sq-AL"/>
        </w:rPr>
        <w:t>demokratike</w:t>
      </w:r>
      <w:r w:rsidR="003018E3" w:rsidRPr="00037FB1">
        <w:rPr>
          <w:rFonts w:ascii="Times New Roman" w:hAnsi="Times New Roman"/>
          <w:sz w:val="24"/>
          <w:szCs w:val="24"/>
          <w:lang w:val="sq-AL"/>
        </w:rPr>
        <w:t>”.</w:t>
      </w:r>
    </w:p>
    <w:p w:rsidR="00F65290" w:rsidRPr="00037FB1" w:rsidRDefault="00F65290" w:rsidP="0037360A">
      <w:pPr>
        <w:pStyle w:val="ListParagraph"/>
        <w:numPr>
          <w:ilvl w:val="0"/>
          <w:numId w:val="22"/>
        </w:numPr>
        <w:tabs>
          <w:tab w:val="left" w:pos="450"/>
          <w:tab w:val="left" w:pos="720"/>
          <w:tab w:val="left" w:pos="1080"/>
        </w:tabs>
        <w:spacing w:after="0" w:line="360" w:lineRule="auto"/>
        <w:ind w:left="90" w:firstLine="630"/>
        <w:jc w:val="both"/>
        <w:rPr>
          <w:rFonts w:ascii="Times New Roman" w:hAnsi="Times New Roman"/>
          <w:sz w:val="24"/>
          <w:szCs w:val="24"/>
          <w:lang w:val="sq-AL"/>
        </w:rPr>
      </w:pPr>
      <w:r w:rsidRPr="00037FB1">
        <w:rPr>
          <w:rFonts w:ascii="Times New Roman" w:hAnsi="Times New Roman"/>
          <w:sz w:val="24"/>
          <w:szCs w:val="24"/>
          <w:lang w:val="sq-AL"/>
        </w:rPr>
        <w:t xml:space="preserve">Paraprakisht Gjykata sqaron se nuk </w:t>
      </w:r>
      <w:r w:rsidR="00C4630B" w:rsidRPr="00037FB1">
        <w:rPr>
          <w:rFonts w:ascii="Times New Roman" w:hAnsi="Times New Roman"/>
          <w:sz w:val="24"/>
          <w:szCs w:val="24"/>
          <w:lang w:val="sq-AL"/>
        </w:rPr>
        <w:t>ë</w:t>
      </w:r>
      <w:r w:rsidRPr="00037FB1">
        <w:rPr>
          <w:rFonts w:ascii="Times New Roman" w:hAnsi="Times New Roman"/>
          <w:sz w:val="24"/>
          <w:szCs w:val="24"/>
          <w:lang w:val="sq-AL"/>
        </w:rPr>
        <w:t>sht</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roli i saj t</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vler</w:t>
      </w:r>
      <w:r w:rsidR="00C4630B" w:rsidRPr="00037FB1">
        <w:rPr>
          <w:rFonts w:ascii="Times New Roman" w:hAnsi="Times New Roman"/>
          <w:sz w:val="24"/>
          <w:szCs w:val="24"/>
          <w:lang w:val="sq-AL"/>
        </w:rPr>
        <w:t>ë</w:t>
      </w:r>
      <w:r w:rsidRPr="00037FB1">
        <w:rPr>
          <w:rFonts w:ascii="Times New Roman" w:hAnsi="Times New Roman"/>
          <w:sz w:val="24"/>
          <w:szCs w:val="24"/>
          <w:lang w:val="sq-AL"/>
        </w:rPr>
        <w:t>soj</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n</w:t>
      </w:r>
      <w:r w:rsidR="00C4630B" w:rsidRPr="00037FB1">
        <w:rPr>
          <w:rFonts w:ascii="Times New Roman" w:hAnsi="Times New Roman"/>
          <w:sz w:val="24"/>
          <w:szCs w:val="24"/>
          <w:lang w:val="sq-AL"/>
        </w:rPr>
        <w:t>ë</w:t>
      </w:r>
      <w:r w:rsidRPr="00037FB1">
        <w:rPr>
          <w:rFonts w:ascii="Times New Roman" w:hAnsi="Times New Roman"/>
          <w:sz w:val="24"/>
          <w:szCs w:val="24"/>
          <w:lang w:val="sq-AL"/>
        </w:rPr>
        <w:t>se masat e marra nga autoritetet publike jan</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t</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p</w:t>
      </w:r>
      <w:r w:rsidR="00C4630B" w:rsidRPr="00037FB1">
        <w:rPr>
          <w:rFonts w:ascii="Times New Roman" w:hAnsi="Times New Roman"/>
          <w:sz w:val="24"/>
          <w:szCs w:val="24"/>
          <w:lang w:val="sq-AL"/>
        </w:rPr>
        <w:t>ë</w:t>
      </w:r>
      <w:r w:rsidRPr="00037FB1">
        <w:rPr>
          <w:rFonts w:ascii="Times New Roman" w:hAnsi="Times New Roman"/>
          <w:sz w:val="24"/>
          <w:szCs w:val="24"/>
          <w:lang w:val="sq-AL"/>
        </w:rPr>
        <w:t>rshtatshmet dhe t</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duhurat</w:t>
      </w:r>
      <w:r w:rsidR="00AA7423" w:rsidRPr="00037FB1">
        <w:rPr>
          <w:rFonts w:ascii="Times New Roman" w:hAnsi="Times New Roman"/>
          <w:sz w:val="24"/>
          <w:szCs w:val="24"/>
          <w:lang w:val="sq-AL"/>
        </w:rPr>
        <w:t>, n</w:t>
      </w:r>
      <w:r w:rsidR="00CC3901" w:rsidRPr="00037FB1">
        <w:rPr>
          <w:rFonts w:ascii="Times New Roman" w:hAnsi="Times New Roman"/>
          <w:sz w:val="24"/>
          <w:szCs w:val="24"/>
          <w:lang w:val="sq-AL"/>
        </w:rPr>
        <w:t>ë</w:t>
      </w:r>
      <w:r w:rsidR="00AA7423" w:rsidRPr="00037FB1">
        <w:rPr>
          <w:rFonts w:ascii="Times New Roman" w:hAnsi="Times New Roman"/>
          <w:sz w:val="24"/>
          <w:szCs w:val="24"/>
          <w:lang w:val="sq-AL"/>
        </w:rPr>
        <w:t xml:space="preserve"> aspektin teknik,</w:t>
      </w:r>
      <w:r w:rsidRPr="00037FB1">
        <w:rPr>
          <w:rFonts w:ascii="Times New Roman" w:hAnsi="Times New Roman"/>
          <w:sz w:val="24"/>
          <w:szCs w:val="24"/>
          <w:lang w:val="sq-AL"/>
        </w:rPr>
        <w:t xml:space="preserve"> p</w:t>
      </w:r>
      <w:r w:rsidR="00C4630B" w:rsidRPr="00037FB1">
        <w:rPr>
          <w:rFonts w:ascii="Times New Roman" w:hAnsi="Times New Roman"/>
          <w:sz w:val="24"/>
          <w:szCs w:val="24"/>
          <w:lang w:val="sq-AL"/>
        </w:rPr>
        <w:t>ë</w:t>
      </w:r>
      <w:r w:rsidRPr="00037FB1">
        <w:rPr>
          <w:rFonts w:ascii="Times New Roman" w:hAnsi="Times New Roman"/>
          <w:sz w:val="24"/>
          <w:szCs w:val="24"/>
          <w:lang w:val="sq-AL"/>
        </w:rPr>
        <w:t>r p</w:t>
      </w:r>
      <w:r w:rsidR="00C4630B" w:rsidRPr="00037FB1">
        <w:rPr>
          <w:rFonts w:ascii="Times New Roman" w:hAnsi="Times New Roman"/>
          <w:sz w:val="24"/>
          <w:szCs w:val="24"/>
          <w:lang w:val="sq-AL"/>
        </w:rPr>
        <w:t>ë</w:t>
      </w:r>
      <w:r w:rsidRPr="00037FB1">
        <w:rPr>
          <w:rFonts w:ascii="Times New Roman" w:hAnsi="Times New Roman"/>
          <w:sz w:val="24"/>
          <w:szCs w:val="24"/>
          <w:lang w:val="sq-AL"/>
        </w:rPr>
        <w:t>rballimin e pandemis</w:t>
      </w:r>
      <w:r w:rsidR="00C4630B" w:rsidRPr="00037FB1">
        <w:rPr>
          <w:rFonts w:ascii="Times New Roman" w:hAnsi="Times New Roman"/>
          <w:sz w:val="24"/>
          <w:szCs w:val="24"/>
          <w:lang w:val="sq-AL"/>
        </w:rPr>
        <w:t>ë</w:t>
      </w:r>
      <w:r w:rsidRPr="00037FB1">
        <w:rPr>
          <w:rFonts w:ascii="Times New Roman" w:hAnsi="Times New Roman"/>
          <w:sz w:val="24"/>
          <w:szCs w:val="24"/>
          <w:lang w:val="sq-AL"/>
        </w:rPr>
        <w:t>. N</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k</w:t>
      </w:r>
      <w:r w:rsidR="00C4630B" w:rsidRPr="00037FB1">
        <w:rPr>
          <w:rFonts w:ascii="Times New Roman" w:hAnsi="Times New Roman"/>
          <w:sz w:val="24"/>
          <w:szCs w:val="24"/>
          <w:lang w:val="sq-AL"/>
        </w:rPr>
        <w:t>ë</w:t>
      </w:r>
      <w:r w:rsidRPr="00037FB1">
        <w:rPr>
          <w:rFonts w:ascii="Times New Roman" w:hAnsi="Times New Roman"/>
          <w:sz w:val="24"/>
          <w:szCs w:val="24"/>
          <w:lang w:val="sq-AL"/>
        </w:rPr>
        <w:t>t</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v</w:t>
      </w:r>
      <w:r w:rsidR="00C4630B" w:rsidRPr="00037FB1">
        <w:rPr>
          <w:rFonts w:ascii="Times New Roman" w:hAnsi="Times New Roman"/>
          <w:sz w:val="24"/>
          <w:szCs w:val="24"/>
          <w:lang w:val="sq-AL"/>
        </w:rPr>
        <w:t>ë</w:t>
      </w:r>
      <w:r w:rsidRPr="00037FB1">
        <w:rPr>
          <w:rFonts w:ascii="Times New Roman" w:hAnsi="Times New Roman"/>
          <w:sz w:val="24"/>
          <w:szCs w:val="24"/>
          <w:lang w:val="sq-AL"/>
        </w:rPr>
        <w:t>shtrim</w:t>
      </w:r>
      <w:r w:rsidR="006F467A">
        <w:rPr>
          <w:rFonts w:ascii="Times New Roman" w:hAnsi="Times New Roman"/>
          <w:sz w:val="24"/>
          <w:szCs w:val="24"/>
          <w:lang w:val="sq-AL"/>
        </w:rPr>
        <w:t>,</w:t>
      </w:r>
      <w:r w:rsidRPr="00037FB1">
        <w:rPr>
          <w:rFonts w:ascii="Times New Roman" w:hAnsi="Times New Roman"/>
          <w:sz w:val="24"/>
          <w:szCs w:val="24"/>
          <w:lang w:val="sq-AL"/>
        </w:rPr>
        <w:t xml:space="preserve"> edhe pse nuk </w:t>
      </w:r>
      <w:r w:rsidR="00C4630B" w:rsidRPr="00037FB1">
        <w:rPr>
          <w:rFonts w:ascii="Times New Roman" w:hAnsi="Times New Roman"/>
          <w:sz w:val="24"/>
          <w:szCs w:val="24"/>
          <w:lang w:val="sq-AL"/>
        </w:rPr>
        <w:t>ë</w:t>
      </w:r>
      <w:r w:rsidRPr="00037FB1">
        <w:rPr>
          <w:rFonts w:ascii="Times New Roman" w:hAnsi="Times New Roman"/>
          <w:sz w:val="24"/>
          <w:szCs w:val="24"/>
          <w:lang w:val="sq-AL"/>
        </w:rPr>
        <w:t>sht</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kund</w:t>
      </w:r>
      <w:r w:rsidR="00C4630B" w:rsidRPr="00037FB1">
        <w:rPr>
          <w:rFonts w:ascii="Times New Roman" w:hAnsi="Times New Roman"/>
          <w:sz w:val="24"/>
          <w:szCs w:val="24"/>
          <w:lang w:val="sq-AL"/>
        </w:rPr>
        <w:t>ë</w:t>
      </w:r>
      <w:r w:rsidRPr="00037FB1">
        <w:rPr>
          <w:rFonts w:ascii="Times New Roman" w:hAnsi="Times New Roman"/>
          <w:sz w:val="24"/>
          <w:szCs w:val="24"/>
          <w:lang w:val="sq-AL"/>
        </w:rPr>
        <w:t>rshtuar nga asnj</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prej pal</w:t>
      </w:r>
      <w:r w:rsidR="00C4630B" w:rsidRPr="00037FB1">
        <w:rPr>
          <w:rFonts w:ascii="Times New Roman" w:hAnsi="Times New Roman"/>
          <w:sz w:val="24"/>
          <w:szCs w:val="24"/>
          <w:lang w:val="sq-AL"/>
        </w:rPr>
        <w:t>ë</w:t>
      </w:r>
      <w:r w:rsidRPr="00037FB1">
        <w:rPr>
          <w:rFonts w:ascii="Times New Roman" w:hAnsi="Times New Roman"/>
          <w:sz w:val="24"/>
          <w:szCs w:val="24"/>
          <w:lang w:val="sq-AL"/>
        </w:rPr>
        <w:t>v</w:t>
      </w:r>
      <w:r w:rsidR="007847EB" w:rsidRPr="00037FB1">
        <w:rPr>
          <w:rFonts w:ascii="Times New Roman" w:hAnsi="Times New Roman"/>
          <w:sz w:val="24"/>
          <w:szCs w:val="24"/>
          <w:lang w:val="sq-AL"/>
        </w:rPr>
        <w:t>e</w:t>
      </w:r>
      <w:r w:rsidRPr="00037FB1">
        <w:rPr>
          <w:rFonts w:ascii="Times New Roman" w:hAnsi="Times New Roman"/>
          <w:sz w:val="24"/>
          <w:szCs w:val="24"/>
          <w:lang w:val="sq-AL"/>
        </w:rPr>
        <w:t>, Gjykata v</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n</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pah se interesi publik i mbrojtjes s</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sh</w:t>
      </w:r>
      <w:r w:rsidR="00C4630B" w:rsidRPr="00037FB1">
        <w:rPr>
          <w:rFonts w:ascii="Times New Roman" w:hAnsi="Times New Roman"/>
          <w:sz w:val="24"/>
          <w:szCs w:val="24"/>
          <w:lang w:val="sq-AL"/>
        </w:rPr>
        <w:t>ë</w:t>
      </w:r>
      <w:r w:rsidRPr="00037FB1">
        <w:rPr>
          <w:rFonts w:ascii="Times New Roman" w:hAnsi="Times New Roman"/>
          <w:sz w:val="24"/>
          <w:szCs w:val="24"/>
          <w:lang w:val="sq-AL"/>
        </w:rPr>
        <w:t>ndetit dikton marrjen e masave kufizuese. Gjithsesi</w:t>
      </w:r>
      <w:r w:rsidR="006F467A">
        <w:rPr>
          <w:rFonts w:ascii="Times New Roman" w:hAnsi="Times New Roman"/>
          <w:sz w:val="24"/>
          <w:szCs w:val="24"/>
          <w:lang w:val="sq-AL"/>
        </w:rPr>
        <w:t>,</w:t>
      </w:r>
      <w:r w:rsidRPr="00037FB1">
        <w:rPr>
          <w:rFonts w:ascii="Times New Roman" w:hAnsi="Times New Roman"/>
          <w:sz w:val="24"/>
          <w:szCs w:val="24"/>
          <w:lang w:val="sq-AL"/>
        </w:rPr>
        <w:t xml:space="preserve"> p</w:t>
      </w:r>
      <w:r w:rsidR="00C4630B" w:rsidRPr="00037FB1">
        <w:rPr>
          <w:rFonts w:ascii="Times New Roman" w:hAnsi="Times New Roman"/>
          <w:sz w:val="24"/>
          <w:szCs w:val="24"/>
          <w:lang w:val="sq-AL"/>
        </w:rPr>
        <w:t>ë</w:t>
      </w:r>
      <w:r w:rsidRPr="00037FB1">
        <w:rPr>
          <w:rFonts w:ascii="Times New Roman" w:hAnsi="Times New Roman"/>
          <w:sz w:val="24"/>
          <w:szCs w:val="24"/>
          <w:lang w:val="sq-AL"/>
        </w:rPr>
        <w:t>rcaktimi i politikave t</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sh</w:t>
      </w:r>
      <w:r w:rsidR="00C4630B" w:rsidRPr="00037FB1">
        <w:rPr>
          <w:rFonts w:ascii="Times New Roman" w:hAnsi="Times New Roman"/>
          <w:sz w:val="24"/>
          <w:szCs w:val="24"/>
          <w:lang w:val="sq-AL"/>
        </w:rPr>
        <w:t>ë</w:t>
      </w:r>
      <w:r w:rsidRPr="00037FB1">
        <w:rPr>
          <w:rFonts w:ascii="Times New Roman" w:hAnsi="Times New Roman"/>
          <w:sz w:val="24"/>
          <w:szCs w:val="24"/>
          <w:lang w:val="sq-AL"/>
        </w:rPr>
        <w:t>ndetit publik nuk b</w:t>
      </w:r>
      <w:r w:rsidR="00C4630B" w:rsidRPr="00037FB1">
        <w:rPr>
          <w:rFonts w:ascii="Times New Roman" w:hAnsi="Times New Roman"/>
          <w:sz w:val="24"/>
          <w:szCs w:val="24"/>
          <w:lang w:val="sq-AL"/>
        </w:rPr>
        <w:t>ë</w:t>
      </w:r>
      <w:r w:rsidRPr="00037FB1">
        <w:rPr>
          <w:rFonts w:ascii="Times New Roman" w:hAnsi="Times New Roman"/>
          <w:sz w:val="24"/>
          <w:szCs w:val="24"/>
          <w:lang w:val="sq-AL"/>
        </w:rPr>
        <w:t>n pjes</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n</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kompetencat e k</w:t>
      </w:r>
      <w:r w:rsidR="00C4630B" w:rsidRPr="00037FB1">
        <w:rPr>
          <w:rFonts w:ascii="Times New Roman" w:hAnsi="Times New Roman"/>
          <w:sz w:val="24"/>
          <w:szCs w:val="24"/>
          <w:lang w:val="sq-AL"/>
        </w:rPr>
        <w:t>ë</w:t>
      </w:r>
      <w:r w:rsidRPr="00037FB1">
        <w:rPr>
          <w:rFonts w:ascii="Times New Roman" w:hAnsi="Times New Roman"/>
          <w:sz w:val="24"/>
          <w:szCs w:val="24"/>
          <w:lang w:val="sq-AL"/>
        </w:rPr>
        <w:t>saj Gjykate, e cila edhe vet</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 respekton institucionet p</w:t>
      </w:r>
      <w:r w:rsidR="00C4630B" w:rsidRPr="00037FB1">
        <w:rPr>
          <w:rFonts w:ascii="Times New Roman" w:hAnsi="Times New Roman"/>
          <w:sz w:val="24"/>
          <w:szCs w:val="24"/>
          <w:lang w:val="sq-AL"/>
        </w:rPr>
        <w:t>ë</w:t>
      </w:r>
      <w:r w:rsidRPr="00037FB1">
        <w:rPr>
          <w:rFonts w:ascii="Times New Roman" w:hAnsi="Times New Roman"/>
          <w:sz w:val="24"/>
          <w:szCs w:val="24"/>
          <w:lang w:val="sq-AL"/>
        </w:rPr>
        <w:t>rkat</w:t>
      </w:r>
      <w:r w:rsidR="00C4630B" w:rsidRPr="00037FB1">
        <w:rPr>
          <w:rFonts w:ascii="Times New Roman" w:hAnsi="Times New Roman"/>
          <w:sz w:val="24"/>
          <w:szCs w:val="24"/>
          <w:lang w:val="sq-AL"/>
        </w:rPr>
        <w:t>ë</w:t>
      </w:r>
      <w:r w:rsidRPr="00037FB1">
        <w:rPr>
          <w:rFonts w:ascii="Times New Roman" w:hAnsi="Times New Roman"/>
          <w:sz w:val="24"/>
          <w:szCs w:val="24"/>
          <w:lang w:val="sq-AL"/>
        </w:rPr>
        <w:t>s</w:t>
      </w:r>
      <w:r w:rsidR="00AA7423" w:rsidRPr="00037FB1">
        <w:rPr>
          <w:rFonts w:ascii="Times New Roman" w:hAnsi="Times New Roman"/>
          <w:sz w:val="24"/>
          <w:szCs w:val="24"/>
          <w:lang w:val="sq-AL"/>
        </w:rPr>
        <w:t>e</w:t>
      </w:r>
      <w:r w:rsidRPr="00037FB1">
        <w:rPr>
          <w:rFonts w:ascii="Times New Roman" w:hAnsi="Times New Roman"/>
          <w:sz w:val="24"/>
          <w:szCs w:val="24"/>
          <w:lang w:val="sq-AL"/>
        </w:rPr>
        <w:t xml:space="preserve"> sh</w:t>
      </w:r>
      <w:r w:rsidR="00C4630B" w:rsidRPr="00037FB1">
        <w:rPr>
          <w:rFonts w:ascii="Times New Roman" w:hAnsi="Times New Roman"/>
          <w:sz w:val="24"/>
          <w:szCs w:val="24"/>
          <w:lang w:val="sq-AL"/>
        </w:rPr>
        <w:t>ë</w:t>
      </w:r>
      <w:r w:rsidRPr="00037FB1">
        <w:rPr>
          <w:rFonts w:ascii="Times New Roman" w:hAnsi="Times New Roman"/>
          <w:sz w:val="24"/>
          <w:szCs w:val="24"/>
          <w:lang w:val="sq-AL"/>
        </w:rPr>
        <w:t>ndet</w:t>
      </w:r>
      <w:r w:rsidR="00CC3901" w:rsidRPr="00037FB1">
        <w:rPr>
          <w:rFonts w:ascii="Times New Roman" w:hAnsi="Times New Roman"/>
          <w:sz w:val="24"/>
          <w:szCs w:val="24"/>
          <w:lang w:val="sq-AL"/>
        </w:rPr>
        <w:t>ë</w:t>
      </w:r>
      <w:r w:rsidRPr="00037FB1">
        <w:rPr>
          <w:rFonts w:ascii="Times New Roman" w:hAnsi="Times New Roman"/>
          <w:sz w:val="24"/>
          <w:szCs w:val="24"/>
          <w:lang w:val="sq-AL"/>
        </w:rPr>
        <w:t>sore dhe profesionale.</w:t>
      </w:r>
    </w:p>
    <w:p w:rsidR="00F31D90" w:rsidRPr="00037FB1" w:rsidRDefault="00AA7423" w:rsidP="0037360A">
      <w:pPr>
        <w:pStyle w:val="ListParagraph"/>
        <w:numPr>
          <w:ilvl w:val="0"/>
          <w:numId w:val="22"/>
        </w:numPr>
        <w:tabs>
          <w:tab w:val="left" w:pos="720"/>
          <w:tab w:val="left" w:pos="810"/>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Pavar</w:t>
      </w:r>
      <w:r w:rsidR="00CC3901" w:rsidRPr="00037FB1">
        <w:rPr>
          <w:rFonts w:ascii="Times New Roman" w:hAnsi="Times New Roman"/>
          <w:sz w:val="24"/>
          <w:szCs w:val="24"/>
          <w:lang w:val="sq-AL"/>
        </w:rPr>
        <w:t>ë</w:t>
      </w:r>
      <w:r w:rsidRPr="00037FB1">
        <w:rPr>
          <w:rFonts w:ascii="Times New Roman" w:hAnsi="Times New Roman"/>
          <w:sz w:val="24"/>
          <w:szCs w:val="24"/>
          <w:lang w:val="sq-AL"/>
        </w:rPr>
        <w:t>sisht rezerv</w:t>
      </w:r>
      <w:r w:rsidR="00CC3901" w:rsidRPr="00037FB1">
        <w:rPr>
          <w:rFonts w:ascii="Times New Roman" w:hAnsi="Times New Roman"/>
          <w:sz w:val="24"/>
          <w:szCs w:val="24"/>
          <w:lang w:val="sq-AL"/>
        </w:rPr>
        <w:t>ë</w:t>
      </w:r>
      <w:r w:rsidRPr="00037FB1">
        <w:rPr>
          <w:rFonts w:ascii="Times New Roman" w:hAnsi="Times New Roman"/>
          <w:sz w:val="24"/>
          <w:szCs w:val="24"/>
          <w:lang w:val="sq-AL"/>
        </w:rPr>
        <w:t>s s</w:t>
      </w:r>
      <w:r w:rsidR="00CC3901" w:rsidRPr="00037FB1">
        <w:rPr>
          <w:rFonts w:ascii="Times New Roman" w:hAnsi="Times New Roman"/>
          <w:sz w:val="24"/>
          <w:szCs w:val="24"/>
          <w:lang w:val="sq-AL"/>
        </w:rPr>
        <w:t>ë</w:t>
      </w:r>
      <w:r w:rsidRPr="00037FB1">
        <w:rPr>
          <w:rFonts w:ascii="Times New Roman" w:hAnsi="Times New Roman"/>
          <w:sz w:val="24"/>
          <w:szCs w:val="24"/>
          <w:lang w:val="sq-AL"/>
        </w:rPr>
        <w:t xml:space="preserve"> m</w:t>
      </w:r>
      <w:r w:rsidR="00CC3901" w:rsidRPr="00037FB1">
        <w:rPr>
          <w:rFonts w:ascii="Times New Roman" w:hAnsi="Times New Roman"/>
          <w:sz w:val="24"/>
          <w:szCs w:val="24"/>
          <w:lang w:val="sq-AL"/>
        </w:rPr>
        <w:t>ë</w:t>
      </w:r>
      <w:r w:rsidRPr="00037FB1">
        <w:rPr>
          <w:rFonts w:ascii="Times New Roman" w:hAnsi="Times New Roman"/>
          <w:sz w:val="24"/>
          <w:szCs w:val="24"/>
          <w:lang w:val="sq-AL"/>
        </w:rPr>
        <w:t>sip</w:t>
      </w:r>
      <w:r w:rsidR="00CC3901" w:rsidRPr="00037FB1">
        <w:rPr>
          <w:rFonts w:ascii="Times New Roman" w:hAnsi="Times New Roman"/>
          <w:sz w:val="24"/>
          <w:szCs w:val="24"/>
          <w:lang w:val="sq-AL"/>
        </w:rPr>
        <w:t>ë</w:t>
      </w:r>
      <w:r w:rsidRPr="00037FB1">
        <w:rPr>
          <w:rFonts w:ascii="Times New Roman" w:hAnsi="Times New Roman"/>
          <w:sz w:val="24"/>
          <w:szCs w:val="24"/>
          <w:lang w:val="sq-AL"/>
        </w:rPr>
        <w:t>rme p</w:t>
      </w:r>
      <w:r w:rsidR="00CC3901" w:rsidRPr="00037FB1">
        <w:rPr>
          <w:rFonts w:ascii="Times New Roman" w:hAnsi="Times New Roman"/>
          <w:sz w:val="24"/>
          <w:szCs w:val="24"/>
          <w:lang w:val="sq-AL"/>
        </w:rPr>
        <w:t>ë</w:t>
      </w:r>
      <w:r w:rsidRPr="00037FB1">
        <w:rPr>
          <w:rFonts w:ascii="Times New Roman" w:hAnsi="Times New Roman"/>
          <w:sz w:val="24"/>
          <w:szCs w:val="24"/>
          <w:lang w:val="sq-AL"/>
        </w:rPr>
        <w:t>r aspektin teknik t</w:t>
      </w:r>
      <w:r w:rsidR="00CC3901" w:rsidRPr="00037FB1">
        <w:rPr>
          <w:rFonts w:ascii="Times New Roman" w:hAnsi="Times New Roman"/>
          <w:sz w:val="24"/>
          <w:szCs w:val="24"/>
          <w:lang w:val="sq-AL"/>
        </w:rPr>
        <w:t>ë</w:t>
      </w:r>
      <w:r w:rsidRPr="00037FB1">
        <w:rPr>
          <w:rFonts w:ascii="Times New Roman" w:hAnsi="Times New Roman"/>
          <w:sz w:val="24"/>
          <w:szCs w:val="24"/>
          <w:lang w:val="sq-AL"/>
        </w:rPr>
        <w:t xml:space="preserve"> masave, ç</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shtja e paraqitur p</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r gjykim i jep mund</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sin</w:t>
      </w:r>
      <w:r w:rsidR="00CC3901"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Gjykat</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s t</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analizoj</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r</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nd</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sin</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e ruajtjes s</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sh</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ndetit publik, si pjes</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e q</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llim</w:t>
      </w:r>
      <w:r w:rsidR="00F65290" w:rsidRPr="00037FB1">
        <w:rPr>
          <w:rFonts w:ascii="Times New Roman" w:hAnsi="Times New Roman"/>
          <w:sz w:val="24"/>
          <w:szCs w:val="24"/>
          <w:lang w:val="sq-AL"/>
        </w:rPr>
        <w:t>i</w:t>
      </w:r>
      <w:r w:rsidR="00A21C0A" w:rsidRPr="00037FB1">
        <w:rPr>
          <w:rFonts w:ascii="Times New Roman" w:hAnsi="Times New Roman"/>
          <w:sz w:val="24"/>
          <w:szCs w:val="24"/>
          <w:lang w:val="sq-AL"/>
        </w:rPr>
        <w:t>t legjitim q</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justifikon kufizimet e lirive dhe t</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drejtave kushtetuese n</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kushtet e pandemis</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N</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k</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t</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 xml:space="preserve"> k</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ndv</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shtrim</w:t>
      </w:r>
      <w:r w:rsidR="00A36A0A">
        <w:rPr>
          <w:rFonts w:ascii="Times New Roman" w:hAnsi="Times New Roman"/>
          <w:sz w:val="24"/>
          <w:szCs w:val="24"/>
          <w:lang w:val="sq-AL"/>
        </w:rPr>
        <w:t>,</w:t>
      </w:r>
      <w:r w:rsidR="00A21C0A" w:rsidRPr="00037FB1">
        <w:rPr>
          <w:rFonts w:ascii="Times New Roman" w:hAnsi="Times New Roman"/>
          <w:sz w:val="24"/>
          <w:szCs w:val="24"/>
          <w:lang w:val="sq-AL"/>
        </w:rPr>
        <w:t xml:space="preserve"> </w:t>
      </w:r>
      <w:r w:rsidR="00F31D90" w:rsidRPr="00037FB1">
        <w:rPr>
          <w:rFonts w:ascii="Times New Roman" w:hAnsi="Times New Roman"/>
          <w:sz w:val="24"/>
          <w:szCs w:val="24"/>
          <w:lang w:val="sq-AL"/>
        </w:rPr>
        <w:t xml:space="preserve">Gjykata vëren se pandemia </w:t>
      </w:r>
      <w:r w:rsidR="00293B82">
        <w:rPr>
          <w:rFonts w:ascii="Times New Roman" w:hAnsi="Times New Roman"/>
          <w:sz w:val="24"/>
          <w:szCs w:val="24"/>
          <w:lang w:val="sq-AL"/>
        </w:rPr>
        <w:t>COVID</w:t>
      </w:r>
      <w:r w:rsidR="00F31D90" w:rsidRPr="00037FB1">
        <w:rPr>
          <w:rFonts w:ascii="Times New Roman" w:hAnsi="Times New Roman"/>
          <w:sz w:val="24"/>
          <w:szCs w:val="24"/>
          <w:lang w:val="sq-AL"/>
        </w:rPr>
        <w:t>-19, masa e shpërndarjes së virusit, efektet e tij te shëndeti e jeta e njerëzve</w:t>
      </w:r>
      <w:r w:rsidR="00A36A0A">
        <w:rPr>
          <w:rFonts w:ascii="Times New Roman" w:hAnsi="Times New Roman"/>
          <w:sz w:val="24"/>
          <w:szCs w:val="24"/>
          <w:lang w:val="sq-AL"/>
        </w:rPr>
        <w:t>,</w:t>
      </w:r>
      <w:r w:rsidR="00F31D90" w:rsidRPr="00037FB1">
        <w:rPr>
          <w:rFonts w:ascii="Times New Roman" w:hAnsi="Times New Roman"/>
          <w:sz w:val="24"/>
          <w:szCs w:val="24"/>
          <w:lang w:val="sq-AL"/>
        </w:rPr>
        <w:t xml:space="preserve"> nga njëra anë</w:t>
      </w:r>
      <w:r w:rsidR="00A36A0A">
        <w:rPr>
          <w:rFonts w:ascii="Times New Roman" w:hAnsi="Times New Roman"/>
          <w:sz w:val="24"/>
          <w:szCs w:val="24"/>
          <w:lang w:val="sq-AL"/>
        </w:rPr>
        <w:t>,</w:t>
      </w:r>
      <w:r w:rsidR="00F31D90" w:rsidRPr="00037FB1">
        <w:rPr>
          <w:rFonts w:ascii="Times New Roman" w:hAnsi="Times New Roman"/>
          <w:sz w:val="24"/>
          <w:szCs w:val="24"/>
          <w:lang w:val="sq-AL"/>
        </w:rPr>
        <w:t xml:space="preserve"> dhe të panjohurat</w:t>
      </w:r>
      <w:r w:rsidR="00A36A0A">
        <w:rPr>
          <w:rFonts w:ascii="Times New Roman" w:hAnsi="Times New Roman"/>
          <w:sz w:val="24"/>
          <w:szCs w:val="24"/>
          <w:lang w:val="sq-AL"/>
        </w:rPr>
        <w:t>,</w:t>
      </w:r>
      <w:r w:rsidR="00F31D90" w:rsidRPr="00037FB1">
        <w:rPr>
          <w:rFonts w:ascii="Times New Roman" w:hAnsi="Times New Roman"/>
          <w:sz w:val="24"/>
          <w:szCs w:val="24"/>
          <w:lang w:val="sq-AL"/>
        </w:rPr>
        <w:t xml:space="preserve"> nga ana tjetër, me të cilat u përballën jo vetëm autoritetet publike, por edhe </w:t>
      </w:r>
      <w:r w:rsidR="00A21C0A" w:rsidRPr="00037FB1">
        <w:rPr>
          <w:rFonts w:ascii="Times New Roman" w:hAnsi="Times New Roman"/>
          <w:sz w:val="24"/>
          <w:szCs w:val="24"/>
          <w:lang w:val="sq-AL"/>
        </w:rPr>
        <w:t>individ</w:t>
      </w:r>
      <w:r w:rsidR="00C4630B" w:rsidRPr="00037FB1">
        <w:rPr>
          <w:rFonts w:ascii="Times New Roman" w:hAnsi="Times New Roman"/>
          <w:sz w:val="24"/>
          <w:szCs w:val="24"/>
          <w:lang w:val="sq-AL"/>
        </w:rPr>
        <w:t>ë</w:t>
      </w:r>
      <w:r w:rsidR="00A21C0A" w:rsidRPr="00037FB1">
        <w:rPr>
          <w:rFonts w:ascii="Times New Roman" w:hAnsi="Times New Roman"/>
          <w:sz w:val="24"/>
          <w:szCs w:val="24"/>
          <w:lang w:val="sq-AL"/>
        </w:rPr>
        <w:t>t</w:t>
      </w:r>
      <w:r w:rsidR="00F31D90" w:rsidRPr="00037FB1">
        <w:rPr>
          <w:rFonts w:ascii="Times New Roman" w:hAnsi="Times New Roman"/>
          <w:sz w:val="24"/>
          <w:szCs w:val="24"/>
          <w:lang w:val="sq-AL"/>
        </w:rPr>
        <w:t xml:space="preserve">, </w:t>
      </w:r>
      <w:r w:rsidR="00A21C0A" w:rsidRPr="00037FB1">
        <w:rPr>
          <w:rFonts w:ascii="Times New Roman" w:hAnsi="Times New Roman"/>
          <w:sz w:val="24"/>
          <w:szCs w:val="24"/>
          <w:lang w:val="sq-AL"/>
        </w:rPr>
        <w:t xml:space="preserve">vuri </w:t>
      </w:r>
      <w:r w:rsidR="00F31D90" w:rsidRPr="00037FB1">
        <w:rPr>
          <w:rFonts w:ascii="Times New Roman" w:hAnsi="Times New Roman"/>
          <w:sz w:val="24"/>
          <w:szCs w:val="24"/>
          <w:lang w:val="sq-AL"/>
        </w:rPr>
        <w:t>në vijë të parë urgjencën, pasigurinë dhe nevojën për ndërhyrje, që u materializuan në kufizime të reja dhe të forta. Megjithatë, nd</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rkoh</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 xml:space="preserve"> q</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 xml:space="preserve"> r</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nd</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si par</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sore merr nevoja p</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r t</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 xml:space="preserve"> vepruar n</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 xml:space="preserve"> p</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 xml:space="preserve">rballimin e pandemisë, çështjet e lirive dhe të </w:t>
      </w:r>
      <w:r w:rsidR="00A36A0A">
        <w:rPr>
          <w:rFonts w:ascii="Times New Roman" w:hAnsi="Times New Roman"/>
          <w:sz w:val="24"/>
          <w:szCs w:val="24"/>
          <w:lang w:val="sq-AL"/>
        </w:rPr>
        <w:t xml:space="preserve">të </w:t>
      </w:r>
      <w:r w:rsidR="00F31D90" w:rsidRPr="00037FB1">
        <w:rPr>
          <w:rFonts w:ascii="Times New Roman" w:hAnsi="Times New Roman"/>
          <w:sz w:val="24"/>
          <w:szCs w:val="24"/>
          <w:lang w:val="sq-AL"/>
        </w:rPr>
        <w:t>drejtave themelore, të cilat përbëjnë vlera kushtetuese, nuk mund të lihen mënjanë, por duhen trajtuar me t</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 xml:space="preserve"> nj</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jt</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n v</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 xml:space="preserve">mendje. </w:t>
      </w:r>
      <w:r w:rsidR="00A21C0A" w:rsidRPr="00037FB1">
        <w:rPr>
          <w:rFonts w:ascii="Times New Roman" w:hAnsi="Times New Roman"/>
          <w:sz w:val="24"/>
          <w:szCs w:val="24"/>
          <w:lang w:val="sq-AL"/>
        </w:rPr>
        <w:t xml:space="preserve">Gjykata </w:t>
      </w:r>
      <w:r w:rsidR="007847EB" w:rsidRPr="00037FB1">
        <w:rPr>
          <w:rFonts w:ascii="Times New Roman" w:hAnsi="Times New Roman"/>
          <w:sz w:val="24"/>
          <w:szCs w:val="24"/>
          <w:lang w:val="sq-AL"/>
        </w:rPr>
        <w:t>v</w:t>
      </w:r>
      <w:r w:rsidR="00C04753" w:rsidRPr="00037FB1">
        <w:rPr>
          <w:rFonts w:ascii="Times New Roman" w:hAnsi="Times New Roman"/>
          <w:sz w:val="24"/>
          <w:szCs w:val="24"/>
          <w:lang w:val="sq-AL"/>
        </w:rPr>
        <w:t>ë</w:t>
      </w:r>
      <w:r w:rsidR="007847EB" w:rsidRPr="00037FB1">
        <w:rPr>
          <w:rFonts w:ascii="Times New Roman" w:hAnsi="Times New Roman"/>
          <w:sz w:val="24"/>
          <w:szCs w:val="24"/>
          <w:lang w:val="sq-AL"/>
        </w:rPr>
        <w:t xml:space="preserve"> n</w:t>
      </w:r>
      <w:r w:rsidR="00C04753" w:rsidRPr="00037FB1">
        <w:rPr>
          <w:rFonts w:ascii="Times New Roman" w:hAnsi="Times New Roman"/>
          <w:sz w:val="24"/>
          <w:szCs w:val="24"/>
          <w:lang w:val="sq-AL"/>
        </w:rPr>
        <w:t>ë</w:t>
      </w:r>
      <w:r w:rsidR="007847EB" w:rsidRPr="00037FB1">
        <w:rPr>
          <w:rFonts w:ascii="Times New Roman" w:hAnsi="Times New Roman"/>
          <w:sz w:val="24"/>
          <w:szCs w:val="24"/>
          <w:lang w:val="sq-AL"/>
        </w:rPr>
        <w:t xml:space="preserve"> dukje</w:t>
      </w:r>
      <w:r w:rsidR="00A36A0A">
        <w:rPr>
          <w:rFonts w:ascii="Times New Roman" w:hAnsi="Times New Roman"/>
          <w:sz w:val="24"/>
          <w:szCs w:val="24"/>
          <w:lang w:val="sq-AL"/>
        </w:rPr>
        <w:t>,</w:t>
      </w:r>
      <w:r w:rsidR="007847EB" w:rsidRPr="00037FB1">
        <w:rPr>
          <w:rFonts w:ascii="Times New Roman" w:hAnsi="Times New Roman"/>
          <w:sz w:val="24"/>
          <w:szCs w:val="24"/>
          <w:lang w:val="sq-AL"/>
        </w:rPr>
        <w:t xml:space="preserve"> </w:t>
      </w:r>
      <w:r w:rsidR="00F31D90" w:rsidRPr="00037FB1">
        <w:rPr>
          <w:rFonts w:ascii="Times New Roman" w:hAnsi="Times New Roman"/>
          <w:sz w:val="24"/>
          <w:szCs w:val="24"/>
          <w:lang w:val="sq-AL"/>
        </w:rPr>
        <w:t>po ashtu</w:t>
      </w:r>
      <w:r w:rsidR="00A36A0A">
        <w:rPr>
          <w:rFonts w:ascii="Times New Roman" w:hAnsi="Times New Roman"/>
          <w:sz w:val="24"/>
          <w:szCs w:val="24"/>
          <w:lang w:val="sq-AL"/>
        </w:rPr>
        <w:t>,</w:t>
      </w:r>
      <w:r w:rsidR="00F31D90" w:rsidRPr="00037FB1">
        <w:rPr>
          <w:rFonts w:ascii="Times New Roman" w:hAnsi="Times New Roman"/>
          <w:sz w:val="24"/>
          <w:szCs w:val="24"/>
          <w:lang w:val="sq-AL"/>
        </w:rPr>
        <w:t xml:space="preserve"> se tashmë jetesa e individ</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ve nën masa kufizuese po shndërrohet në një karakteristikë të qëndrueshme të jetës së përditshme t</w:t>
      </w:r>
      <w:r w:rsidR="00C4630B" w:rsidRPr="00037FB1">
        <w:rPr>
          <w:rFonts w:ascii="Times New Roman" w:hAnsi="Times New Roman"/>
          <w:sz w:val="24"/>
          <w:szCs w:val="24"/>
          <w:lang w:val="sq-AL"/>
        </w:rPr>
        <w:t>ë</w:t>
      </w:r>
      <w:r w:rsidR="00F31D90" w:rsidRPr="00037FB1">
        <w:rPr>
          <w:rFonts w:ascii="Times New Roman" w:hAnsi="Times New Roman"/>
          <w:sz w:val="24"/>
          <w:szCs w:val="24"/>
          <w:lang w:val="sq-AL"/>
        </w:rPr>
        <w:t xml:space="preserve"> tyre</w:t>
      </w:r>
      <w:r w:rsidR="0012416F">
        <w:rPr>
          <w:rFonts w:ascii="Times New Roman" w:hAnsi="Times New Roman"/>
          <w:sz w:val="24"/>
          <w:szCs w:val="24"/>
          <w:lang w:val="sq-AL"/>
        </w:rPr>
        <w:t>.</w:t>
      </w:r>
      <w:r w:rsidR="00F31D90" w:rsidRPr="00037FB1">
        <w:rPr>
          <w:rFonts w:ascii="Times New Roman" w:hAnsi="Times New Roman"/>
          <w:sz w:val="24"/>
          <w:szCs w:val="24"/>
          <w:lang w:val="sq-AL"/>
        </w:rPr>
        <w:t xml:space="preserve"> </w:t>
      </w:r>
      <w:r w:rsidR="0012416F">
        <w:rPr>
          <w:rFonts w:ascii="Times New Roman" w:hAnsi="Times New Roman"/>
          <w:sz w:val="24"/>
          <w:szCs w:val="24"/>
          <w:lang w:val="sq-AL"/>
        </w:rPr>
        <w:t>Kjo situat</w:t>
      </w:r>
      <w:r w:rsidR="0012416F" w:rsidRPr="0012416F">
        <w:rPr>
          <w:rFonts w:ascii="Times New Roman" w:hAnsi="Times New Roman"/>
          <w:sz w:val="24"/>
          <w:szCs w:val="24"/>
          <w:lang w:val="sq-AL"/>
        </w:rPr>
        <w:t>ë</w:t>
      </w:r>
      <w:r w:rsidR="0012416F">
        <w:rPr>
          <w:rFonts w:ascii="Times New Roman" w:hAnsi="Times New Roman"/>
          <w:sz w:val="24"/>
          <w:szCs w:val="24"/>
          <w:lang w:val="sq-AL"/>
        </w:rPr>
        <w:t>, nga nj</w:t>
      </w:r>
      <w:r w:rsidR="0012416F" w:rsidRPr="0012416F">
        <w:rPr>
          <w:rFonts w:ascii="Times New Roman" w:hAnsi="Times New Roman"/>
          <w:sz w:val="24"/>
          <w:szCs w:val="24"/>
          <w:lang w:val="sq-AL"/>
        </w:rPr>
        <w:t>ë</w:t>
      </w:r>
      <w:r w:rsidR="0012416F">
        <w:rPr>
          <w:rFonts w:ascii="Times New Roman" w:hAnsi="Times New Roman"/>
          <w:sz w:val="24"/>
          <w:szCs w:val="24"/>
          <w:lang w:val="sq-AL"/>
        </w:rPr>
        <w:t>ra an</w:t>
      </w:r>
      <w:r w:rsidR="0012416F" w:rsidRPr="0012416F">
        <w:rPr>
          <w:rFonts w:ascii="Times New Roman" w:hAnsi="Times New Roman"/>
          <w:sz w:val="24"/>
          <w:szCs w:val="24"/>
          <w:lang w:val="sq-AL"/>
        </w:rPr>
        <w:t>ë</w:t>
      </w:r>
      <w:r w:rsidR="0012416F" w:rsidRPr="007E2B69">
        <w:rPr>
          <w:rFonts w:ascii="Times New Roman" w:hAnsi="Times New Roman"/>
          <w:sz w:val="24"/>
          <w:szCs w:val="24"/>
          <w:lang w:val="sq-AL"/>
        </w:rPr>
        <w:t xml:space="preserve">, </w:t>
      </w:r>
      <w:r w:rsidR="00F31D90" w:rsidRPr="007E2B69">
        <w:rPr>
          <w:rFonts w:ascii="Times New Roman" w:hAnsi="Times New Roman"/>
          <w:sz w:val="24"/>
          <w:szCs w:val="24"/>
          <w:lang w:val="sq-AL"/>
        </w:rPr>
        <w:t xml:space="preserve">rrit </w:t>
      </w:r>
      <w:r w:rsidR="0012416F" w:rsidRPr="007E2B69">
        <w:rPr>
          <w:rFonts w:ascii="Times New Roman" w:hAnsi="Times New Roman"/>
          <w:sz w:val="24"/>
          <w:szCs w:val="24"/>
          <w:lang w:val="sq-AL"/>
        </w:rPr>
        <w:t xml:space="preserve">masën e kufizimeve dhe, nga ana tjetër, </w:t>
      </w:r>
      <w:r w:rsidR="00F31D90" w:rsidRPr="007E2B69">
        <w:rPr>
          <w:rFonts w:ascii="Times New Roman" w:hAnsi="Times New Roman"/>
          <w:sz w:val="24"/>
          <w:szCs w:val="24"/>
          <w:lang w:val="sq-AL"/>
        </w:rPr>
        <w:t xml:space="preserve">zbeh peshën </w:t>
      </w:r>
      <w:r w:rsidR="0012416F" w:rsidRPr="007E2B69">
        <w:rPr>
          <w:rFonts w:ascii="Times New Roman" w:hAnsi="Times New Roman"/>
          <w:sz w:val="24"/>
          <w:szCs w:val="24"/>
          <w:lang w:val="sq-AL"/>
        </w:rPr>
        <w:t>e</w:t>
      </w:r>
      <w:r w:rsidR="00F31D90" w:rsidRPr="007E2B69">
        <w:rPr>
          <w:rFonts w:ascii="Times New Roman" w:hAnsi="Times New Roman"/>
          <w:sz w:val="24"/>
          <w:szCs w:val="24"/>
          <w:lang w:val="sq-AL"/>
        </w:rPr>
        <w:t xml:space="preserve"> nevojë</w:t>
      </w:r>
      <w:r w:rsidR="0012416F" w:rsidRPr="007E2B69">
        <w:rPr>
          <w:rFonts w:ascii="Times New Roman" w:hAnsi="Times New Roman"/>
          <w:sz w:val="24"/>
          <w:szCs w:val="24"/>
          <w:lang w:val="sq-AL"/>
        </w:rPr>
        <w:t>s për caktimin e</w:t>
      </w:r>
      <w:r w:rsidR="00F31D90" w:rsidRPr="007E2B69">
        <w:rPr>
          <w:rFonts w:ascii="Times New Roman" w:hAnsi="Times New Roman"/>
          <w:sz w:val="24"/>
          <w:szCs w:val="24"/>
          <w:lang w:val="sq-AL"/>
        </w:rPr>
        <w:t xml:space="preserve"> kufizimeve.</w:t>
      </w:r>
      <w:r w:rsidR="00F31D90" w:rsidRPr="00037FB1">
        <w:rPr>
          <w:rFonts w:ascii="Times New Roman" w:hAnsi="Times New Roman"/>
          <w:sz w:val="24"/>
          <w:szCs w:val="24"/>
          <w:lang w:val="sq-AL"/>
        </w:rPr>
        <w:t xml:space="preserve"> Thënë ndryshe, sa më shumë zgjat situata në praktikë, aq më shumë përvojë fitojnë autoritetet publike për të përballuar </w:t>
      </w:r>
      <w:r w:rsidR="00A36A0A" w:rsidRPr="007E2B69">
        <w:rPr>
          <w:rFonts w:ascii="Times New Roman" w:hAnsi="Times New Roman"/>
          <w:sz w:val="24"/>
          <w:szCs w:val="24"/>
          <w:lang w:val="sq-AL"/>
        </w:rPr>
        <w:t>pandeminë</w:t>
      </w:r>
      <w:r w:rsidR="00F31D90" w:rsidRPr="007E2B69">
        <w:rPr>
          <w:rFonts w:ascii="Times New Roman" w:hAnsi="Times New Roman"/>
          <w:sz w:val="24"/>
          <w:szCs w:val="24"/>
          <w:lang w:val="sq-AL"/>
        </w:rPr>
        <w:t xml:space="preserve"> d</w:t>
      </w:r>
      <w:r w:rsidR="00F31D90" w:rsidRPr="00037FB1">
        <w:rPr>
          <w:rFonts w:ascii="Times New Roman" w:hAnsi="Times New Roman"/>
          <w:sz w:val="24"/>
          <w:szCs w:val="24"/>
          <w:lang w:val="sq-AL"/>
        </w:rPr>
        <w:t>he</w:t>
      </w:r>
      <w:r w:rsidR="00A36A0A">
        <w:rPr>
          <w:rFonts w:ascii="Times New Roman" w:hAnsi="Times New Roman"/>
          <w:sz w:val="24"/>
          <w:szCs w:val="24"/>
          <w:lang w:val="sq-AL"/>
        </w:rPr>
        <w:t>,</w:t>
      </w:r>
      <w:r w:rsidR="00F31D90" w:rsidRPr="00037FB1">
        <w:rPr>
          <w:rFonts w:ascii="Times New Roman" w:hAnsi="Times New Roman"/>
          <w:sz w:val="24"/>
          <w:szCs w:val="24"/>
          <w:lang w:val="sq-AL"/>
        </w:rPr>
        <w:t xml:space="preserve"> për rrjedhojë, kanë kohën e mjaftueshme për të zbatuar masa të menduara mirë në të ardhmen.</w:t>
      </w:r>
    </w:p>
    <w:p w:rsidR="00817310" w:rsidRPr="00037FB1" w:rsidRDefault="00F65290" w:rsidP="0037360A">
      <w:pPr>
        <w:pStyle w:val="ListParagraph"/>
        <w:numPr>
          <w:ilvl w:val="0"/>
          <w:numId w:val="22"/>
        </w:numPr>
        <w:tabs>
          <w:tab w:val="left" w:pos="720"/>
          <w:tab w:val="left" w:pos="810"/>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P</w:t>
      </w:r>
      <w:r w:rsidR="00C4630B" w:rsidRPr="00037FB1">
        <w:rPr>
          <w:rFonts w:ascii="Times New Roman" w:hAnsi="Times New Roman"/>
          <w:sz w:val="24"/>
          <w:szCs w:val="24"/>
          <w:lang w:val="sq-AL"/>
        </w:rPr>
        <w:t>ë</w:t>
      </w:r>
      <w:r w:rsidRPr="00037FB1">
        <w:rPr>
          <w:rFonts w:ascii="Times New Roman" w:hAnsi="Times New Roman"/>
          <w:sz w:val="24"/>
          <w:szCs w:val="24"/>
          <w:lang w:val="sq-AL"/>
        </w:rPr>
        <w:t xml:space="preserve">r </w:t>
      </w:r>
      <w:r w:rsidR="00A36A0A">
        <w:rPr>
          <w:rFonts w:ascii="Times New Roman" w:hAnsi="Times New Roman"/>
          <w:sz w:val="24"/>
          <w:szCs w:val="24"/>
          <w:lang w:val="sq-AL"/>
        </w:rPr>
        <w:t xml:space="preserve">sa më sipër, </w:t>
      </w:r>
      <w:r w:rsidR="00044D43" w:rsidRPr="00037FB1">
        <w:rPr>
          <w:rFonts w:ascii="Times New Roman" w:hAnsi="Times New Roman"/>
          <w:sz w:val="24"/>
          <w:szCs w:val="24"/>
          <w:lang w:val="sq-AL"/>
        </w:rPr>
        <w:t xml:space="preserve">në kufizimin që i ka bërë </w:t>
      </w:r>
      <w:r w:rsidR="00A36A0A">
        <w:rPr>
          <w:rFonts w:ascii="Times New Roman" w:hAnsi="Times New Roman"/>
          <w:sz w:val="24"/>
          <w:szCs w:val="24"/>
          <w:lang w:val="sq-AL"/>
        </w:rPr>
        <w:t>s</w:t>
      </w:r>
      <w:r w:rsidR="00044D43" w:rsidRPr="00037FB1">
        <w:rPr>
          <w:rFonts w:ascii="Times New Roman" w:hAnsi="Times New Roman"/>
          <w:sz w:val="24"/>
          <w:szCs w:val="24"/>
          <w:lang w:val="sq-AL"/>
        </w:rPr>
        <w:t xml:space="preserve">ë drejtës së tubimit, </w:t>
      </w:r>
      <w:r w:rsidR="00A36A0A">
        <w:rPr>
          <w:rFonts w:ascii="Times New Roman" w:hAnsi="Times New Roman"/>
          <w:sz w:val="24"/>
          <w:szCs w:val="24"/>
          <w:lang w:val="sq-AL"/>
        </w:rPr>
        <w:t>MSHMS-ja</w:t>
      </w:r>
      <w:r w:rsidR="00A36A0A" w:rsidRPr="00037FB1">
        <w:rPr>
          <w:rFonts w:ascii="Times New Roman" w:hAnsi="Times New Roman"/>
          <w:sz w:val="24"/>
          <w:szCs w:val="24"/>
          <w:lang w:val="sq-AL"/>
        </w:rPr>
        <w:t xml:space="preserve"> </w:t>
      </w:r>
      <w:r w:rsidR="00044D43" w:rsidRPr="00037FB1">
        <w:rPr>
          <w:rFonts w:ascii="Times New Roman" w:hAnsi="Times New Roman"/>
          <w:sz w:val="24"/>
          <w:szCs w:val="24"/>
          <w:lang w:val="sq-AL"/>
        </w:rPr>
        <w:t>ka ndjekur një “</w:t>
      </w:r>
      <w:r w:rsidR="00044D43" w:rsidRPr="00037FB1">
        <w:rPr>
          <w:rFonts w:ascii="Times New Roman" w:hAnsi="Times New Roman"/>
          <w:i/>
          <w:iCs/>
          <w:sz w:val="24"/>
          <w:szCs w:val="24"/>
          <w:lang w:val="sq-AL"/>
        </w:rPr>
        <w:t>qëllim legjitim</w:t>
      </w:r>
      <w:r w:rsidR="00044D43" w:rsidRPr="00037FB1">
        <w:rPr>
          <w:rFonts w:ascii="Times New Roman" w:hAnsi="Times New Roman"/>
          <w:sz w:val="24"/>
          <w:szCs w:val="24"/>
          <w:lang w:val="sq-AL"/>
        </w:rPr>
        <w:t xml:space="preserve">”, përkatësisht atë të </w:t>
      </w:r>
      <w:r w:rsidR="00AA7423" w:rsidRPr="00037FB1">
        <w:rPr>
          <w:rFonts w:ascii="Times New Roman" w:hAnsi="Times New Roman"/>
          <w:sz w:val="24"/>
          <w:szCs w:val="24"/>
          <w:lang w:val="sq-AL"/>
        </w:rPr>
        <w:t>“</w:t>
      </w:r>
      <w:r w:rsidR="00904146" w:rsidRPr="00037FB1">
        <w:rPr>
          <w:rFonts w:ascii="Times New Roman" w:hAnsi="Times New Roman"/>
          <w:i/>
          <w:iCs/>
          <w:sz w:val="24"/>
          <w:szCs w:val="24"/>
          <w:lang w:val="sq-AL"/>
        </w:rPr>
        <w:t xml:space="preserve">mbrojtjes së </w:t>
      </w:r>
      <w:r w:rsidR="00044D43" w:rsidRPr="00037FB1">
        <w:rPr>
          <w:rFonts w:ascii="Times New Roman" w:hAnsi="Times New Roman"/>
          <w:i/>
          <w:iCs/>
          <w:sz w:val="24"/>
          <w:szCs w:val="24"/>
          <w:lang w:val="sq-AL"/>
        </w:rPr>
        <w:t xml:space="preserve">shëndetit </w:t>
      </w:r>
      <w:r w:rsidR="00AA7423" w:rsidRPr="00037FB1">
        <w:rPr>
          <w:rFonts w:ascii="Times New Roman" w:hAnsi="Times New Roman"/>
          <w:i/>
          <w:iCs/>
          <w:sz w:val="24"/>
          <w:szCs w:val="24"/>
          <w:lang w:val="sq-AL"/>
        </w:rPr>
        <w:t>t</w:t>
      </w:r>
      <w:r w:rsidR="00CC3901" w:rsidRPr="00037FB1">
        <w:rPr>
          <w:rFonts w:ascii="Times New Roman" w:hAnsi="Times New Roman"/>
          <w:i/>
          <w:iCs/>
          <w:sz w:val="24"/>
          <w:szCs w:val="24"/>
          <w:lang w:val="sq-AL"/>
        </w:rPr>
        <w:t>ë</w:t>
      </w:r>
      <w:r w:rsidR="00AA7423" w:rsidRPr="00037FB1">
        <w:rPr>
          <w:rFonts w:ascii="Times New Roman" w:hAnsi="Times New Roman"/>
          <w:i/>
          <w:iCs/>
          <w:sz w:val="24"/>
          <w:szCs w:val="24"/>
          <w:lang w:val="sq-AL"/>
        </w:rPr>
        <w:t xml:space="preserve"> popullat</w:t>
      </w:r>
      <w:r w:rsidR="00CC3901" w:rsidRPr="00037FB1">
        <w:rPr>
          <w:rFonts w:ascii="Times New Roman" w:hAnsi="Times New Roman"/>
          <w:i/>
          <w:iCs/>
          <w:sz w:val="24"/>
          <w:szCs w:val="24"/>
          <w:lang w:val="sq-AL"/>
        </w:rPr>
        <w:t>ë</w:t>
      </w:r>
      <w:r w:rsidR="00AA7423" w:rsidRPr="00037FB1">
        <w:rPr>
          <w:rFonts w:ascii="Times New Roman" w:hAnsi="Times New Roman"/>
          <w:i/>
          <w:iCs/>
          <w:sz w:val="24"/>
          <w:szCs w:val="24"/>
          <w:lang w:val="sq-AL"/>
        </w:rPr>
        <w:t>s nga nj</w:t>
      </w:r>
      <w:r w:rsidR="00CC3901" w:rsidRPr="00037FB1">
        <w:rPr>
          <w:rFonts w:ascii="Times New Roman" w:hAnsi="Times New Roman"/>
          <w:i/>
          <w:iCs/>
          <w:sz w:val="24"/>
          <w:szCs w:val="24"/>
          <w:lang w:val="sq-AL"/>
        </w:rPr>
        <w:t>ë</w:t>
      </w:r>
      <w:r w:rsidR="00AA7423" w:rsidRPr="00037FB1">
        <w:rPr>
          <w:rFonts w:ascii="Times New Roman" w:hAnsi="Times New Roman"/>
          <w:i/>
          <w:iCs/>
          <w:sz w:val="24"/>
          <w:szCs w:val="24"/>
          <w:lang w:val="sq-AL"/>
        </w:rPr>
        <w:t xml:space="preserve"> s</w:t>
      </w:r>
      <w:r w:rsidR="00CC3901" w:rsidRPr="00037FB1">
        <w:rPr>
          <w:rFonts w:ascii="Times New Roman" w:hAnsi="Times New Roman"/>
          <w:i/>
          <w:iCs/>
          <w:sz w:val="24"/>
          <w:szCs w:val="24"/>
          <w:lang w:val="sq-AL"/>
        </w:rPr>
        <w:t>ë</w:t>
      </w:r>
      <w:r w:rsidR="00AA7423" w:rsidRPr="00037FB1">
        <w:rPr>
          <w:rFonts w:ascii="Times New Roman" w:hAnsi="Times New Roman"/>
          <w:i/>
          <w:iCs/>
          <w:sz w:val="24"/>
          <w:szCs w:val="24"/>
          <w:lang w:val="sq-AL"/>
        </w:rPr>
        <w:t>mundje infektive me impakt t</w:t>
      </w:r>
      <w:r w:rsidR="00CC3901" w:rsidRPr="00037FB1">
        <w:rPr>
          <w:rFonts w:ascii="Times New Roman" w:hAnsi="Times New Roman"/>
          <w:i/>
          <w:iCs/>
          <w:sz w:val="24"/>
          <w:szCs w:val="24"/>
          <w:lang w:val="sq-AL"/>
        </w:rPr>
        <w:t>ë</w:t>
      </w:r>
      <w:r w:rsidR="00AA7423" w:rsidRPr="00037FB1">
        <w:rPr>
          <w:rFonts w:ascii="Times New Roman" w:hAnsi="Times New Roman"/>
          <w:i/>
          <w:iCs/>
          <w:sz w:val="24"/>
          <w:szCs w:val="24"/>
          <w:lang w:val="sq-AL"/>
        </w:rPr>
        <w:t xml:space="preserve"> madh</w:t>
      </w:r>
      <w:r w:rsidR="00044D43" w:rsidRPr="00037FB1">
        <w:rPr>
          <w:rFonts w:ascii="Times New Roman" w:hAnsi="Times New Roman"/>
          <w:sz w:val="24"/>
          <w:szCs w:val="24"/>
          <w:lang w:val="sq-AL"/>
        </w:rPr>
        <w:t>”</w:t>
      </w:r>
      <w:r w:rsidRPr="00037FB1">
        <w:rPr>
          <w:rFonts w:ascii="Times New Roman" w:hAnsi="Times New Roman"/>
          <w:sz w:val="24"/>
          <w:szCs w:val="24"/>
          <w:lang w:val="sq-AL"/>
        </w:rPr>
        <w:t xml:space="preserve">, </w:t>
      </w:r>
      <w:r w:rsidR="00AA7423" w:rsidRPr="00037FB1">
        <w:rPr>
          <w:rFonts w:ascii="Times New Roman" w:hAnsi="Times New Roman"/>
          <w:sz w:val="24"/>
          <w:szCs w:val="24"/>
          <w:lang w:val="sq-AL"/>
        </w:rPr>
        <w:t xml:space="preserve">i cili </w:t>
      </w:r>
      <w:r w:rsidR="00044D43" w:rsidRPr="00037FB1">
        <w:rPr>
          <w:rFonts w:ascii="Times New Roman" w:hAnsi="Times New Roman"/>
          <w:sz w:val="24"/>
          <w:szCs w:val="24"/>
          <w:lang w:val="sq-AL"/>
        </w:rPr>
        <w:t>për</w:t>
      </w:r>
      <w:r w:rsidR="00AA7423" w:rsidRPr="00037FB1">
        <w:rPr>
          <w:rFonts w:ascii="Times New Roman" w:hAnsi="Times New Roman"/>
          <w:sz w:val="24"/>
          <w:szCs w:val="24"/>
          <w:lang w:val="sq-AL"/>
        </w:rPr>
        <w:t>fshihet n</w:t>
      </w:r>
      <w:r w:rsidR="00CC3901" w:rsidRPr="00037FB1">
        <w:rPr>
          <w:rFonts w:ascii="Times New Roman" w:hAnsi="Times New Roman"/>
          <w:sz w:val="24"/>
          <w:szCs w:val="24"/>
          <w:lang w:val="sq-AL"/>
        </w:rPr>
        <w:t>ë</w:t>
      </w:r>
      <w:r w:rsidR="00AA7423" w:rsidRPr="00037FB1">
        <w:rPr>
          <w:rFonts w:ascii="Times New Roman" w:hAnsi="Times New Roman"/>
          <w:sz w:val="24"/>
          <w:szCs w:val="24"/>
          <w:lang w:val="sq-AL"/>
        </w:rPr>
        <w:t xml:space="preserve"> konceptin e interesit </w:t>
      </w:r>
      <w:r w:rsidR="00044D43" w:rsidRPr="00037FB1">
        <w:rPr>
          <w:rFonts w:ascii="Times New Roman" w:hAnsi="Times New Roman"/>
          <w:sz w:val="24"/>
          <w:szCs w:val="24"/>
          <w:lang w:val="sq-AL"/>
        </w:rPr>
        <w:t>publik, në kuptim të nenit 17 të Kushtetutës.</w:t>
      </w:r>
    </w:p>
    <w:p w:rsidR="00AC732A" w:rsidRPr="00037FB1" w:rsidRDefault="00AC732A" w:rsidP="0037360A">
      <w:pPr>
        <w:tabs>
          <w:tab w:val="left" w:pos="1080"/>
        </w:tabs>
        <w:spacing w:after="0" w:line="360" w:lineRule="auto"/>
        <w:ind w:firstLine="720"/>
        <w:jc w:val="both"/>
        <w:rPr>
          <w:rFonts w:ascii="Times New Roman" w:hAnsi="Times New Roman"/>
          <w:i/>
          <w:sz w:val="24"/>
          <w:szCs w:val="24"/>
          <w:lang w:val="sq-AL"/>
        </w:rPr>
      </w:pPr>
    </w:p>
    <w:p w:rsidR="00367EB7" w:rsidRPr="00037FB1" w:rsidRDefault="00EE727D" w:rsidP="0037360A">
      <w:pPr>
        <w:tabs>
          <w:tab w:val="left" w:pos="1080"/>
        </w:tabs>
        <w:spacing w:after="0" w:line="360" w:lineRule="auto"/>
        <w:ind w:firstLine="720"/>
        <w:jc w:val="both"/>
        <w:rPr>
          <w:rFonts w:ascii="Times New Roman" w:hAnsi="Times New Roman"/>
          <w:i/>
          <w:sz w:val="24"/>
          <w:szCs w:val="24"/>
          <w:lang w:val="sq-AL"/>
        </w:rPr>
      </w:pPr>
      <w:r w:rsidRPr="00037FB1">
        <w:rPr>
          <w:rFonts w:ascii="Times New Roman" w:hAnsi="Times New Roman"/>
          <w:i/>
          <w:sz w:val="24"/>
          <w:szCs w:val="24"/>
          <w:lang w:val="sq-AL"/>
        </w:rPr>
        <w:t>C</w:t>
      </w:r>
      <w:r w:rsidR="00367EB7" w:rsidRPr="00037FB1">
        <w:rPr>
          <w:rFonts w:ascii="Times New Roman" w:hAnsi="Times New Roman"/>
          <w:i/>
          <w:sz w:val="24"/>
          <w:szCs w:val="24"/>
          <w:lang w:val="sq-AL"/>
        </w:rPr>
        <w:t>.</w:t>
      </w:r>
      <w:r w:rsidRPr="00037FB1">
        <w:rPr>
          <w:rFonts w:ascii="Times New Roman" w:hAnsi="Times New Roman"/>
          <w:i/>
          <w:sz w:val="24"/>
          <w:szCs w:val="24"/>
          <w:lang w:val="sq-AL"/>
        </w:rPr>
        <w:t>2.</w:t>
      </w:r>
      <w:r w:rsidR="00367EB7" w:rsidRPr="00037FB1">
        <w:rPr>
          <w:rFonts w:ascii="Times New Roman" w:hAnsi="Times New Roman"/>
          <w:i/>
          <w:sz w:val="24"/>
          <w:szCs w:val="24"/>
          <w:lang w:val="sq-AL"/>
        </w:rPr>
        <w:t xml:space="preserve">3. </w:t>
      </w:r>
      <w:r w:rsidR="00A36A0A">
        <w:rPr>
          <w:rFonts w:ascii="Times New Roman" w:hAnsi="Times New Roman"/>
          <w:i/>
          <w:sz w:val="24"/>
          <w:szCs w:val="24"/>
          <w:lang w:val="sq-AL"/>
        </w:rPr>
        <w:t>Për</w:t>
      </w:r>
      <w:r w:rsidR="009F2F3B" w:rsidRPr="00037FB1">
        <w:rPr>
          <w:rFonts w:ascii="Times New Roman" w:hAnsi="Times New Roman"/>
          <w:i/>
          <w:sz w:val="24"/>
          <w:szCs w:val="24"/>
          <w:lang w:val="sq-AL"/>
        </w:rPr>
        <w:t xml:space="preserve"> kriterin e proporcionalitetit</w:t>
      </w:r>
      <w:r w:rsidR="00367EB7" w:rsidRPr="00037FB1">
        <w:rPr>
          <w:rFonts w:ascii="Times New Roman" w:hAnsi="Times New Roman"/>
          <w:i/>
          <w:sz w:val="24"/>
          <w:szCs w:val="24"/>
          <w:lang w:val="sq-AL"/>
        </w:rPr>
        <w:t xml:space="preserve"> </w:t>
      </w:r>
    </w:p>
    <w:p w:rsidR="00F26E4A" w:rsidRPr="00037FB1" w:rsidRDefault="00D1248F" w:rsidP="0037360A">
      <w:pPr>
        <w:tabs>
          <w:tab w:val="left" w:pos="142"/>
          <w:tab w:val="left" w:pos="720"/>
          <w:tab w:val="left" w:pos="810"/>
          <w:tab w:val="left" w:pos="1080"/>
        </w:tabs>
        <w:spacing w:after="0" w:line="360" w:lineRule="auto"/>
        <w:ind w:firstLine="720"/>
        <w:jc w:val="both"/>
        <w:rPr>
          <w:rFonts w:ascii="Times New Roman" w:eastAsia="Arial Unicode MS" w:hAnsi="Times New Roman"/>
          <w:sz w:val="24"/>
          <w:szCs w:val="24"/>
          <w:lang w:val="sq-AL"/>
        </w:rPr>
      </w:pPr>
      <w:r w:rsidRPr="00037FB1">
        <w:rPr>
          <w:rFonts w:ascii="Times New Roman" w:eastAsia="Arial Unicode MS" w:hAnsi="Times New Roman"/>
          <w:sz w:val="24"/>
          <w:szCs w:val="24"/>
          <w:lang w:val="sq-AL"/>
        </w:rPr>
        <w:t>58</w:t>
      </w:r>
      <w:r w:rsidR="008D76D8" w:rsidRPr="00037FB1">
        <w:rPr>
          <w:rFonts w:ascii="Times New Roman" w:eastAsia="Arial Unicode MS" w:hAnsi="Times New Roman"/>
          <w:sz w:val="24"/>
          <w:szCs w:val="24"/>
          <w:lang w:val="sq-AL"/>
        </w:rPr>
        <w:t xml:space="preserve">. </w:t>
      </w:r>
      <w:r w:rsidR="00367EB7" w:rsidRPr="00037FB1">
        <w:rPr>
          <w:rFonts w:ascii="Times New Roman" w:eastAsia="Arial Unicode MS" w:hAnsi="Times New Roman"/>
          <w:sz w:val="24"/>
          <w:szCs w:val="24"/>
          <w:lang w:val="sq-AL"/>
        </w:rPr>
        <w:t>Bazuar në nenin 17 të Kushtetutës</w:t>
      </w:r>
      <w:r w:rsidR="00451DD5" w:rsidRPr="00037FB1">
        <w:rPr>
          <w:rFonts w:ascii="Times New Roman" w:eastAsia="Arial Unicode MS" w:hAnsi="Times New Roman"/>
          <w:sz w:val="24"/>
          <w:szCs w:val="24"/>
          <w:lang w:val="sq-AL"/>
        </w:rPr>
        <w:t>,</w:t>
      </w:r>
      <w:r w:rsidR="00367EB7" w:rsidRPr="00037FB1">
        <w:rPr>
          <w:rFonts w:ascii="Times New Roman" w:eastAsia="Arial Unicode MS" w:hAnsi="Times New Roman"/>
          <w:sz w:val="24"/>
          <w:szCs w:val="24"/>
          <w:lang w:val="sq-AL"/>
        </w:rPr>
        <w:t xml:space="preserve"> </w:t>
      </w:r>
      <w:r w:rsidR="008E76A8" w:rsidRPr="00037FB1">
        <w:rPr>
          <w:rFonts w:ascii="Times New Roman" w:eastAsia="Arial Unicode MS" w:hAnsi="Times New Roman"/>
          <w:sz w:val="24"/>
          <w:szCs w:val="24"/>
          <w:lang w:val="sq-AL"/>
        </w:rPr>
        <w:t xml:space="preserve">kriteri tjetër për </w:t>
      </w:r>
      <w:r w:rsidR="00367EB7" w:rsidRPr="00037FB1">
        <w:rPr>
          <w:rFonts w:ascii="Times New Roman" w:eastAsia="Arial Unicode MS" w:hAnsi="Times New Roman"/>
          <w:sz w:val="24"/>
          <w:szCs w:val="24"/>
          <w:lang w:val="sq-AL"/>
        </w:rPr>
        <w:t>kufizimi</w:t>
      </w:r>
      <w:r w:rsidR="008E76A8" w:rsidRPr="00037FB1">
        <w:rPr>
          <w:rFonts w:ascii="Times New Roman" w:eastAsia="Arial Unicode MS" w:hAnsi="Times New Roman"/>
          <w:sz w:val="24"/>
          <w:szCs w:val="24"/>
          <w:lang w:val="sq-AL"/>
        </w:rPr>
        <w:t>n e</w:t>
      </w:r>
      <w:r w:rsidR="00367EB7" w:rsidRPr="00037FB1">
        <w:rPr>
          <w:rFonts w:ascii="Times New Roman" w:eastAsia="Arial Unicode MS" w:hAnsi="Times New Roman"/>
          <w:sz w:val="24"/>
          <w:szCs w:val="24"/>
          <w:lang w:val="sq-AL"/>
        </w:rPr>
        <w:t xml:space="preserve"> të drejtave themelore </w:t>
      </w:r>
      <w:r w:rsidR="008E76A8" w:rsidRPr="00037FB1">
        <w:rPr>
          <w:rFonts w:ascii="Times New Roman" w:eastAsia="Arial Unicode MS" w:hAnsi="Times New Roman"/>
          <w:sz w:val="24"/>
          <w:szCs w:val="24"/>
          <w:lang w:val="sq-AL"/>
        </w:rPr>
        <w:t xml:space="preserve">është </w:t>
      </w:r>
      <w:r w:rsidR="00687598" w:rsidRPr="00037FB1">
        <w:rPr>
          <w:rFonts w:ascii="Times New Roman" w:hAnsi="Times New Roman"/>
          <w:sz w:val="24"/>
          <w:szCs w:val="24"/>
          <w:lang w:val="sq-AL"/>
        </w:rPr>
        <w:t>përpjesëtimi</w:t>
      </w:r>
      <w:r w:rsidR="008E76A8" w:rsidRPr="00037FB1">
        <w:rPr>
          <w:rFonts w:ascii="Times New Roman" w:hAnsi="Times New Roman"/>
          <w:sz w:val="24"/>
          <w:szCs w:val="24"/>
          <w:lang w:val="sq-AL"/>
        </w:rPr>
        <w:t xml:space="preserve"> i drejtë midis ndërhyrjes dhe gjendjes që e dikton atë</w:t>
      </w:r>
      <w:r w:rsidR="00367EB7" w:rsidRPr="00037FB1">
        <w:rPr>
          <w:rFonts w:ascii="Times New Roman" w:eastAsia="Arial Unicode MS" w:hAnsi="Times New Roman"/>
          <w:sz w:val="24"/>
          <w:szCs w:val="24"/>
          <w:lang w:val="sq-AL"/>
        </w:rPr>
        <w:t>. Këto kufizime nuk mund të cenojnë thelbin e lirive dhe të të drejtave dhe në asnjë rast nuk mund të tejkalojnë kufizimet e parashikuara në K</w:t>
      </w:r>
      <w:r w:rsidR="00451DD5" w:rsidRPr="00037FB1">
        <w:rPr>
          <w:rFonts w:ascii="Times New Roman" w:eastAsia="Arial Unicode MS" w:hAnsi="Times New Roman"/>
          <w:sz w:val="24"/>
          <w:szCs w:val="24"/>
          <w:lang w:val="sq-AL"/>
        </w:rPr>
        <w:t>EDN</w:t>
      </w:r>
      <w:r w:rsidR="00A36A0A">
        <w:rPr>
          <w:rFonts w:ascii="Times New Roman" w:eastAsia="Arial Unicode MS" w:hAnsi="Times New Roman"/>
          <w:sz w:val="24"/>
          <w:szCs w:val="24"/>
          <w:lang w:val="sq-AL"/>
        </w:rPr>
        <w:t>J</w:t>
      </w:r>
      <w:r w:rsidR="00451DD5" w:rsidRPr="00037FB1">
        <w:rPr>
          <w:rFonts w:ascii="Times New Roman" w:eastAsia="Arial Unicode MS" w:hAnsi="Times New Roman"/>
          <w:sz w:val="24"/>
          <w:szCs w:val="24"/>
          <w:lang w:val="sq-AL"/>
        </w:rPr>
        <w:t>.</w:t>
      </w:r>
      <w:r w:rsidR="00367EB7" w:rsidRPr="00037FB1">
        <w:rPr>
          <w:rFonts w:ascii="Times New Roman" w:eastAsia="Arial Unicode MS" w:hAnsi="Times New Roman"/>
          <w:sz w:val="24"/>
          <w:szCs w:val="24"/>
          <w:lang w:val="sq-AL"/>
        </w:rPr>
        <w:t xml:space="preserve"> </w:t>
      </w:r>
    </w:p>
    <w:p w:rsidR="00F26E4A" w:rsidRPr="00037FB1" w:rsidRDefault="008D76D8" w:rsidP="0037360A">
      <w:pPr>
        <w:tabs>
          <w:tab w:val="left" w:pos="142"/>
          <w:tab w:val="left" w:pos="720"/>
          <w:tab w:val="left" w:pos="810"/>
          <w:tab w:val="left" w:pos="1080"/>
        </w:tabs>
        <w:spacing w:after="0" w:line="360" w:lineRule="auto"/>
        <w:ind w:firstLine="720"/>
        <w:jc w:val="both"/>
        <w:rPr>
          <w:rFonts w:ascii="Times New Roman" w:eastAsia="Arial Unicode MS" w:hAnsi="Times New Roman"/>
          <w:sz w:val="24"/>
          <w:szCs w:val="24"/>
          <w:lang w:val="sq-AL"/>
        </w:rPr>
      </w:pPr>
      <w:r w:rsidRPr="00037FB1">
        <w:rPr>
          <w:rFonts w:ascii="Times New Roman" w:eastAsia="Arial Unicode MS" w:hAnsi="Times New Roman"/>
          <w:sz w:val="24"/>
          <w:szCs w:val="24"/>
          <w:lang w:val="sq-AL"/>
        </w:rPr>
        <w:t>5</w:t>
      </w:r>
      <w:r w:rsidR="00D1248F" w:rsidRPr="00037FB1">
        <w:rPr>
          <w:rFonts w:ascii="Times New Roman" w:eastAsia="Arial Unicode MS" w:hAnsi="Times New Roman"/>
          <w:sz w:val="24"/>
          <w:szCs w:val="24"/>
          <w:lang w:val="sq-AL"/>
        </w:rPr>
        <w:t>9</w:t>
      </w:r>
      <w:r w:rsidRPr="00037FB1">
        <w:rPr>
          <w:rFonts w:ascii="Times New Roman" w:eastAsia="Arial Unicode MS" w:hAnsi="Times New Roman"/>
          <w:sz w:val="24"/>
          <w:szCs w:val="24"/>
          <w:lang w:val="sq-AL"/>
        </w:rPr>
        <w:t xml:space="preserve">. </w:t>
      </w:r>
      <w:r w:rsidR="00A36A0A">
        <w:rPr>
          <w:rFonts w:ascii="Times New Roman" w:eastAsia="Arial Unicode MS" w:hAnsi="Times New Roman"/>
          <w:sz w:val="24"/>
          <w:szCs w:val="24"/>
          <w:lang w:val="sq-AL"/>
        </w:rPr>
        <w:t>Gjykata</w:t>
      </w:r>
      <w:r w:rsidR="00367EB7" w:rsidRPr="00037FB1">
        <w:rPr>
          <w:rFonts w:ascii="Times New Roman" w:eastAsia="Arial Unicode MS" w:hAnsi="Times New Roman"/>
          <w:sz w:val="24"/>
          <w:szCs w:val="24"/>
          <w:lang w:val="sq-AL"/>
        </w:rPr>
        <w:t xml:space="preserve"> në </w:t>
      </w:r>
      <w:r w:rsidR="00EE727D" w:rsidRPr="00037FB1">
        <w:rPr>
          <w:rFonts w:ascii="Times New Roman" w:eastAsia="Arial Unicode MS" w:hAnsi="Times New Roman"/>
          <w:sz w:val="24"/>
          <w:szCs w:val="24"/>
          <w:lang w:val="sq-AL"/>
        </w:rPr>
        <w:t>mënyrë</w:t>
      </w:r>
      <w:r w:rsidR="00367EB7" w:rsidRPr="00037FB1">
        <w:rPr>
          <w:rFonts w:ascii="Times New Roman" w:eastAsia="Arial Unicode MS" w:hAnsi="Times New Roman"/>
          <w:sz w:val="24"/>
          <w:szCs w:val="24"/>
          <w:lang w:val="sq-AL"/>
        </w:rPr>
        <w:t xml:space="preserve"> të vazhdueshme ka mbajtur qëndrimin se parimi i proporcionalitetit nënkupton që ndërhyrja e ligjvënësit për kufizimin e një të drejte ose lirie të caktuar të bëhet me mjete të përshtatshme që i përgjigjen drejt qëllimit që synohet të arrihet</w:t>
      </w:r>
      <w:r w:rsidR="00367EB7" w:rsidRPr="00037FB1">
        <w:rPr>
          <w:rFonts w:ascii="Times New Roman" w:eastAsia="Arial Unicode MS" w:hAnsi="Times New Roman"/>
          <w:i/>
          <w:sz w:val="24"/>
          <w:szCs w:val="24"/>
          <w:lang w:val="sq-AL"/>
        </w:rPr>
        <w:t>.</w:t>
      </w:r>
      <w:r w:rsidR="00367EB7" w:rsidRPr="00037FB1">
        <w:rPr>
          <w:rFonts w:ascii="Times New Roman" w:eastAsia="Arial Unicode MS" w:hAnsi="Times New Roman"/>
          <w:sz w:val="24"/>
          <w:szCs w:val="24"/>
          <w:lang w:val="sq-AL"/>
        </w:rPr>
        <w:t xml:space="preserve"> Përveç kësaj, përdorimi i këtyre mjeteve duhet të jetë i domosdoshëm, çka do të thotë se synimi nuk mund të arrihet me mjete të tjera. Domosdoshmëria </w:t>
      </w:r>
      <w:r w:rsidR="00EE727D" w:rsidRPr="00037FB1">
        <w:rPr>
          <w:rFonts w:ascii="Times New Roman" w:eastAsia="Arial Unicode MS" w:hAnsi="Times New Roman"/>
          <w:sz w:val="24"/>
          <w:szCs w:val="24"/>
          <w:lang w:val="sq-AL"/>
        </w:rPr>
        <w:t>lidhet</w:t>
      </w:r>
      <w:r w:rsidR="00AA7423" w:rsidRPr="00037FB1">
        <w:rPr>
          <w:rFonts w:ascii="Times New Roman" w:eastAsia="Arial Unicode MS" w:hAnsi="Times New Roman"/>
          <w:sz w:val="24"/>
          <w:szCs w:val="24"/>
          <w:lang w:val="sq-AL"/>
        </w:rPr>
        <w:t xml:space="preserve"> </w:t>
      </w:r>
      <w:r w:rsidR="00367EB7" w:rsidRPr="00037FB1">
        <w:rPr>
          <w:rFonts w:ascii="Times New Roman" w:eastAsia="Arial Unicode MS" w:hAnsi="Times New Roman"/>
          <w:sz w:val="24"/>
          <w:szCs w:val="24"/>
          <w:lang w:val="sq-AL"/>
        </w:rPr>
        <w:t>edhe me përdorimin e mjeteve më pak të dëmshme për subjektet që u cenohen të drejtat dhe liritë. Kushti i përpjesëtimit të kufizimit me gjendjen që e ka diktuar, konkretizohet në kërkesën e domosdoshmërisë, të dobishmërisë dhe të proporcionalitetit. Respektimi i këtyre kushteve kërkon një analizë të kujdesshme në çdo rast konkret, duke ballafaquar interesin publik që dikton kufizimin me të drejtat që kufizohen. Në këtë drejtim, Gjykata thekson se respektimi i përmbushjes së kushteve të mësipërme të kufizimit kërkon një trajtim të diferencuar, në varësi të të drejtave dhe lirive individu</w:t>
      </w:r>
      <w:r w:rsidR="00AA7DC1" w:rsidRPr="00037FB1">
        <w:rPr>
          <w:rFonts w:ascii="Times New Roman" w:eastAsia="Arial Unicode MS" w:hAnsi="Times New Roman"/>
          <w:sz w:val="24"/>
          <w:szCs w:val="24"/>
          <w:lang w:val="sq-AL"/>
        </w:rPr>
        <w:t xml:space="preserve">ale që i nënshtrohen kufizimit </w:t>
      </w:r>
      <w:r w:rsidR="00AA7DC1" w:rsidRPr="00037FB1">
        <w:rPr>
          <w:rFonts w:ascii="Times New Roman" w:eastAsia="Arial Unicode MS" w:hAnsi="Times New Roman"/>
          <w:i/>
          <w:sz w:val="24"/>
          <w:szCs w:val="24"/>
          <w:lang w:val="sq-AL"/>
        </w:rPr>
        <w:t>(shih vendimet nr.</w:t>
      </w:r>
      <w:r w:rsidR="00367EB7" w:rsidRPr="00037FB1">
        <w:rPr>
          <w:rFonts w:ascii="Times New Roman" w:eastAsia="Arial Unicode MS" w:hAnsi="Times New Roman"/>
          <w:i/>
          <w:sz w:val="24"/>
          <w:szCs w:val="24"/>
          <w:lang w:val="sq-AL"/>
        </w:rPr>
        <w:t xml:space="preserve"> 1, datë 16.01.2017;  nr.</w:t>
      </w:r>
      <w:r w:rsidR="00AA7DC1" w:rsidRPr="00037FB1">
        <w:rPr>
          <w:rFonts w:ascii="Times New Roman" w:eastAsia="Arial Unicode MS" w:hAnsi="Times New Roman"/>
          <w:i/>
          <w:sz w:val="24"/>
          <w:szCs w:val="24"/>
          <w:lang w:val="sq-AL"/>
        </w:rPr>
        <w:t xml:space="preserve"> 2, datë 18.02.2013 të</w:t>
      </w:r>
      <w:r w:rsidR="00367EB7" w:rsidRPr="00037FB1">
        <w:rPr>
          <w:rFonts w:ascii="Times New Roman" w:eastAsia="Arial Unicode MS" w:hAnsi="Times New Roman"/>
          <w:i/>
          <w:sz w:val="24"/>
          <w:szCs w:val="24"/>
          <w:lang w:val="sq-AL"/>
        </w:rPr>
        <w:t xml:space="preserve"> Gjykatës Kushtetuese).</w:t>
      </w:r>
    </w:p>
    <w:p w:rsidR="00716AF3" w:rsidRPr="00037FB1" w:rsidRDefault="00D1248F" w:rsidP="0037360A">
      <w:pPr>
        <w:tabs>
          <w:tab w:val="left" w:pos="142"/>
          <w:tab w:val="left" w:pos="720"/>
          <w:tab w:val="left" w:pos="810"/>
          <w:tab w:val="left" w:pos="1080"/>
        </w:tabs>
        <w:spacing w:after="0" w:line="360" w:lineRule="auto"/>
        <w:ind w:firstLine="720"/>
        <w:jc w:val="both"/>
        <w:rPr>
          <w:rFonts w:ascii="Times New Roman" w:eastAsia="Arial Unicode MS" w:hAnsi="Times New Roman"/>
          <w:sz w:val="24"/>
          <w:szCs w:val="24"/>
          <w:lang w:val="sq-AL"/>
        </w:rPr>
      </w:pPr>
      <w:r w:rsidRPr="00037FB1">
        <w:rPr>
          <w:rFonts w:ascii="Times New Roman" w:eastAsia="Arial Unicode MS" w:hAnsi="Times New Roman"/>
          <w:sz w:val="24"/>
          <w:szCs w:val="24"/>
          <w:lang w:val="sq-AL"/>
        </w:rPr>
        <w:t>60</w:t>
      </w:r>
      <w:r w:rsidR="008D76D8" w:rsidRPr="00037FB1">
        <w:rPr>
          <w:rFonts w:ascii="Times New Roman" w:eastAsia="Arial Unicode MS" w:hAnsi="Times New Roman"/>
          <w:sz w:val="24"/>
          <w:szCs w:val="24"/>
          <w:lang w:val="sq-AL"/>
        </w:rPr>
        <w:t xml:space="preserve">. </w:t>
      </w:r>
      <w:r w:rsidR="00367EB7" w:rsidRPr="00037FB1">
        <w:rPr>
          <w:rFonts w:ascii="Times New Roman" w:eastAsia="Arial Unicode MS" w:hAnsi="Times New Roman"/>
          <w:sz w:val="24"/>
          <w:szCs w:val="24"/>
          <w:lang w:val="sq-AL"/>
        </w:rPr>
        <w:t xml:space="preserve">Në jurisprudencën e saj Gjykata, kur ka çmuar ndërhyrjen në të drejtat themelore, ka marrë parasysh kriteret në vijim: (i) </w:t>
      </w:r>
      <w:r w:rsidR="00367EB7" w:rsidRPr="00037FB1">
        <w:rPr>
          <w:rFonts w:ascii="Times New Roman" w:eastAsia="Arial Unicode MS" w:hAnsi="Times New Roman"/>
          <w:i/>
          <w:sz w:val="24"/>
          <w:szCs w:val="24"/>
          <w:lang w:val="sq-AL"/>
        </w:rPr>
        <w:t>nëse objektivi i ligjvënësit është mjaftueshëm i rëndësishëm për të justifikuar kufizimin e së drejtës; (ii) nëse masat e marra janë të lidhura në mënyrë të arsyeshme me objektivin - ato nuk mund të jenë arbitrare, të padrejta ose të bazuara mbi vlerësime alogjike; (iii) nëse mjetet e përdorura nuk janë më të ashpra se sa duhen për të arritur objektivin e kërkuar - sa më të mëdha efektet e dëmshme të masës së përzgjedhur, aq më tepër duhet të jetë i rëndësishëm objektivi për t’u arritur, në mënyrë që masa të justifikohet si e nevojshme</w:t>
      </w:r>
      <w:r w:rsidR="00367EB7" w:rsidRPr="00037FB1">
        <w:rPr>
          <w:rFonts w:ascii="Times New Roman" w:eastAsia="Arial Unicode MS" w:hAnsi="Times New Roman"/>
          <w:sz w:val="24"/>
          <w:szCs w:val="24"/>
          <w:lang w:val="sq-AL"/>
        </w:rPr>
        <w:t>. Gjykata  ka theksuar se proporcionaliteti i një kufizimi vlerësohet rast pas rasti, duke pasur parasysh se aspektet e mësipërme nuk duhet të analizohen veç e ve</w:t>
      </w:r>
      <w:r w:rsidR="00367EB7" w:rsidRPr="00037FB1">
        <w:rPr>
          <w:rFonts w:ascii="Times New Roman" w:eastAsia="Arial Unicode MS" w:hAnsi="Times New Roman"/>
          <w:sz w:val="24"/>
          <w:szCs w:val="24"/>
          <w:lang w:val="sq-AL" w:eastAsia="ja-JP"/>
        </w:rPr>
        <w:t>ç,</w:t>
      </w:r>
      <w:r w:rsidR="00367EB7" w:rsidRPr="00037FB1">
        <w:rPr>
          <w:rFonts w:ascii="Times New Roman" w:eastAsia="Arial Unicode MS" w:hAnsi="Times New Roman"/>
          <w:sz w:val="24"/>
          <w:szCs w:val="24"/>
          <w:lang w:val="sq-AL"/>
        </w:rPr>
        <w:t xml:space="preserve"> por të gërshetuara me njëra-tjetrën (</w:t>
      </w:r>
      <w:r w:rsidR="00367EB7" w:rsidRPr="00037FB1">
        <w:rPr>
          <w:rFonts w:ascii="Times New Roman" w:eastAsia="Arial Unicode MS" w:hAnsi="Times New Roman"/>
          <w:i/>
          <w:sz w:val="24"/>
          <w:szCs w:val="24"/>
          <w:lang w:val="sq-AL"/>
        </w:rPr>
        <w:t>shih vendimin</w:t>
      </w:r>
      <w:r w:rsidR="00367EB7" w:rsidRPr="00037FB1">
        <w:rPr>
          <w:rFonts w:ascii="Times New Roman" w:eastAsia="Arial Unicode MS" w:hAnsi="Times New Roman"/>
          <w:sz w:val="24"/>
          <w:szCs w:val="24"/>
          <w:lang w:val="sq-AL"/>
        </w:rPr>
        <w:t xml:space="preserve"> </w:t>
      </w:r>
      <w:r w:rsidR="00367EB7" w:rsidRPr="00037FB1">
        <w:rPr>
          <w:rFonts w:ascii="Times New Roman" w:eastAsia="Arial Unicode MS" w:hAnsi="Times New Roman"/>
          <w:i/>
          <w:sz w:val="24"/>
          <w:szCs w:val="24"/>
          <w:lang w:val="sq-AL"/>
        </w:rPr>
        <w:t>nr.</w:t>
      </w:r>
      <w:r w:rsidR="00567FAC" w:rsidRPr="00037FB1">
        <w:rPr>
          <w:rFonts w:ascii="Times New Roman" w:eastAsia="Arial Unicode MS" w:hAnsi="Times New Roman"/>
          <w:i/>
          <w:sz w:val="24"/>
          <w:szCs w:val="24"/>
          <w:lang w:val="sq-AL"/>
        </w:rPr>
        <w:t xml:space="preserve"> </w:t>
      </w:r>
      <w:r w:rsidR="00367EB7" w:rsidRPr="00037FB1">
        <w:rPr>
          <w:rFonts w:ascii="Times New Roman" w:eastAsia="Arial Unicode MS" w:hAnsi="Times New Roman"/>
          <w:i/>
          <w:sz w:val="24"/>
          <w:szCs w:val="24"/>
          <w:lang w:val="sq-AL"/>
        </w:rPr>
        <w:t xml:space="preserve">33, datë </w:t>
      </w:r>
      <w:r w:rsidR="00367EB7" w:rsidRPr="00037FB1">
        <w:rPr>
          <w:rFonts w:ascii="Times New Roman" w:eastAsia="Arial Unicode MS" w:hAnsi="Times New Roman"/>
          <w:bCs/>
          <w:i/>
          <w:sz w:val="24"/>
          <w:szCs w:val="24"/>
          <w:lang w:val="sq-AL"/>
        </w:rPr>
        <w:t>26.01.2016 të Gjykatës Kushtetuese</w:t>
      </w:r>
      <w:r w:rsidR="00367EB7" w:rsidRPr="00037FB1">
        <w:rPr>
          <w:rFonts w:ascii="Times New Roman" w:eastAsia="Arial Unicode MS" w:hAnsi="Times New Roman"/>
          <w:bCs/>
          <w:sz w:val="24"/>
          <w:szCs w:val="24"/>
          <w:lang w:val="sq-AL"/>
        </w:rPr>
        <w:t>)</w:t>
      </w:r>
      <w:r w:rsidR="00367EB7" w:rsidRPr="00037FB1">
        <w:rPr>
          <w:rFonts w:ascii="Times New Roman" w:eastAsia="Arial Unicode MS" w:hAnsi="Times New Roman"/>
          <w:i/>
          <w:sz w:val="24"/>
          <w:szCs w:val="24"/>
          <w:lang w:val="sq-AL"/>
        </w:rPr>
        <w:t xml:space="preserve">. </w:t>
      </w:r>
      <w:r w:rsidR="00367EB7" w:rsidRPr="00037FB1">
        <w:rPr>
          <w:rFonts w:ascii="Times New Roman" w:eastAsia="Arial Unicode MS" w:hAnsi="Times New Roman"/>
          <w:sz w:val="24"/>
          <w:szCs w:val="24"/>
          <w:lang w:val="sq-AL"/>
        </w:rPr>
        <w:t>Pra në thelb të parimit të proporcionalitetit qëndron ekuilibrimi i drejtë i interesave, vlerësimi objektiv i tyre, si dhe shmangia e konfliktit nëpërmjet përzgjedhjes së mjeteve të duhura për realizimin e tyre (</w:t>
      </w:r>
      <w:r w:rsidR="00367EB7" w:rsidRPr="00037FB1">
        <w:rPr>
          <w:rFonts w:ascii="Times New Roman" w:eastAsia="Arial Unicode MS" w:hAnsi="Times New Roman"/>
          <w:i/>
          <w:sz w:val="24"/>
          <w:szCs w:val="24"/>
          <w:lang w:val="sq-AL"/>
        </w:rPr>
        <w:t>shih vendimet nr. 16, datë 01.03.2017</w:t>
      </w:r>
      <w:r w:rsidR="00367EB7" w:rsidRPr="00037FB1">
        <w:rPr>
          <w:rFonts w:ascii="Times New Roman" w:eastAsia="Arial Unicode MS" w:hAnsi="Times New Roman"/>
          <w:bCs/>
          <w:i/>
          <w:sz w:val="24"/>
          <w:szCs w:val="24"/>
          <w:lang w:val="sq-AL"/>
        </w:rPr>
        <w:t>;</w:t>
      </w:r>
      <w:r w:rsidR="00367EB7" w:rsidRPr="00037FB1">
        <w:rPr>
          <w:rFonts w:ascii="Times New Roman" w:eastAsia="Arial Unicode MS" w:hAnsi="Times New Roman"/>
          <w:i/>
          <w:sz w:val="24"/>
          <w:szCs w:val="24"/>
          <w:lang w:val="sq-AL"/>
        </w:rPr>
        <w:t xml:space="preserve"> nr.1 datë 06.02.2013;</w:t>
      </w:r>
      <w:r w:rsidR="00367EB7" w:rsidRPr="00037FB1">
        <w:rPr>
          <w:rFonts w:ascii="Times New Roman" w:eastAsia="Arial Unicode MS" w:hAnsi="Times New Roman"/>
          <w:bCs/>
          <w:i/>
          <w:sz w:val="24"/>
          <w:szCs w:val="24"/>
          <w:lang w:val="sq-AL"/>
        </w:rPr>
        <w:t xml:space="preserve"> </w:t>
      </w:r>
      <w:r w:rsidR="00367EB7" w:rsidRPr="00037FB1">
        <w:rPr>
          <w:rFonts w:ascii="Times New Roman" w:eastAsia="Arial Unicode MS" w:hAnsi="Times New Roman"/>
          <w:i/>
          <w:sz w:val="24"/>
          <w:szCs w:val="24"/>
          <w:lang w:val="sq-AL"/>
        </w:rPr>
        <w:t>nr.</w:t>
      </w:r>
      <w:r w:rsidR="00567FAC" w:rsidRPr="00037FB1">
        <w:rPr>
          <w:rFonts w:ascii="Times New Roman" w:eastAsia="Arial Unicode MS" w:hAnsi="Times New Roman"/>
          <w:i/>
          <w:sz w:val="24"/>
          <w:szCs w:val="24"/>
          <w:lang w:val="sq-AL"/>
        </w:rPr>
        <w:t xml:space="preserve"> </w:t>
      </w:r>
      <w:r w:rsidR="00367EB7" w:rsidRPr="00037FB1">
        <w:rPr>
          <w:rFonts w:ascii="Times New Roman" w:eastAsia="Arial Unicode MS" w:hAnsi="Times New Roman"/>
          <w:bCs/>
          <w:i/>
          <w:sz w:val="24"/>
          <w:szCs w:val="24"/>
          <w:lang w:val="sq-AL"/>
        </w:rPr>
        <w:t>52, datë 05.12.2012</w:t>
      </w:r>
      <w:r w:rsidR="00367EB7" w:rsidRPr="00037FB1">
        <w:rPr>
          <w:rFonts w:ascii="Times New Roman" w:eastAsia="Arial Unicode MS" w:hAnsi="Times New Roman"/>
          <w:i/>
          <w:sz w:val="24"/>
          <w:szCs w:val="24"/>
          <w:lang w:val="sq-AL"/>
        </w:rPr>
        <w:t xml:space="preserve"> </w:t>
      </w:r>
      <w:r w:rsidR="00367EB7" w:rsidRPr="00037FB1">
        <w:rPr>
          <w:rFonts w:ascii="Times New Roman" w:eastAsia="Arial Unicode MS" w:hAnsi="Times New Roman"/>
          <w:bCs/>
          <w:i/>
          <w:sz w:val="24"/>
          <w:szCs w:val="24"/>
          <w:lang w:val="sq-AL"/>
        </w:rPr>
        <w:t>të</w:t>
      </w:r>
      <w:r w:rsidR="00367EB7" w:rsidRPr="00037FB1">
        <w:rPr>
          <w:rFonts w:ascii="Times New Roman" w:eastAsia="Arial Unicode MS" w:hAnsi="Times New Roman"/>
          <w:i/>
          <w:sz w:val="24"/>
          <w:szCs w:val="24"/>
          <w:lang w:val="sq-AL"/>
        </w:rPr>
        <w:t xml:space="preserve"> Gjykatës Kushtetuese</w:t>
      </w:r>
      <w:r w:rsidR="002046D7" w:rsidRPr="00037FB1">
        <w:rPr>
          <w:rFonts w:ascii="Times New Roman" w:eastAsia="Arial Unicode MS" w:hAnsi="Times New Roman"/>
          <w:sz w:val="24"/>
          <w:szCs w:val="24"/>
          <w:lang w:val="sq-AL"/>
        </w:rPr>
        <w:t>).</w:t>
      </w:r>
      <w:r w:rsidR="00716AF3" w:rsidRPr="00037FB1">
        <w:rPr>
          <w:rFonts w:ascii="Times New Roman" w:eastAsia="Arial Unicode MS" w:hAnsi="Times New Roman"/>
          <w:sz w:val="24"/>
          <w:szCs w:val="24"/>
          <w:lang w:val="sq-AL"/>
        </w:rPr>
        <w:t xml:space="preserve"> </w:t>
      </w:r>
    </w:p>
    <w:p w:rsidR="00AA0D82" w:rsidRPr="00037FB1" w:rsidRDefault="00716AF3" w:rsidP="0037360A">
      <w:pPr>
        <w:pStyle w:val="ListParagraph"/>
        <w:numPr>
          <w:ilvl w:val="0"/>
          <w:numId w:val="24"/>
        </w:numPr>
        <w:tabs>
          <w:tab w:val="left" w:pos="450"/>
          <w:tab w:val="left" w:pos="720"/>
          <w:tab w:val="left" w:pos="1080"/>
        </w:tabs>
        <w:spacing w:after="0" w:line="360" w:lineRule="auto"/>
        <w:ind w:left="0" w:firstLine="720"/>
        <w:jc w:val="both"/>
        <w:rPr>
          <w:rStyle w:val="sb8d990e2"/>
          <w:rFonts w:ascii="Times New Roman" w:eastAsia="Times New Roman" w:hAnsi="Times New Roman"/>
          <w:color w:val="000000"/>
          <w:sz w:val="24"/>
          <w:szCs w:val="24"/>
          <w:lang w:val="sq-AL"/>
        </w:rPr>
      </w:pPr>
      <w:r w:rsidRPr="00037FB1">
        <w:rPr>
          <w:rFonts w:ascii="Times New Roman" w:eastAsia="Arial Unicode MS" w:hAnsi="Times New Roman"/>
          <w:sz w:val="24"/>
          <w:szCs w:val="24"/>
          <w:lang w:val="sq-AL"/>
        </w:rPr>
        <w:t>GJEDNJ</w:t>
      </w:r>
      <w:r w:rsidR="00293B82">
        <w:rPr>
          <w:rFonts w:ascii="Times New Roman" w:eastAsia="Arial Unicode MS" w:hAnsi="Times New Roman"/>
          <w:sz w:val="24"/>
          <w:szCs w:val="24"/>
          <w:lang w:val="sq-AL"/>
        </w:rPr>
        <w:t>-ja</w:t>
      </w:r>
      <w:r w:rsidRPr="00037FB1">
        <w:rPr>
          <w:rFonts w:ascii="Times New Roman" w:eastAsia="Arial Unicode MS" w:hAnsi="Times New Roman"/>
          <w:sz w:val="24"/>
          <w:szCs w:val="24"/>
          <w:lang w:val="sq-AL"/>
        </w:rPr>
        <w:t xml:space="preserve"> </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sht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shprehur se n</w:t>
      </w:r>
      <w:r w:rsidR="00C2299C" w:rsidRPr="00037FB1">
        <w:rPr>
          <w:rFonts w:ascii="Times New Roman" w:eastAsia="Arial Unicode MS" w:hAnsi="Times New Roman"/>
          <w:sz w:val="24"/>
          <w:szCs w:val="24"/>
          <w:lang w:val="sq-AL"/>
        </w:rPr>
        <w:t>don</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se autori</w:t>
      </w:r>
      <w:r w:rsidRPr="00037FB1">
        <w:rPr>
          <w:rFonts w:ascii="Times New Roman" w:eastAsia="Arial Unicode MS" w:hAnsi="Times New Roman"/>
          <w:sz w:val="24"/>
          <w:szCs w:val="24"/>
          <w:lang w:val="sq-AL"/>
        </w:rPr>
        <w:t>t</w:t>
      </w:r>
      <w:r w:rsidR="00C2299C" w:rsidRPr="00037FB1">
        <w:rPr>
          <w:rFonts w:ascii="Times New Roman" w:eastAsia="Arial Unicode MS" w:hAnsi="Times New Roman"/>
          <w:sz w:val="24"/>
          <w:szCs w:val="24"/>
          <w:lang w:val="sq-AL"/>
        </w:rPr>
        <w:t>etet publike kan</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nj</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hap</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sir</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t</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pakufizuar vler</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simi p</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r t</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caktuar kufizime t</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t</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drejtave themelore, q</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jan</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“t</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nevojshme n</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nj</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shoq</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ri demokratike”, </w:t>
      </w:r>
      <w:r w:rsidRPr="00037FB1">
        <w:rPr>
          <w:rFonts w:ascii="Times New Roman" w:eastAsia="Arial Unicode MS" w:hAnsi="Times New Roman"/>
          <w:sz w:val="24"/>
          <w:szCs w:val="24"/>
          <w:lang w:val="sq-AL"/>
        </w:rPr>
        <w:t>i takon Gjykat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s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w:t>
      </w:r>
      <w:r w:rsidR="00C2299C" w:rsidRPr="00037FB1">
        <w:rPr>
          <w:rFonts w:ascii="Times New Roman" w:eastAsia="Arial Unicode MS" w:hAnsi="Times New Roman"/>
          <w:sz w:val="24"/>
          <w:szCs w:val="24"/>
          <w:lang w:val="sq-AL"/>
        </w:rPr>
        <w:t>vendos</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mbi p</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rputhshm</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rin</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e kufizimeve me Konvent</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n</w:t>
      </w:r>
      <w:r w:rsidR="00293B82">
        <w:rPr>
          <w:rFonts w:ascii="Times New Roman" w:eastAsia="Arial Unicode MS" w:hAnsi="Times New Roman"/>
          <w:sz w:val="24"/>
          <w:szCs w:val="24"/>
          <w:lang w:val="sq-AL"/>
        </w:rPr>
        <w:t>,</w:t>
      </w:r>
      <w:r w:rsidR="00C2299C" w:rsidRPr="00037FB1">
        <w:rPr>
          <w:rFonts w:ascii="Times New Roman" w:eastAsia="Arial Unicode MS" w:hAnsi="Times New Roman"/>
          <w:sz w:val="24"/>
          <w:szCs w:val="24"/>
          <w:lang w:val="sq-AL"/>
        </w:rPr>
        <w:t xml:space="preserve"> duke vler</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suar rrethanat konkrete t</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 xml:space="preserve"> rastit, duke shqyrtuar “nd</w:t>
      </w:r>
      <w:r w:rsidR="00CC3901" w:rsidRPr="00037FB1">
        <w:rPr>
          <w:rFonts w:ascii="Times New Roman" w:eastAsia="Arial Unicode MS" w:hAnsi="Times New Roman"/>
          <w:sz w:val="24"/>
          <w:szCs w:val="24"/>
          <w:lang w:val="sq-AL"/>
        </w:rPr>
        <w:t>ë</w:t>
      </w:r>
      <w:r w:rsidR="00C2299C" w:rsidRPr="00037FB1">
        <w:rPr>
          <w:rFonts w:ascii="Times New Roman" w:eastAsia="Arial Unicode MS" w:hAnsi="Times New Roman"/>
          <w:sz w:val="24"/>
          <w:szCs w:val="24"/>
          <w:lang w:val="sq-AL"/>
        </w:rPr>
        <w:t>rhyrjen</w:t>
      </w:r>
      <w:r w:rsidRPr="00037FB1">
        <w:rPr>
          <w:rFonts w:ascii="Times New Roman" w:eastAsia="Arial Unicode MS" w:hAnsi="Times New Roman"/>
          <w:sz w:val="24"/>
          <w:szCs w:val="24"/>
          <w:lang w:val="sq-AL"/>
        </w:rPr>
        <w:t>” 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n drit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n e ç</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shtjes 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si dhe duke p</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rcaktuar q</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kjo nd</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rhyrje ka ndjekur nj</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“q</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llim legjitim”, 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kuptimin q</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i </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sht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p</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rgjigjur “nj</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nevoje urgjente shoq</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rore” dhe</w:t>
      </w:r>
      <w:r w:rsidR="00293B82">
        <w:rPr>
          <w:rFonts w:ascii="Times New Roman" w:eastAsia="Arial Unicode MS" w:hAnsi="Times New Roman"/>
          <w:sz w:val="24"/>
          <w:szCs w:val="24"/>
          <w:lang w:val="sq-AL"/>
        </w:rPr>
        <w:t>,</w:t>
      </w:r>
      <w:r w:rsidRPr="00037FB1">
        <w:rPr>
          <w:rFonts w:ascii="Times New Roman" w:eastAsia="Arial Unicode MS" w:hAnsi="Times New Roman"/>
          <w:sz w:val="24"/>
          <w:szCs w:val="24"/>
          <w:lang w:val="sq-AL"/>
        </w:rPr>
        <w:t xml:space="preserve"> 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veçanti, 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se ka qen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proporcionale me at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q</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llim dhe 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se arsyet e p</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rdorura nga autoritetet publike p</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 ta justifikuar at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kan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qen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r</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nd</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sishme dhe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mjaftueshme”. Parimi i proporcionalitetit k</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rkon vendosjen e nj</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balance midis k</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rkesave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q</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llimeve legjitime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listuara 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paragrafin 2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nenit 11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Konvent</w:t>
      </w:r>
      <w:r w:rsidR="00CC3901" w:rsidRPr="00037FB1">
        <w:rPr>
          <w:rFonts w:ascii="Times New Roman" w:eastAsia="Arial Unicode MS" w:hAnsi="Times New Roman"/>
          <w:sz w:val="24"/>
          <w:szCs w:val="24"/>
          <w:lang w:val="sq-AL"/>
        </w:rPr>
        <w:t>ë</w:t>
      </w:r>
      <w:r w:rsidR="00293B82">
        <w:rPr>
          <w:rFonts w:ascii="Times New Roman" w:eastAsia="Arial Unicode MS" w:hAnsi="Times New Roman"/>
          <w:sz w:val="24"/>
          <w:szCs w:val="24"/>
          <w:lang w:val="sq-AL"/>
        </w:rPr>
        <w:t xml:space="preserve">s, </w:t>
      </w:r>
      <w:r w:rsidRPr="00037FB1">
        <w:rPr>
          <w:rFonts w:ascii="Times New Roman" w:eastAsia="Arial Unicode MS" w:hAnsi="Times New Roman"/>
          <w:sz w:val="24"/>
          <w:szCs w:val="24"/>
          <w:lang w:val="sq-AL"/>
        </w:rPr>
        <w:t>nga nj</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ra an</w:t>
      </w:r>
      <w:r w:rsidR="00CC3901" w:rsidRPr="00037FB1">
        <w:rPr>
          <w:rFonts w:ascii="Times New Roman" w:eastAsia="Arial Unicode MS" w:hAnsi="Times New Roman"/>
          <w:sz w:val="24"/>
          <w:szCs w:val="24"/>
          <w:lang w:val="sq-AL"/>
        </w:rPr>
        <w:t>ë</w:t>
      </w:r>
      <w:r w:rsidR="00293B82">
        <w:rPr>
          <w:rFonts w:ascii="Times New Roman" w:eastAsia="Arial Unicode MS" w:hAnsi="Times New Roman"/>
          <w:sz w:val="24"/>
          <w:szCs w:val="24"/>
          <w:lang w:val="sq-AL"/>
        </w:rPr>
        <w:t>,</w:t>
      </w:r>
      <w:r w:rsidRPr="00037FB1">
        <w:rPr>
          <w:rFonts w:ascii="Times New Roman" w:eastAsia="Arial Unicode MS" w:hAnsi="Times New Roman"/>
          <w:sz w:val="24"/>
          <w:szCs w:val="24"/>
          <w:lang w:val="sq-AL"/>
        </w:rPr>
        <w:t xml:space="preserve"> me ato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liris</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s</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shprehjes s</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mendimeve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individ</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ve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mbledhur 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rrug</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o</w:t>
      </w:r>
      <w:r w:rsidR="00293B82">
        <w:rPr>
          <w:rFonts w:ascii="Times New Roman" w:eastAsia="Arial Unicode MS" w:hAnsi="Times New Roman"/>
          <w:sz w:val="24"/>
          <w:szCs w:val="24"/>
          <w:lang w:val="sq-AL"/>
        </w:rPr>
        <w:t>se</w:t>
      </w:r>
      <w:r w:rsidRPr="00037FB1">
        <w:rPr>
          <w:rFonts w:ascii="Times New Roman" w:eastAsia="Arial Unicode MS" w:hAnsi="Times New Roman"/>
          <w:sz w:val="24"/>
          <w:szCs w:val="24"/>
          <w:lang w:val="sq-AL"/>
        </w:rPr>
        <w:t xml:space="preserve"> 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vende 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tjera publike</w:t>
      </w:r>
      <w:r w:rsidR="00293B82">
        <w:rPr>
          <w:rFonts w:ascii="Times New Roman" w:eastAsia="Arial Unicode MS" w:hAnsi="Times New Roman"/>
          <w:sz w:val="24"/>
          <w:szCs w:val="24"/>
          <w:lang w:val="sq-AL"/>
        </w:rPr>
        <w:t>,</w:t>
      </w:r>
      <w:r w:rsidRPr="00037FB1">
        <w:rPr>
          <w:rFonts w:ascii="Times New Roman" w:eastAsia="Arial Unicode MS" w:hAnsi="Times New Roman"/>
          <w:sz w:val="24"/>
          <w:szCs w:val="24"/>
          <w:lang w:val="sq-AL"/>
        </w:rPr>
        <w:t xml:space="preserve"> 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 xml:space="preserve"> an</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n tjet</w:t>
      </w:r>
      <w:r w:rsidR="00CC3901" w:rsidRPr="00037FB1">
        <w:rPr>
          <w:rFonts w:ascii="Times New Roman" w:eastAsia="Arial Unicode MS" w:hAnsi="Times New Roman"/>
          <w:sz w:val="24"/>
          <w:szCs w:val="24"/>
          <w:lang w:val="sq-AL"/>
        </w:rPr>
        <w:t>ë</w:t>
      </w:r>
      <w:r w:rsidRPr="00037FB1">
        <w:rPr>
          <w:rFonts w:ascii="Times New Roman" w:eastAsia="Arial Unicode MS" w:hAnsi="Times New Roman"/>
          <w:sz w:val="24"/>
          <w:szCs w:val="24"/>
          <w:lang w:val="sq-AL"/>
        </w:rPr>
        <w:t>r (</w:t>
      </w:r>
      <w:r w:rsidR="00176375" w:rsidRPr="00037FB1">
        <w:rPr>
          <w:rFonts w:ascii="Times New Roman" w:hAnsi="Times New Roman"/>
          <w:i/>
          <w:sz w:val="24"/>
          <w:szCs w:val="24"/>
          <w:lang w:val="sq-AL"/>
        </w:rPr>
        <w:t>shih</w:t>
      </w:r>
      <w:r w:rsidR="00904146" w:rsidRPr="00037FB1">
        <w:rPr>
          <w:rFonts w:ascii="Times New Roman" w:hAnsi="Times New Roman"/>
          <w:i/>
          <w:sz w:val="24"/>
          <w:szCs w:val="24"/>
          <w:lang w:val="sq-AL"/>
        </w:rPr>
        <w:t xml:space="preserve"> Kudrevičius dhe të tjerë kundër Lituanisë, 15 tetor 2015</w:t>
      </w:r>
      <w:r w:rsidR="00293B82">
        <w:rPr>
          <w:rFonts w:ascii="Times New Roman" w:hAnsi="Times New Roman"/>
          <w:i/>
          <w:sz w:val="24"/>
          <w:szCs w:val="24"/>
          <w:lang w:val="sq-AL"/>
        </w:rPr>
        <w:t>,</w:t>
      </w:r>
      <w:r w:rsidR="00904146" w:rsidRPr="00037FB1">
        <w:rPr>
          <w:rFonts w:ascii="Times New Roman" w:hAnsi="Times New Roman"/>
          <w:i/>
          <w:sz w:val="24"/>
          <w:szCs w:val="24"/>
          <w:lang w:val="sq-AL"/>
        </w:rPr>
        <w:t xml:space="preserve"> </w:t>
      </w:r>
      <w:r w:rsidRPr="00037FB1">
        <w:rPr>
          <w:rFonts w:ascii="Times New Roman" w:hAnsi="Times New Roman"/>
          <w:i/>
          <w:iCs/>
          <w:sz w:val="24"/>
          <w:szCs w:val="24"/>
          <w:lang w:val="sq-AL"/>
        </w:rPr>
        <w:t>§§</w:t>
      </w:r>
      <w:r w:rsidR="00904146" w:rsidRPr="00037FB1">
        <w:rPr>
          <w:rFonts w:ascii="Times New Roman" w:hAnsi="Times New Roman"/>
          <w:i/>
          <w:sz w:val="24"/>
          <w:szCs w:val="24"/>
          <w:lang w:val="sq-AL"/>
        </w:rPr>
        <w:t xml:space="preserve"> 142-144</w:t>
      </w:r>
      <w:r w:rsidR="00176375" w:rsidRPr="00037FB1">
        <w:rPr>
          <w:rFonts w:ascii="Times New Roman" w:hAnsi="Times New Roman"/>
          <w:sz w:val="24"/>
          <w:szCs w:val="24"/>
          <w:lang w:val="sq-AL"/>
        </w:rPr>
        <w:t>).</w:t>
      </w:r>
    </w:p>
    <w:p w:rsidR="00F26E4A" w:rsidRPr="00037FB1" w:rsidRDefault="00672413" w:rsidP="0037360A">
      <w:pPr>
        <w:pStyle w:val="ListParagraph"/>
        <w:numPr>
          <w:ilvl w:val="0"/>
          <w:numId w:val="24"/>
        </w:numPr>
        <w:tabs>
          <w:tab w:val="left" w:pos="450"/>
          <w:tab w:val="left" w:pos="720"/>
          <w:tab w:val="left" w:pos="1080"/>
        </w:tabs>
        <w:spacing w:after="0" w:line="360" w:lineRule="auto"/>
        <w:ind w:left="0" w:firstLine="720"/>
        <w:jc w:val="both"/>
        <w:rPr>
          <w:rFonts w:ascii="Times New Roman" w:eastAsia="Arial Unicode MS" w:hAnsi="Times New Roman"/>
          <w:sz w:val="24"/>
          <w:szCs w:val="24"/>
          <w:lang w:val="sq-AL"/>
        </w:rPr>
      </w:pPr>
      <w:r w:rsidRPr="00037FB1">
        <w:rPr>
          <w:rFonts w:ascii="Times New Roman" w:hAnsi="Times New Roman"/>
          <w:sz w:val="24"/>
          <w:szCs w:val="24"/>
          <w:lang w:val="sq-AL"/>
        </w:rPr>
        <w:t xml:space="preserve">Për të justifikuar një ndalim të përgjithshëm, </w:t>
      </w:r>
      <w:r w:rsidR="00293B82">
        <w:rPr>
          <w:rFonts w:ascii="Times New Roman" w:hAnsi="Times New Roman"/>
          <w:sz w:val="24"/>
          <w:szCs w:val="24"/>
          <w:lang w:val="sq-AL"/>
        </w:rPr>
        <w:t>s</w:t>
      </w:r>
      <w:r w:rsidRPr="00037FB1">
        <w:rPr>
          <w:rFonts w:ascii="Times New Roman" w:hAnsi="Times New Roman"/>
          <w:sz w:val="24"/>
          <w:szCs w:val="24"/>
          <w:lang w:val="sq-AL"/>
        </w:rPr>
        <w:t xml:space="preserve">hteti duhet të </w:t>
      </w:r>
      <w:r w:rsidR="00C4630B" w:rsidRPr="00037FB1">
        <w:rPr>
          <w:rFonts w:ascii="Times New Roman" w:hAnsi="Times New Roman"/>
          <w:sz w:val="24"/>
          <w:szCs w:val="24"/>
          <w:lang w:val="sq-AL"/>
        </w:rPr>
        <w:t xml:space="preserve">tregojë </w:t>
      </w:r>
      <w:r w:rsidRPr="00037FB1">
        <w:rPr>
          <w:rFonts w:ascii="Times New Roman" w:hAnsi="Times New Roman"/>
          <w:sz w:val="24"/>
          <w:szCs w:val="24"/>
          <w:lang w:val="sq-AL"/>
        </w:rPr>
        <w:t>që ekziston një rrezik real</w:t>
      </w:r>
      <w:r w:rsidR="00293B82">
        <w:rPr>
          <w:rFonts w:ascii="Times New Roman" w:hAnsi="Times New Roman"/>
          <w:sz w:val="24"/>
          <w:szCs w:val="24"/>
          <w:lang w:val="sq-AL"/>
        </w:rPr>
        <w:t>,</w:t>
      </w:r>
      <w:r w:rsidRPr="00037FB1">
        <w:rPr>
          <w:rFonts w:ascii="Times New Roman" w:hAnsi="Times New Roman"/>
          <w:sz w:val="24"/>
          <w:szCs w:val="24"/>
          <w:lang w:val="sq-AL"/>
        </w:rPr>
        <w:t xml:space="preserve"> i cili nuk mund të parandalohet </w:t>
      </w:r>
      <w:r w:rsidR="00C4630B" w:rsidRPr="00037FB1">
        <w:rPr>
          <w:rFonts w:ascii="Times New Roman" w:hAnsi="Times New Roman"/>
          <w:sz w:val="24"/>
          <w:szCs w:val="24"/>
          <w:lang w:val="sq-AL"/>
        </w:rPr>
        <w:t xml:space="preserve">me </w:t>
      </w:r>
      <w:r w:rsidRPr="00037FB1">
        <w:rPr>
          <w:rFonts w:ascii="Times New Roman" w:hAnsi="Times New Roman"/>
          <w:sz w:val="24"/>
          <w:szCs w:val="24"/>
          <w:lang w:val="sq-AL"/>
        </w:rPr>
        <w:t xml:space="preserve">masa të tjera më pak shtrënguese. Ai duhet të marrë parasysh efektin e ndalimit dhe të </w:t>
      </w:r>
      <w:r w:rsidR="00C4630B" w:rsidRPr="00037FB1">
        <w:rPr>
          <w:rFonts w:ascii="Times New Roman" w:hAnsi="Times New Roman"/>
          <w:sz w:val="24"/>
          <w:szCs w:val="24"/>
          <w:lang w:val="sq-AL"/>
        </w:rPr>
        <w:t xml:space="preserve">arrijë në përfundimin nëse </w:t>
      </w:r>
      <w:r w:rsidRPr="00037FB1">
        <w:rPr>
          <w:rFonts w:ascii="Times New Roman" w:hAnsi="Times New Roman"/>
          <w:sz w:val="24"/>
          <w:szCs w:val="24"/>
          <w:lang w:val="sq-AL"/>
        </w:rPr>
        <w:t xml:space="preserve">disavantazhet </w:t>
      </w:r>
      <w:r w:rsidR="00C4630B" w:rsidRPr="00037FB1">
        <w:rPr>
          <w:rFonts w:ascii="Times New Roman" w:hAnsi="Times New Roman"/>
          <w:sz w:val="24"/>
          <w:szCs w:val="24"/>
          <w:lang w:val="sq-AL"/>
        </w:rPr>
        <w:t xml:space="preserve">që </w:t>
      </w:r>
      <w:r w:rsidRPr="00037FB1">
        <w:rPr>
          <w:rFonts w:ascii="Times New Roman" w:hAnsi="Times New Roman"/>
          <w:sz w:val="24"/>
          <w:szCs w:val="24"/>
          <w:lang w:val="sq-AL"/>
        </w:rPr>
        <w:t>shkakt</w:t>
      </w:r>
      <w:r w:rsidR="00C4630B" w:rsidRPr="00037FB1">
        <w:rPr>
          <w:rFonts w:ascii="Times New Roman" w:hAnsi="Times New Roman"/>
          <w:sz w:val="24"/>
          <w:szCs w:val="24"/>
          <w:lang w:val="sq-AL"/>
        </w:rPr>
        <w:t xml:space="preserve">on </w:t>
      </w:r>
      <w:r w:rsidRPr="00037FB1">
        <w:rPr>
          <w:rFonts w:ascii="Times New Roman" w:hAnsi="Times New Roman"/>
          <w:sz w:val="24"/>
          <w:szCs w:val="24"/>
          <w:lang w:val="sq-AL"/>
        </w:rPr>
        <w:t xml:space="preserve">ndalimi kanë qartazi </w:t>
      </w:r>
      <w:r w:rsidR="00293B82">
        <w:rPr>
          <w:rFonts w:ascii="Times New Roman" w:hAnsi="Times New Roman"/>
          <w:sz w:val="24"/>
          <w:szCs w:val="24"/>
          <w:lang w:val="sq-AL"/>
        </w:rPr>
        <w:t xml:space="preserve">me </w:t>
      </w:r>
      <w:r w:rsidRPr="00037FB1">
        <w:rPr>
          <w:rFonts w:ascii="Times New Roman" w:hAnsi="Times New Roman"/>
          <w:sz w:val="24"/>
          <w:szCs w:val="24"/>
          <w:lang w:val="sq-AL"/>
        </w:rPr>
        <w:t>më shumë peshë se siguri</w:t>
      </w:r>
      <w:r w:rsidR="00C4630B" w:rsidRPr="00037FB1">
        <w:rPr>
          <w:rFonts w:ascii="Times New Roman" w:hAnsi="Times New Roman"/>
          <w:sz w:val="24"/>
          <w:szCs w:val="24"/>
          <w:lang w:val="sq-AL"/>
        </w:rPr>
        <w:t>a publike</w:t>
      </w:r>
      <w:r w:rsidR="00293B82">
        <w:rPr>
          <w:rFonts w:ascii="Times New Roman" w:hAnsi="Times New Roman"/>
          <w:sz w:val="24"/>
          <w:szCs w:val="24"/>
          <w:lang w:val="sq-AL"/>
        </w:rPr>
        <w:t xml:space="preserve"> </w:t>
      </w:r>
      <w:r w:rsidRPr="00037FB1">
        <w:rPr>
          <w:rFonts w:ascii="Times New Roman" w:hAnsi="Times New Roman"/>
          <w:sz w:val="24"/>
          <w:szCs w:val="24"/>
          <w:lang w:val="sq-AL"/>
        </w:rPr>
        <w:t xml:space="preserve">dhe </w:t>
      </w:r>
      <w:r w:rsidR="00C4630B" w:rsidRPr="00037FB1">
        <w:rPr>
          <w:rFonts w:ascii="Times New Roman" w:hAnsi="Times New Roman"/>
          <w:sz w:val="24"/>
          <w:szCs w:val="24"/>
          <w:lang w:val="sq-AL"/>
        </w:rPr>
        <w:t xml:space="preserve">se </w:t>
      </w:r>
      <w:r w:rsidRPr="00037FB1">
        <w:rPr>
          <w:rFonts w:ascii="Times New Roman" w:hAnsi="Times New Roman"/>
          <w:sz w:val="24"/>
          <w:szCs w:val="24"/>
          <w:lang w:val="sq-AL"/>
        </w:rPr>
        <w:t xml:space="preserve">nuk ka mënyra të tjera të mundshme për të shmangur këto efekte të padëshirueshme, duke </w:t>
      </w:r>
      <w:r w:rsidR="00C4630B" w:rsidRPr="00037FB1">
        <w:rPr>
          <w:rFonts w:ascii="Times New Roman" w:hAnsi="Times New Roman"/>
          <w:sz w:val="24"/>
          <w:szCs w:val="24"/>
          <w:lang w:val="sq-AL"/>
        </w:rPr>
        <w:t xml:space="preserve">zvogëluar </w:t>
      </w:r>
      <w:r w:rsidRPr="00037FB1">
        <w:rPr>
          <w:rFonts w:ascii="Times New Roman" w:hAnsi="Times New Roman"/>
          <w:sz w:val="24"/>
          <w:szCs w:val="24"/>
          <w:lang w:val="sq-AL"/>
        </w:rPr>
        <w:t>fushëveprimin ose kohëzgjatjen e ndalimit (</w:t>
      </w:r>
      <w:r w:rsidR="00176375" w:rsidRPr="00037FB1">
        <w:rPr>
          <w:rFonts w:ascii="Times New Roman" w:hAnsi="Times New Roman"/>
          <w:sz w:val="24"/>
          <w:szCs w:val="24"/>
          <w:lang w:val="sq-AL"/>
        </w:rPr>
        <w:t>s</w:t>
      </w:r>
      <w:r w:rsidRPr="00037FB1">
        <w:rPr>
          <w:rFonts w:ascii="Times New Roman" w:hAnsi="Times New Roman"/>
          <w:i/>
          <w:sz w:val="24"/>
          <w:szCs w:val="24"/>
          <w:lang w:val="sq-AL"/>
        </w:rPr>
        <w:t>hih Christians against Racism and Fascism kundër</w:t>
      </w:r>
      <w:r w:rsidR="00293B82">
        <w:rPr>
          <w:rFonts w:ascii="Times New Roman" w:hAnsi="Times New Roman"/>
          <w:i/>
          <w:sz w:val="24"/>
          <w:szCs w:val="24"/>
          <w:lang w:val="sq-AL"/>
        </w:rPr>
        <w:t xml:space="preserve"> </w:t>
      </w:r>
      <w:r w:rsidRPr="00037FB1">
        <w:rPr>
          <w:rFonts w:ascii="Times New Roman" w:hAnsi="Times New Roman"/>
          <w:i/>
          <w:sz w:val="24"/>
          <w:szCs w:val="24"/>
          <w:lang w:val="sq-AL"/>
        </w:rPr>
        <w:t>Mbretërisë së Bashkuar, 16 korrik 1980</w:t>
      </w:r>
      <w:r w:rsidRPr="00037FB1">
        <w:rPr>
          <w:rFonts w:ascii="Times New Roman" w:hAnsi="Times New Roman"/>
          <w:sz w:val="24"/>
          <w:szCs w:val="24"/>
          <w:lang w:val="sq-AL"/>
        </w:rPr>
        <w:t xml:space="preserve">).  </w:t>
      </w:r>
    </w:p>
    <w:p w:rsidR="00F26E4A" w:rsidRPr="00037FB1" w:rsidRDefault="00367EB7" w:rsidP="0037360A">
      <w:pPr>
        <w:pStyle w:val="ListParagraph"/>
        <w:numPr>
          <w:ilvl w:val="0"/>
          <w:numId w:val="24"/>
        </w:numPr>
        <w:tabs>
          <w:tab w:val="left" w:pos="720"/>
          <w:tab w:val="left" w:pos="810"/>
          <w:tab w:val="left" w:pos="1080"/>
        </w:tabs>
        <w:spacing w:after="0" w:line="360" w:lineRule="auto"/>
        <w:ind w:left="0" w:firstLine="720"/>
        <w:jc w:val="both"/>
        <w:rPr>
          <w:rFonts w:ascii="Times New Roman" w:eastAsia="Arial Unicode MS" w:hAnsi="Times New Roman"/>
          <w:sz w:val="24"/>
          <w:szCs w:val="24"/>
          <w:lang w:val="sq-AL"/>
        </w:rPr>
      </w:pPr>
      <w:r w:rsidRPr="00037FB1">
        <w:rPr>
          <w:rFonts w:ascii="Times New Roman" w:hAnsi="Times New Roman"/>
          <w:sz w:val="24"/>
          <w:szCs w:val="24"/>
          <w:lang w:val="sq-AL"/>
        </w:rPr>
        <w:t>Në disa raste GJEDNJ-ja i ka gjetur të mbështetura kufizimet mbi grumbullimet publike (si p.sh</w:t>
      </w:r>
      <w:r w:rsidR="00293B82">
        <w:rPr>
          <w:rFonts w:ascii="Times New Roman" w:hAnsi="Times New Roman"/>
          <w:sz w:val="24"/>
          <w:szCs w:val="24"/>
          <w:lang w:val="sq-AL"/>
        </w:rPr>
        <w:t>.</w:t>
      </w:r>
      <w:r w:rsidRPr="00037FB1">
        <w:rPr>
          <w:rFonts w:ascii="Times New Roman" w:hAnsi="Times New Roman"/>
          <w:sz w:val="24"/>
          <w:szCs w:val="24"/>
          <w:lang w:val="sq-AL"/>
        </w:rPr>
        <w:t xml:space="preserve"> kufizime të vendit ose numrit të pjesëmarrësve)</w:t>
      </w:r>
      <w:r w:rsidR="00293B82">
        <w:rPr>
          <w:rFonts w:ascii="Times New Roman" w:hAnsi="Times New Roman"/>
          <w:sz w:val="24"/>
          <w:szCs w:val="24"/>
          <w:lang w:val="sq-AL"/>
        </w:rPr>
        <w:t>,</w:t>
      </w:r>
      <w:r w:rsidRPr="00037FB1">
        <w:rPr>
          <w:rFonts w:ascii="Times New Roman" w:hAnsi="Times New Roman"/>
          <w:sz w:val="24"/>
          <w:szCs w:val="24"/>
          <w:lang w:val="sq-AL"/>
        </w:rPr>
        <w:t xml:space="preserve"> ku qëllimi ishte mbrojtja e sigurisë publike ose ruajtja e rendit publik. Ajo nuk </w:t>
      </w:r>
      <w:r w:rsidR="00293B82">
        <w:rPr>
          <w:rFonts w:ascii="Times New Roman" w:hAnsi="Times New Roman"/>
          <w:sz w:val="24"/>
          <w:szCs w:val="24"/>
          <w:lang w:val="sq-AL"/>
        </w:rPr>
        <w:t xml:space="preserve">ka </w:t>
      </w:r>
      <w:r w:rsidRPr="00037FB1">
        <w:rPr>
          <w:rFonts w:ascii="Times New Roman" w:hAnsi="Times New Roman"/>
          <w:sz w:val="24"/>
          <w:szCs w:val="24"/>
          <w:lang w:val="sq-AL"/>
        </w:rPr>
        <w:t>gjet</w:t>
      </w:r>
      <w:r w:rsidR="00293B82">
        <w:rPr>
          <w:rFonts w:ascii="Times New Roman" w:hAnsi="Times New Roman"/>
          <w:sz w:val="24"/>
          <w:szCs w:val="24"/>
          <w:lang w:val="sq-AL"/>
        </w:rPr>
        <w:t>ur</w:t>
      </w:r>
      <w:r w:rsidRPr="00037FB1">
        <w:rPr>
          <w:rFonts w:ascii="Times New Roman" w:hAnsi="Times New Roman"/>
          <w:sz w:val="24"/>
          <w:szCs w:val="24"/>
          <w:lang w:val="sq-AL"/>
        </w:rPr>
        <w:t xml:space="preserve"> shkelje të nenit 11 të Konventës kur grumbullimi </w:t>
      </w:r>
      <w:r w:rsidR="00293B82">
        <w:rPr>
          <w:rFonts w:ascii="Times New Roman" w:hAnsi="Times New Roman"/>
          <w:sz w:val="24"/>
          <w:szCs w:val="24"/>
          <w:lang w:val="sq-AL"/>
        </w:rPr>
        <w:t>është</w:t>
      </w:r>
      <w:r w:rsidRPr="00037FB1">
        <w:rPr>
          <w:rFonts w:ascii="Times New Roman" w:hAnsi="Times New Roman"/>
          <w:sz w:val="24"/>
          <w:szCs w:val="24"/>
          <w:lang w:val="sq-AL"/>
        </w:rPr>
        <w:t xml:space="preserve"> shpërnda</w:t>
      </w:r>
      <w:r w:rsidR="00293B82">
        <w:rPr>
          <w:rFonts w:ascii="Times New Roman" w:hAnsi="Times New Roman"/>
          <w:sz w:val="24"/>
          <w:szCs w:val="24"/>
          <w:lang w:val="sq-AL"/>
        </w:rPr>
        <w:t>rë</w:t>
      </w:r>
      <w:r w:rsidRPr="00037FB1">
        <w:rPr>
          <w:rFonts w:ascii="Times New Roman" w:hAnsi="Times New Roman"/>
          <w:sz w:val="24"/>
          <w:szCs w:val="24"/>
          <w:lang w:val="sq-AL"/>
        </w:rPr>
        <w:t xml:space="preserve"> për të mbrojtur shëndetin dhe sigurinë e pjesëmarrësve </w:t>
      </w:r>
      <w:r w:rsidRPr="00037FB1">
        <w:rPr>
          <w:rFonts w:ascii="Times New Roman" w:hAnsi="Times New Roman"/>
          <w:i/>
          <w:sz w:val="24"/>
          <w:szCs w:val="24"/>
          <w:lang w:val="sq-AL"/>
        </w:rPr>
        <w:t xml:space="preserve">(shih Chappell kundër Mbretërisë së Bashkuar, 14 korrik 1987; Cisse kundër Francës, 9 prill 2002).   </w:t>
      </w:r>
    </w:p>
    <w:p w:rsidR="00F26E4A" w:rsidRPr="00037FB1" w:rsidRDefault="00A2709B" w:rsidP="0037360A">
      <w:pPr>
        <w:pStyle w:val="ListParagraph"/>
        <w:numPr>
          <w:ilvl w:val="0"/>
          <w:numId w:val="24"/>
        </w:numPr>
        <w:tabs>
          <w:tab w:val="left" w:pos="720"/>
          <w:tab w:val="left" w:pos="810"/>
          <w:tab w:val="left" w:pos="1080"/>
        </w:tabs>
        <w:spacing w:after="0" w:line="360" w:lineRule="auto"/>
        <w:ind w:left="0" w:firstLine="720"/>
        <w:jc w:val="both"/>
        <w:rPr>
          <w:rFonts w:ascii="Times New Roman" w:eastAsia="Arial Unicode MS" w:hAnsi="Times New Roman"/>
          <w:sz w:val="24"/>
          <w:szCs w:val="24"/>
          <w:lang w:val="sq-AL"/>
        </w:rPr>
      </w:pPr>
      <w:r w:rsidRPr="00037FB1">
        <w:rPr>
          <w:rFonts w:ascii="Times New Roman" w:hAnsi="Times New Roman"/>
          <w:sz w:val="24"/>
          <w:szCs w:val="24"/>
          <w:lang w:val="sq-AL"/>
        </w:rPr>
        <w:t>Në kontekstin e rrethanave të pa</w:t>
      </w:r>
      <w:r w:rsidR="00C4630B" w:rsidRPr="00037FB1">
        <w:rPr>
          <w:rFonts w:ascii="Times New Roman" w:hAnsi="Times New Roman"/>
          <w:sz w:val="24"/>
          <w:szCs w:val="24"/>
          <w:lang w:val="sq-AL"/>
        </w:rPr>
        <w:t xml:space="preserve">zakonta </w:t>
      </w:r>
      <w:r w:rsidRPr="00037FB1">
        <w:rPr>
          <w:rFonts w:ascii="Times New Roman" w:hAnsi="Times New Roman"/>
          <w:sz w:val="24"/>
          <w:szCs w:val="24"/>
          <w:lang w:val="sq-AL"/>
        </w:rPr>
        <w:t xml:space="preserve">të krijuara nga pandemia </w:t>
      </w:r>
      <w:r w:rsidR="00293B82">
        <w:rPr>
          <w:rFonts w:ascii="Times New Roman" w:hAnsi="Times New Roman"/>
          <w:sz w:val="24"/>
          <w:szCs w:val="24"/>
          <w:lang w:val="sq-AL"/>
        </w:rPr>
        <w:t>COVID</w:t>
      </w:r>
      <w:r w:rsidRPr="00037FB1">
        <w:rPr>
          <w:rFonts w:ascii="Times New Roman" w:hAnsi="Times New Roman"/>
          <w:sz w:val="24"/>
          <w:szCs w:val="24"/>
          <w:lang w:val="sq-AL"/>
        </w:rPr>
        <w:t xml:space="preserve">-19, Gjykata vë në dukje </w:t>
      </w:r>
      <w:r w:rsidR="00293B82">
        <w:rPr>
          <w:rFonts w:ascii="Times New Roman" w:hAnsi="Times New Roman"/>
          <w:sz w:val="24"/>
          <w:szCs w:val="24"/>
          <w:lang w:val="sq-AL"/>
        </w:rPr>
        <w:t xml:space="preserve">se </w:t>
      </w:r>
      <w:r w:rsidR="00367EB7" w:rsidRPr="00037FB1">
        <w:rPr>
          <w:rFonts w:ascii="Times New Roman" w:hAnsi="Times New Roman"/>
          <w:sz w:val="24"/>
          <w:szCs w:val="24"/>
          <w:lang w:val="sq-AL"/>
        </w:rPr>
        <w:t xml:space="preserve">ndalimi i </w:t>
      </w:r>
      <w:r w:rsidR="00C4630B" w:rsidRPr="00037FB1">
        <w:rPr>
          <w:rFonts w:ascii="Times New Roman" w:hAnsi="Times New Roman"/>
          <w:sz w:val="24"/>
          <w:szCs w:val="24"/>
          <w:lang w:val="sq-AL"/>
        </w:rPr>
        <w:t>p</w:t>
      </w:r>
      <w:r w:rsidR="00E061FA" w:rsidRPr="00037FB1">
        <w:rPr>
          <w:rFonts w:ascii="Times New Roman" w:hAnsi="Times New Roman"/>
          <w:sz w:val="24"/>
          <w:szCs w:val="24"/>
          <w:lang w:val="sq-AL"/>
        </w:rPr>
        <w:t>ë</w:t>
      </w:r>
      <w:r w:rsidR="00C4630B" w:rsidRPr="00037FB1">
        <w:rPr>
          <w:rFonts w:ascii="Times New Roman" w:hAnsi="Times New Roman"/>
          <w:sz w:val="24"/>
          <w:szCs w:val="24"/>
          <w:lang w:val="sq-AL"/>
        </w:rPr>
        <w:t>rhapjes s</w:t>
      </w:r>
      <w:r w:rsidR="00E061FA" w:rsidRPr="00037FB1">
        <w:rPr>
          <w:rFonts w:ascii="Times New Roman" w:hAnsi="Times New Roman"/>
          <w:sz w:val="24"/>
          <w:szCs w:val="24"/>
          <w:lang w:val="sq-AL"/>
        </w:rPr>
        <w:t>ë</w:t>
      </w:r>
      <w:r w:rsidR="00C4630B" w:rsidRPr="00037FB1">
        <w:rPr>
          <w:rFonts w:ascii="Times New Roman" w:hAnsi="Times New Roman"/>
          <w:sz w:val="24"/>
          <w:szCs w:val="24"/>
          <w:lang w:val="sq-AL"/>
        </w:rPr>
        <w:t xml:space="preserve"> </w:t>
      </w:r>
      <w:r w:rsidRPr="00037FB1">
        <w:rPr>
          <w:rFonts w:ascii="Times New Roman" w:hAnsi="Times New Roman"/>
          <w:sz w:val="24"/>
          <w:szCs w:val="24"/>
          <w:lang w:val="sq-AL"/>
        </w:rPr>
        <w:t>këtij virusi</w:t>
      </w:r>
      <w:r w:rsidR="00367EB7" w:rsidRPr="00037FB1">
        <w:rPr>
          <w:rFonts w:ascii="Times New Roman" w:hAnsi="Times New Roman"/>
          <w:sz w:val="24"/>
          <w:szCs w:val="24"/>
          <w:lang w:val="sq-AL"/>
        </w:rPr>
        <w:t xml:space="preserve"> përbën një “</w:t>
      </w:r>
      <w:r w:rsidR="00367EB7" w:rsidRPr="00037FB1">
        <w:rPr>
          <w:rFonts w:ascii="Times New Roman" w:hAnsi="Times New Roman"/>
          <w:i/>
          <w:iCs/>
          <w:sz w:val="24"/>
          <w:szCs w:val="24"/>
          <w:lang w:val="sq-AL"/>
        </w:rPr>
        <w:t>nevojë urgjente shoqërore</w:t>
      </w:r>
      <w:r w:rsidR="00367EB7" w:rsidRPr="00037FB1">
        <w:rPr>
          <w:rFonts w:ascii="Times New Roman" w:hAnsi="Times New Roman"/>
          <w:sz w:val="24"/>
          <w:szCs w:val="24"/>
          <w:lang w:val="sq-AL"/>
        </w:rPr>
        <w:t>”</w:t>
      </w:r>
      <w:r w:rsidR="00290179"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 xml:space="preserve">Prandaj dhe masat e marra, duke përfshirë edhe urdhrin e </w:t>
      </w:r>
      <w:r w:rsidR="00293B82">
        <w:rPr>
          <w:rFonts w:ascii="Times New Roman" w:hAnsi="Times New Roman"/>
          <w:sz w:val="24"/>
          <w:szCs w:val="24"/>
          <w:lang w:val="sq-AL"/>
        </w:rPr>
        <w:t>m</w:t>
      </w:r>
      <w:r w:rsidR="00367EB7" w:rsidRPr="00037FB1">
        <w:rPr>
          <w:rFonts w:ascii="Times New Roman" w:hAnsi="Times New Roman"/>
          <w:sz w:val="24"/>
          <w:szCs w:val="24"/>
          <w:lang w:val="sq-AL"/>
        </w:rPr>
        <w:t xml:space="preserve">inistrit në rastin konkret, janë të lidhura me këtë objektiv, në kuadër të detyrimeve dhe përgjegjësive që </w:t>
      </w:r>
      <w:r w:rsidR="006D30BA" w:rsidRPr="00037FB1">
        <w:rPr>
          <w:rFonts w:ascii="Times New Roman" w:hAnsi="Times New Roman"/>
          <w:sz w:val="24"/>
          <w:szCs w:val="24"/>
          <w:lang w:val="sq-AL"/>
        </w:rPr>
        <w:t>kanë autoritetet shtetërore</w:t>
      </w:r>
      <w:r w:rsidR="00367EB7" w:rsidRPr="00037FB1">
        <w:rPr>
          <w:rFonts w:ascii="Times New Roman" w:hAnsi="Times New Roman"/>
          <w:sz w:val="24"/>
          <w:szCs w:val="24"/>
          <w:lang w:val="sq-AL"/>
        </w:rPr>
        <w:t xml:space="preserve"> për mbrojtjen e popullsisë nga sëmundjet ngjitëse.</w:t>
      </w:r>
    </w:p>
    <w:p w:rsidR="0082012B" w:rsidRPr="00037FB1" w:rsidRDefault="009F4EF5" w:rsidP="0037360A">
      <w:pPr>
        <w:pStyle w:val="ListParagraph"/>
        <w:numPr>
          <w:ilvl w:val="0"/>
          <w:numId w:val="24"/>
        </w:numPr>
        <w:tabs>
          <w:tab w:val="left" w:pos="720"/>
          <w:tab w:val="left" w:pos="810"/>
          <w:tab w:val="left" w:pos="1080"/>
        </w:tabs>
        <w:spacing w:after="0" w:line="360" w:lineRule="auto"/>
        <w:ind w:left="0" w:firstLine="720"/>
        <w:jc w:val="both"/>
        <w:rPr>
          <w:rFonts w:ascii="Times New Roman" w:eastAsia="Arial Unicode MS" w:hAnsi="Times New Roman"/>
          <w:sz w:val="24"/>
          <w:szCs w:val="24"/>
          <w:lang w:val="sq-AL"/>
        </w:rPr>
      </w:pPr>
      <w:r w:rsidRPr="00037FB1">
        <w:rPr>
          <w:rFonts w:ascii="Times New Roman" w:eastAsia="Arial Unicode MS" w:hAnsi="Times New Roman"/>
          <w:sz w:val="24"/>
          <w:szCs w:val="24"/>
          <w:lang w:val="sq-AL"/>
        </w:rPr>
        <w:t xml:space="preserve">Kërkuesja ka pretenduar se ndalimi i tubimeve nuk është mjeti i </w:t>
      </w:r>
      <w:r w:rsidR="00763CCB" w:rsidRPr="00037FB1">
        <w:rPr>
          <w:rFonts w:ascii="Times New Roman" w:eastAsia="Arial Unicode MS" w:hAnsi="Times New Roman"/>
          <w:sz w:val="24"/>
          <w:szCs w:val="24"/>
          <w:lang w:val="sq-AL"/>
        </w:rPr>
        <w:t>duhur</w:t>
      </w:r>
      <w:r w:rsidRPr="00037FB1">
        <w:rPr>
          <w:rFonts w:ascii="Times New Roman" w:eastAsia="Arial Unicode MS" w:hAnsi="Times New Roman"/>
          <w:sz w:val="24"/>
          <w:szCs w:val="24"/>
          <w:lang w:val="sq-AL"/>
        </w:rPr>
        <w:t xml:space="preserve"> dhe i nevojshëm</w:t>
      </w:r>
      <w:r w:rsidR="00293B82">
        <w:rPr>
          <w:rFonts w:ascii="Times New Roman" w:eastAsia="Arial Unicode MS" w:hAnsi="Times New Roman"/>
          <w:sz w:val="24"/>
          <w:szCs w:val="24"/>
          <w:lang w:val="sq-AL"/>
        </w:rPr>
        <w:t xml:space="preserve"> </w:t>
      </w:r>
      <w:r w:rsidR="00763CCB" w:rsidRPr="00037FB1">
        <w:rPr>
          <w:rFonts w:ascii="Times New Roman" w:eastAsia="Arial Unicode MS" w:hAnsi="Times New Roman"/>
          <w:sz w:val="24"/>
          <w:szCs w:val="24"/>
          <w:lang w:val="sq-AL"/>
        </w:rPr>
        <w:t>dhe se m</w:t>
      </w:r>
      <w:r w:rsidR="00905018" w:rsidRPr="00037FB1">
        <w:rPr>
          <w:rFonts w:ascii="Times New Roman" w:eastAsia="Arial Unicode MS" w:hAnsi="Times New Roman"/>
          <w:sz w:val="24"/>
          <w:szCs w:val="24"/>
          <w:lang w:val="sq-AL"/>
        </w:rPr>
        <w:t>ë</w:t>
      </w:r>
      <w:r w:rsidR="00763CCB" w:rsidRPr="00037FB1">
        <w:rPr>
          <w:rFonts w:ascii="Times New Roman" w:eastAsia="Arial Unicode MS" w:hAnsi="Times New Roman"/>
          <w:sz w:val="24"/>
          <w:szCs w:val="24"/>
          <w:lang w:val="sq-AL"/>
        </w:rPr>
        <w:t>nyrat alternative t</w:t>
      </w:r>
      <w:r w:rsidR="00905018" w:rsidRPr="00037FB1">
        <w:rPr>
          <w:rFonts w:ascii="Times New Roman" w:eastAsia="Arial Unicode MS" w:hAnsi="Times New Roman"/>
          <w:sz w:val="24"/>
          <w:szCs w:val="24"/>
          <w:lang w:val="sq-AL"/>
        </w:rPr>
        <w:t>ë</w:t>
      </w:r>
      <w:r w:rsidR="00763CCB" w:rsidRPr="00037FB1">
        <w:rPr>
          <w:rFonts w:ascii="Times New Roman" w:eastAsia="Arial Unicode MS" w:hAnsi="Times New Roman"/>
          <w:sz w:val="24"/>
          <w:szCs w:val="24"/>
          <w:lang w:val="sq-AL"/>
        </w:rPr>
        <w:t xml:space="preserve"> komunikimit </w:t>
      </w:r>
      <w:r w:rsidR="00763CCB" w:rsidRPr="00037FB1">
        <w:rPr>
          <w:rFonts w:ascii="Times New Roman" w:eastAsia="Arial Unicode MS" w:hAnsi="Times New Roman"/>
          <w:i/>
          <w:sz w:val="24"/>
          <w:szCs w:val="24"/>
          <w:lang w:val="sq-AL"/>
        </w:rPr>
        <w:t>online</w:t>
      </w:r>
      <w:r w:rsidR="00763CCB" w:rsidRPr="00037FB1">
        <w:rPr>
          <w:rFonts w:ascii="Times New Roman" w:eastAsia="Arial Unicode MS" w:hAnsi="Times New Roman"/>
          <w:sz w:val="24"/>
          <w:szCs w:val="24"/>
          <w:lang w:val="sq-AL"/>
        </w:rPr>
        <w:t xml:space="preserve"> nuk jan</w:t>
      </w:r>
      <w:r w:rsidR="00905018" w:rsidRPr="00037FB1">
        <w:rPr>
          <w:rFonts w:ascii="Times New Roman" w:eastAsia="Arial Unicode MS" w:hAnsi="Times New Roman"/>
          <w:sz w:val="24"/>
          <w:szCs w:val="24"/>
          <w:lang w:val="sq-AL"/>
        </w:rPr>
        <w:t>ë</w:t>
      </w:r>
      <w:r w:rsidR="00763CCB" w:rsidRPr="00037FB1">
        <w:rPr>
          <w:rFonts w:ascii="Times New Roman" w:eastAsia="Arial Unicode MS" w:hAnsi="Times New Roman"/>
          <w:sz w:val="24"/>
          <w:szCs w:val="24"/>
          <w:lang w:val="sq-AL"/>
        </w:rPr>
        <w:t xml:space="preserve"> t</w:t>
      </w:r>
      <w:r w:rsidR="00905018" w:rsidRPr="00037FB1">
        <w:rPr>
          <w:rFonts w:ascii="Times New Roman" w:eastAsia="Arial Unicode MS" w:hAnsi="Times New Roman"/>
          <w:sz w:val="24"/>
          <w:szCs w:val="24"/>
          <w:lang w:val="sq-AL"/>
        </w:rPr>
        <w:t>ë</w:t>
      </w:r>
      <w:r w:rsidR="00763CCB" w:rsidRPr="00037FB1">
        <w:rPr>
          <w:rFonts w:ascii="Times New Roman" w:eastAsia="Arial Unicode MS" w:hAnsi="Times New Roman"/>
          <w:sz w:val="24"/>
          <w:szCs w:val="24"/>
          <w:lang w:val="sq-AL"/>
        </w:rPr>
        <w:t xml:space="preserve"> p</w:t>
      </w:r>
      <w:r w:rsidR="00905018" w:rsidRPr="00037FB1">
        <w:rPr>
          <w:rFonts w:ascii="Times New Roman" w:eastAsia="Arial Unicode MS" w:hAnsi="Times New Roman"/>
          <w:sz w:val="24"/>
          <w:szCs w:val="24"/>
          <w:lang w:val="sq-AL"/>
        </w:rPr>
        <w:t>ë</w:t>
      </w:r>
      <w:r w:rsidR="00763CCB" w:rsidRPr="00037FB1">
        <w:rPr>
          <w:rFonts w:ascii="Times New Roman" w:eastAsia="Arial Unicode MS" w:hAnsi="Times New Roman"/>
          <w:sz w:val="24"/>
          <w:szCs w:val="24"/>
          <w:lang w:val="sq-AL"/>
        </w:rPr>
        <w:t>rshtatshme</w:t>
      </w:r>
      <w:r w:rsidR="00293B82">
        <w:rPr>
          <w:rFonts w:ascii="Times New Roman" w:eastAsia="Arial Unicode MS" w:hAnsi="Times New Roman"/>
          <w:sz w:val="24"/>
          <w:szCs w:val="24"/>
          <w:lang w:val="sq-AL"/>
        </w:rPr>
        <w:t>,</w:t>
      </w:r>
      <w:r w:rsidR="00763CCB" w:rsidRPr="00037FB1">
        <w:rPr>
          <w:rFonts w:ascii="Times New Roman" w:eastAsia="Arial Unicode MS" w:hAnsi="Times New Roman"/>
          <w:sz w:val="24"/>
          <w:szCs w:val="24"/>
          <w:lang w:val="sq-AL"/>
        </w:rPr>
        <w:t xml:space="preserve"> pasi nuk mbulojn</w:t>
      </w:r>
      <w:r w:rsidR="00905018" w:rsidRPr="00037FB1">
        <w:rPr>
          <w:rFonts w:ascii="Times New Roman" w:eastAsia="Arial Unicode MS" w:hAnsi="Times New Roman"/>
          <w:sz w:val="24"/>
          <w:szCs w:val="24"/>
          <w:lang w:val="sq-AL"/>
        </w:rPr>
        <w:t>ë</w:t>
      </w:r>
      <w:r w:rsidR="00763CCB" w:rsidRPr="00037FB1">
        <w:rPr>
          <w:rFonts w:ascii="Times New Roman" w:eastAsia="Arial Unicode MS" w:hAnsi="Times New Roman"/>
          <w:sz w:val="24"/>
          <w:szCs w:val="24"/>
          <w:lang w:val="sq-AL"/>
        </w:rPr>
        <w:t xml:space="preserve"> t</w:t>
      </w:r>
      <w:r w:rsidR="00905018" w:rsidRPr="00037FB1">
        <w:rPr>
          <w:rFonts w:ascii="Times New Roman" w:eastAsia="Arial Unicode MS" w:hAnsi="Times New Roman"/>
          <w:sz w:val="24"/>
          <w:szCs w:val="24"/>
          <w:lang w:val="sq-AL"/>
        </w:rPr>
        <w:t>ë</w:t>
      </w:r>
      <w:r w:rsidR="00763CCB" w:rsidRPr="00037FB1">
        <w:rPr>
          <w:rFonts w:ascii="Times New Roman" w:eastAsia="Arial Unicode MS" w:hAnsi="Times New Roman"/>
          <w:sz w:val="24"/>
          <w:szCs w:val="24"/>
          <w:lang w:val="sq-AL"/>
        </w:rPr>
        <w:t xml:space="preserve"> gjith</w:t>
      </w:r>
      <w:r w:rsidR="00905018" w:rsidRPr="00037FB1">
        <w:rPr>
          <w:rFonts w:ascii="Times New Roman" w:eastAsia="Arial Unicode MS" w:hAnsi="Times New Roman"/>
          <w:sz w:val="24"/>
          <w:szCs w:val="24"/>
          <w:lang w:val="sq-AL"/>
        </w:rPr>
        <w:t>ë</w:t>
      </w:r>
      <w:r w:rsidR="00763CCB" w:rsidRPr="00037FB1">
        <w:rPr>
          <w:rFonts w:ascii="Times New Roman" w:eastAsia="Arial Unicode MS" w:hAnsi="Times New Roman"/>
          <w:sz w:val="24"/>
          <w:szCs w:val="24"/>
          <w:lang w:val="sq-AL"/>
        </w:rPr>
        <w:t xml:space="preserve"> territorin</w:t>
      </w:r>
      <w:r w:rsidRPr="00037FB1">
        <w:rPr>
          <w:rFonts w:ascii="Times New Roman" w:eastAsia="Arial Unicode MS" w:hAnsi="Times New Roman"/>
          <w:sz w:val="24"/>
          <w:szCs w:val="24"/>
          <w:lang w:val="sq-AL"/>
        </w:rPr>
        <w:t xml:space="preserve">. </w:t>
      </w:r>
      <w:r w:rsidR="00763CCB" w:rsidRPr="00037FB1">
        <w:rPr>
          <w:rFonts w:ascii="Times New Roman" w:eastAsia="Arial Unicode MS" w:hAnsi="Times New Roman"/>
          <w:sz w:val="24"/>
          <w:szCs w:val="24"/>
          <w:lang w:val="sq-AL"/>
        </w:rPr>
        <w:t>Nd</w:t>
      </w:r>
      <w:r w:rsidR="00905018" w:rsidRPr="00037FB1">
        <w:rPr>
          <w:rFonts w:ascii="Times New Roman" w:eastAsia="Arial Unicode MS" w:hAnsi="Times New Roman"/>
          <w:sz w:val="24"/>
          <w:szCs w:val="24"/>
          <w:lang w:val="sq-AL"/>
        </w:rPr>
        <w:t>ë</w:t>
      </w:r>
      <w:r w:rsidR="00763CCB" w:rsidRPr="00037FB1">
        <w:rPr>
          <w:rFonts w:ascii="Times New Roman" w:eastAsia="Arial Unicode MS" w:hAnsi="Times New Roman"/>
          <w:sz w:val="24"/>
          <w:szCs w:val="24"/>
          <w:lang w:val="sq-AL"/>
        </w:rPr>
        <w:t xml:space="preserve">rsa </w:t>
      </w:r>
      <w:r w:rsidR="0082012B" w:rsidRPr="00037FB1">
        <w:rPr>
          <w:rFonts w:ascii="Times New Roman" w:hAnsi="Times New Roman"/>
          <w:sz w:val="24"/>
          <w:szCs w:val="24"/>
          <w:lang w:val="sq-AL"/>
        </w:rPr>
        <w:t>subjekti i</w:t>
      </w:r>
      <w:r w:rsidR="00891CF7" w:rsidRPr="00037FB1">
        <w:rPr>
          <w:rFonts w:ascii="Times New Roman" w:hAnsi="Times New Roman"/>
          <w:sz w:val="24"/>
          <w:szCs w:val="24"/>
          <w:lang w:val="sq-AL"/>
        </w:rPr>
        <w:t xml:space="preserve"> interesuar, </w:t>
      </w:r>
      <w:r w:rsidR="0082012B" w:rsidRPr="00037FB1">
        <w:rPr>
          <w:rFonts w:ascii="Times New Roman" w:hAnsi="Times New Roman"/>
          <w:sz w:val="24"/>
          <w:szCs w:val="24"/>
          <w:lang w:val="sq-AL"/>
        </w:rPr>
        <w:t>Këshilli i Ministrave</w:t>
      </w:r>
      <w:r w:rsidR="00293B82">
        <w:rPr>
          <w:rFonts w:ascii="Times New Roman" w:hAnsi="Times New Roman"/>
          <w:sz w:val="24"/>
          <w:szCs w:val="24"/>
          <w:lang w:val="sq-AL"/>
        </w:rPr>
        <w:t>,</w:t>
      </w:r>
      <w:r w:rsidR="0082012B" w:rsidRPr="00037FB1">
        <w:rPr>
          <w:rFonts w:ascii="Times New Roman" w:hAnsi="Times New Roman"/>
          <w:sz w:val="24"/>
          <w:szCs w:val="24"/>
          <w:lang w:val="sq-AL"/>
        </w:rPr>
        <w:t xml:space="preserve"> </w:t>
      </w:r>
      <w:r w:rsidR="00891CF7" w:rsidRPr="00037FB1">
        <w:rPr>
          <w:rFonts w:ascii="Times New Roman" w:hAnsi="Times New Roman"/>
          <w:sz w:val="24"/>
          <w:szCs w:val="24"/>
          <w:lang w:val="sq-AL"/>
        </w:rPr>
        <w:t xml:space="preserve">ka parashtruar se </w:t>
      </w:r>
      <w:r w:rsidR="00763CCB" w:rsidRPr="00037FB1">
        <w:rPr>
          <w:rFonts w:ascii="Times New Roman" w:hAnsi="Times New Roman"/>
          <w:sz w:val="24"/>
          <w:szCs w:val="24"/>
          <w:lang w:val="sq-AL"/>
        </w:rPr>
        <w:t>urdhri nr. 633/2020 ka dal</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 xml:space="preserve">pas shpalljes së gjendjes së pandemisë nga OBSH-ja, </w:t>
      </w:r>
      <w:r w:rsidR="00763CCB" w:rsidRPr="00037FB1">
        <w:rPr>
          <w:rFonts w:ascii="Times New Roman" w:hAnsi="Times New Roman"/>
          <w:sz w:val="24"/>
          <w:szCs w:val="24"/>
          <w:lang w:val="sq-AL"/>
        </w:rPr>
        <w:t>n</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w:t>
      </w:r>
      <w:r w:rsidR="00367EB7" w:rsidRPr="00037FB1">
        <w:rPr>
          <w:rFonts w:ascii="Times New Roman" w:hAnsi="Times New Roman"/>
          <w:sz w:val="24"/>
          <w:szCs w:val="24"/>
          <w:lang w:val="sq-AL"/>
        </w:rPr>
        <w:t>përgjigje të situatës së krijuar</w:t>
      </w:r>
      <w:r w:rsidR="00763CCB" w:rsidRPr="00037FB1">
        <w:rPr>
          <w:rFonts w:ascii="Times New Roman" w:hAnsi="Times New Roman"/>
          <w:sz w:val="24"/>
          <w:szCs w:val="24"/>
          <w:lang w:val="sq-AL"/>
        </w:rPr>
        <w:t>, s</w:t>
      </w:r>
      <w:r w:rsidR="00367EB7" w:rsidRPr="00037FB1">
        <w:rPr>
          <w:rFonts w:ascii="Times New Roman" w:hAnsi="Times New Roman"/>
          <w:sz w:val="24"/>
          <w:szCs w:val="24"/>
          <w:lang w:val="sq-AL"/>
        </w:rPr>
        <w:t>i rezultat i shtimit të rasteve të</w:t>
      </w:r>
      <w:r w:rsidR="006D30BA" w:rsidRPr="00037FB1">
        <w:rPr>
          <w:rFonts w:ascii="Times New Roman" w:hAnsi="Times New Roman"/>
          <w:sz w:val="24"/>
          <w:szCs w:val="24"/>
          <w:lang w:val="sq-AL"/>
        </w:rPr>
        <w:t xml:space="preserve"> të prekurve dhe viktimave</w:t>
      </w:r>
      <w:r w:rsidR="00367EB7" w:rsidRPr="00037FB1">
        <w:rPr>
          <w:rFonts w:ascii="Times New Roman" w:hAnsi="Times New Roman"/>
          <w:sz w:val="24"/>
          <w:szCs w:val="24"/>
          <w:lang w:val="sq-AL"/>
        </w:rPr>
        <w:t xml:space="preserve"> nga </w:t>
      </w:r>
      <w:r w:rsidR="00293B82">
        <w:rPr>
          <w:rFonts w:ascii="Times New Roman" w:hAnsi="Times New Roman"/>
          <w:sz w:val="24"/>
          <w:szCs w:val="24"/>
          <w:lang w:val="sq-AL"/>
        </w:rPr>
        <w:t>COVID</w:t>
      </w:r>
      <w:r w:rsidR="00367EB7" w:rsidRPr="00037FB1">
        <w:rPr>
          <w:rFonts w:ascii="Times New Roman" w:hAnsi="Times New Roman"/>
          <w:sz w:val="24"/>
          <w:szCs w:val="24"/>
          <w:lang w:val="sq-AL"/>
        </w:rPr>
        <w:t xml:space="preserve">-19. </w:t>
      </w:r>
      <w:r w:rsidR="00763CCB" w:rsidRPr="00037FB1">
        <w:rPr>
          <w:rFonts w:ascii="Times New Roman" w:hAnsi="Times New Roman"/>
          <w:sz w:val="24"/>
          <w:szCs w:val="24"/>
          <w:lang w:val="sq-AL"/>
        </w:rPr>
        <w:t>Sipas tij, k</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rkuesja ka n</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dispozicion m</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nyra alternative t</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komunikimit </w:t>
      </w:r>
      <w:r w:rsidR="00763CCB" w:rsidRPr="00293B82">
        <w:rPr>
          <w:rFonts w:ascii="Times New Roman" w:hAnsi="Times New Roman"/>
          <w:i/>
          <w:sz w:val="24"/>
          <w:szCs w:val="24"/>
          <w:lang w:val="sq-AL"/>
        </w:rPr>
        <w:t>online</w:t>
      </w:r>
      <w:r w:rsidR="00763CCB" w:rsidRPr="00037FB1">
        <w:rPr>
          <w:rFonts w:ascii="Times New Roman" w:hAnsi="Times New Roman"/>
          <w:sz w:val="24"/>
          <w:szCs w:val="24"/>
          <w:lang w:val="sq-AL"/>
        </w:rPr>
        <w:t xml:space="preserve"> p</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r ushtrimin e t</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drejtave q</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pretendon se i jan</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cenuar.</w:t>
      </w:r>
    </w:p>
    <w:p w:rsidR="00BD5DE4" w:rsidRPr="00037FB1" w:rsidRDefault="00BD5DE4" w:rsidP="0037360A">
      <w:pPr>
        <w:pStyle w:val="ListParagraph"/>
        <w:numPr>
          <w:ilvl w:val="0"/>
          <w:numId w:val="24"/>
        </w:numPr>
        <w:tabs>
          <w:tab w:val="left" w:pos="720"/>
          <w:tab w:val="left" w:pos="810"/>
          <w:tab w:val="left" w:pos="1080"/>
        </w:tabs>
        <w:spacing w:after="0" w:line="360" w:lineRule="auto"/>
        <w:ind w:left="0" w:firstLine="720"/>
        <w:jc w:val="both"/>
        <w:rPr>
          <w:rFonts w:ascii="Times New Roman" w:eastAsia="Arial Unicode MS" w:hAnsi="Times New Roman"/>
          <w:sz w:val="24"/>
          <w:szCs w:val="24"/>
          <w:lang w:val="sq-AL"/>
        </w:rPr>
      </w:pPr>
      <w:r w:rsidRPr="00037FB1">
        <w:rPr>
          <w:rFonts w:ascii="Times New Roman" w:hAnsi="Times New Roman"/>
          <w:sz w:val="24"/>
          <w:szCs w:val="24"/>
          <w:lang w:val="sq-AL"/>
        </w:rPr>
        <w:t>Gjykata konstaton se n</w:t>
      </w:r>
      <w:r w:rsidR="0054472C" w:rsidRPr="00037FB1">
        <w:rPr>
          <w:rFonts w:ascii="Times New Roman" w:hAnsi="Times New Roman"/>
          <w:sz w:val="24"/>
          <w:szCs w:val="24"/>
          <w:lang w:val="sq-AL"/>
        </w:rPr>
        <w:t>ë kuad</w:t>
      </w:r>
      <w:r w:rsidRPr="00037FB1">
        <w:rPr>
          <w:rFonts w:ascii="Times New Roman" w:hAnsi="Times New Roman"/>
          <w:sz w:val="24"/>
          <w:szCs w:val="24"/>
          <w:lang w:val="sq-AL"/>
        </w:rPr>
        <w:t xml:space="preserve">rin e </w:t>
      </w:r>
      <w:r w:rsidR="0054472C" w:rsidRPr="00037FB1">
        <w:rPr>
          <w:rFonts w:ascii="Times New Roman" w:hAnsi="Times New Roman"/>
          <w:sz w:val="24"/>
          <w:szCs w:val="24"/>
          <w:lang w:val="sq-AL"/>
        </w:rPr>
        <w:t>lirisë së shprehjes dhe të së drejtës së tubimit, shpërndarja e informacionit dhe ideve ka një rëndësi të veçantë. Padyshim, tubimet politike dhe mbledhjet partiake z</w:t>
      </w:r>
      <w:r w:rsidR="00FE0A60" w:rsidRPr="00037FB1">
        <w:rPr>
          <w:rFonts w:ascii="Times New Roman" w:hAnsi="Times New Roman"/>
          <w:sz w:val="24"/>
          <w:szCs w:val="24"/>
          <w:lang w:val="sq-AL"/>
        </w:rPr>
        <w:t>ë</w:t>
      </w:r>
      <w:r w:rsidR="0054472C" w:rsidRPr="00037FB1">
        <w:rPr>
          <w:rFonts w:ascii="Times New Roman" w:hAnsi="Times New Roman"/>
          <w:sz w:val="24"/>
          <w:szCs w:val="24"/>
          <w:lang w:val="sq-AL"/>
        </w:rPr>
        <w:t xml:space="preserve">nё vend kryesor nё procesin zgjedhor, pasi pёrmes tyre pjesёmarrёsit dhe organizatorёt japin e shkёmbejnё opinione, ide e çёshtje tё programeve politike, me tё cilat partitë politike konkurrojnë nё zgjedhje, ndërsa zgjedhësit informohen për të bërë zgjedhjen e duhur. Gjykata thekson se kur </w:t>
      </w:r>
      <w:r w:rsidRPr="00037FB1">
        <w:rPr>
          <w:rFonts w:ascii="Times New Roman" w:hAnsi="Times New Roman"/>
          <w:sz w:val="24"/>
          <w:szCs w:val="24"/>
          <w:lang w:val="sq-AL"/>
        </w:rPr>
        <w:t xml:space="preserve">kufizohen </w:t>
      </w:r>
      <w:r w:rsidR="0054472C" w:rsidRPr="00037FB1">
        <w:rPr>
          <w:rFonts w:ascii="Times New Roman" w:hAnsi="Times New Roman"/>
          <w:sz w:val="24"/>
          <w:szCs w:val="24"/>
          <w:lang w:val="sq-AL"/>
        </w:rPr>
        <w:t xml:space="preserve">të drejtat kushtetuese, për kontrollin e proporcionalitetit të ndërhyrjes nuk mjafton vetëm ekzistenca e mjeteve alternative, por një faktor i rëndësishëm lidhet me vlerësimin se sa këto mënyra alternative lejojnë ushtrimin e </w:t>
      </w:r>
      <w:r w:rsidR="008A715E">
        <w:rPr>
          <w:rFonts w:ascii="Times New Roman" w:hAnsi="Times New Roman"/>
          <w:sz w:val="24"/>
          <w:szCs w:val="24"/>
          <w:lang w:val="sq-AL"/>
        </w:rPr>
        <w:t>s</w:t>
      </w:r>
      <w:r w:rsidR="0054472C" w:rsidRPr="00037FB1">
        <w:rPr>
          <w:rFonts w:ascii="Times New Roman" w:hAnsi="Times New Roman"/>
          <w:sz w:val="24"/>
          <w:szCs w:val="24"/>
          <w:lang w:val="sq-AL"/>
        </w:rPr>
        <w:t xml:space="preserve">ë drejtës, qoftë edhe në masë të kufizuar. Kur kufizimet vendosen për lirinë e shprehjes dhe të tubimit përgjatë procesit zgjedhor, </w:t>
      </w:r>
      <w:r w:rsidR="00A24B52" w:rsidRPr="00037FB1">
        <w:rPr>
          <w:rFonts w:ascii="Times New Roman" w:hAnsi="Times New Roman"/>
          <w:sz w:val="24"/>
          <w:szCs w:val="24"/>
          <w:lang w:val="sq-AL"/>
        </w:rPr>
        <w:t>p</w:t>
      </w:r>
      <w:r w:rsidR="00C4630B" w:rsidRPr="00037FB1">
        <w:rPr>
          <w:rFonts w:ascii="Times New Roman" w:hAnsi="Times New Roman"/>
          <w:sz w:val="24"/>
          <w:szCs w:val="24"/>
          <w:lang w:val="sq-AL"/>
        </w:rPr>
        <w:t>ë</w:t>
      </w:r>
      <w:r w:rsidR="00A24B52" w:rsidRPr="00037FB1">
        <w:rPr>
          <w:rFonts w:ascii="Times New Roman" w:hAnsi="Times New Roman"/>
          <w:sz w:val="24"/>
          <w:szCs w:val="24"/>
          <w:lang w:val="sq-AL"/>
        </w:rPr>
        <w:t>r Gjykat</w:t>
      </w:r>
      <w:r w:rsidR="00C4630B" w:rsidRPr="00037FB1">
        <w:rPr>
          <w:rFonts w:ascii="Times New Roman" w:hAnsi="Times New Roman"/>
          <w:sz w:val="24"/>
          <w:szCs w:val="24"/>
          <w:lang w:val="sq-AL"/>
        </w:rPr>
        <w:t>ë</w:t>
      </w:r>
      <w:r w:rsidR="00A24B52" w:rsidRPr="00037FB1">
        <w:rPr>
          <w:rFonts w:ascii="Times New Roman" w:hAnsi="Times New Roman"/>
          <w:sz w:val="24"/>
          <w:szCs w:val="24"/>
          <w:lang w:val="sq-AL"/>
        </w:rPr>
        <w:t xml:space="preserve">n </w:t>
      </w:r>
      <w:r w:rsidR="0054472C" w:rsidRPr="00037FB1">
        <w:rPr>
          <w:rFonts w:ascii="Times New Roman" w:hAnsi="Times New Roman"/>
          <w:sz w:val="24"/>
          <w:szCs w:val="24"/>
          <w:lang w:val="sq-AL"/>
        </w:rPr>
        <w:t>merr rëndësi vlerësimi i hapësirës dhe shkall</w:t>
      </w:r>
      <w:r w:rsidR="008E76A8" w:rsidRPr="00037FB1">
        <w:rPr>
          <w:rFonts w:ascii="Times New Roman" w:hAnsi="Times New Roman"/>
          <w:sz w:val="24"/>
          <w:szCs w:val="24"/>
          <w:lang w:val="sq-AL"/>
        </w:rPr>
        <w:t>ë</w:t>
      </w:r>
      <w:r w:rsidR="0054472C" w:rsidRPr="00037FB1">
        <w:rPr>
          <w:rFonts w:ascii="Times New Roman" w:hAnsi="Times New Roman"/>
          <w:sz w:val="24"/>
          <w:szCs w:val="24"/>
          <w:lang w:val="sq-AL"/>
        </w:rPr>
        <w:t>s s</w:t>
      </w:r>
      <w:r w:rsidR="008E76A8" w:rsidRPr="00037FB1">
        <w:rPr>
          <w:rFonts w:ascii="Times New Roman" w:hAnsi="Times New Roman"/>
          <w:sz w:val="24"/>
          <w:szCs w:val="24"/>
          <w:lang w:val="sq-AL"/>
        </w:rPr>
        <w:t>ë</w:t>
      </w:r>
      <w:r w:rsidR="0054472C" w:rsidRPr="00037FB1">
        <w:rPr>
          <w:rFonts w:ascii="Times New Roman" w:hAnsi="Times New Roman"/>
          <w:sz w:val="24"/>
          <w:szCs w:val="24"/>
          <w:lang w:val="sq-AL"/>
        </w:rPr>
        <w:t xml:space="preserve"> përdorimit t</w:t>
      </w:r>
      <w:r w:rsidR="008E76A8" w:rsidRPr="00037FB1">
        <w:rPr>
          <w:rFonts w:ascii="Times New Roman" w:hAnsi="Times New Roman"/>
          <w:sz w:val="24"/>
          <w:szCs w:val="24"/>
          <w:lang w:val="sq-AL"/>
        </w:rPr>
        <w:t>ë</w:t>
      </w:r>
      <w:r w:rsidR="0054472C" w:rsidRPr="00037FB1">
        <w:rPr>
          <w:rFonts w:ascii="Times New Roman" w:hAnsi="Times New Roman"/>
          <w:sz w:val="24"/>
          <w:szCs w:val="24"/>
          <w:lang w:val="sq-AL"/>
        </w:rPr>
        <w:t xml:space="preserve"> mënyrave alternative t</w:t>
      </w:r>
      <w:r w:rsidR="008E76A8" w:rsidRPr="00037FB1">
        <w:rPr>
          <w:rFonts w:ascii="Times New Roman" w:hAnsi="Times New Roman"/>
          <w:sz w:val="24"/>
          <w:szCs w:val="24"/>
          <w:lang w:val="sq-AL"/>
        </w:rPr>
        <w:t>ë</w:t>
      </w:r>
      <w:r w:rsidR="0054472C" w:rsidRPr="00037FB1">
        <w:rPr>
          <w:rFonts w:ascii="Times New Roman" w:hAnsi="Times New Roman"/>
          <w:sz w:val="24"/>
          <w:szCs w:val="24"/>
          <w:lang w:val="sq-AL"/>
        </w:rPr>
        <w:t xml:space="preserve"> komunikimit q</w:t>
      </w:r>
      <w:r w:rsidR="008E76A8" w:rsidRPr="00037FB1">
        <w:rPr>
          <w:rFonts w:ascii="Times New Roman" w:hAnsi="Times New Roman"/>
          <w:sz w:val="24"/>
          <w:szCs w:val="24"/>
          <w:lang w:val="sq-AL"/>
        </w:rPr>
        <w:t>ë</w:t>
      </w:r>
      <w:r w:rsidR="0054472C" w:rsidRPr="00037FB1">
        <w:rPr>
          <w:rFonts w:ascii="Times New Roman" w:hAnsi="Times New Roman"/>
          <w:sz w:val="24"/>
          <w:szCs w:val="24"/>
          <w:lang w:val="sq-AL"/>
        </w:rPr>
        <w:t xml:space="preserve"> iu mundësohen zgjedhësve dhe partive politike</w:t>
      </w:r>
      <w:r w:rsidR="00A24B52" w:rsidRPr="00037FB1">
        <w:rPr>
          <w:rFonts w:ascii="Times New Roman" w:hAnsi="Times New Roman"/>
          <w:sz w:val="24"/>
          <w:szCs w:val="24"/>
          <w:lang w:val="sq-AL"/>
        </w:rPr>
        <w:t xml:space="preserve"> </w:t>
      </w:r>
      <w:r w:rsidR="0054472C" w:rsidRPr="00037FB1">
        <w:rPr>
          <w:rFonts w:ascii="Times New Roman" w:hAnsi="Times New Roman"/>
          <w:sz w:val="24"/>
          <w:szCs w:val="24"/>
          <w:lang w:val="sq-AL"/>
        </w:rPr>
        <w:t xml:space="preserve">për të përhapur mesazhin dhe idetë e </w:t>
      </w:r>
      <w:r w:rsidR="00A24B52" w:rsidRPr="00037FB1">
        <w:rPr>
          <w:rFonts w:ascii="Times New Roman" w:hAnsi="Times New Roman"/>
          <w:sz w:val="24"/>
          <w:szCs w:val="24"/>
          <w:lang w:val="sq-AL"/>
        </w:rPr>
        <w:t>tyre</w:t>
      </w:r>
      <w:r w:rsidR="0054472C" w:rsidRPr="00037FB1">
        <w:rPr>
          <w:rFonts w:ascii="Times New Roman" w:hAnsi="Times New Roman"/>
          <w:sz w:val="24"/>
          <w:szCs w:val="24"/>
          <w:lang w:val="sq-AL"/>
        </w:rPr>
        <w:t xml:space="preserve"> politike tek votuesi </w:t>
      </w:r>
      <w:r w:rsidR="00A24B52" w:rsidRPr="00037FB1">
        <w:rPr>
          <w:rFonts w:ascii="Times New Roman" w:hAnsi="Times New Roman"/>
          <w:sz w:val="24"/>
          <w:szCs w:val="24"/>
          <w:lang w:val="sq-AL"/>
        </w:rPr>
        <w:t>p</w:t>
      </w:r>
      <w:r w:rsidR="00C4630B" w:rsidRPr="00037FB1">
        <w:rPr>
          <w:rFonts w:ascii="Times New Roman" w:hAnsi="Times New Roman"/>
          <w:sz w:val="24"/>
          <w:szCs w:val="24"/>
          <w:lang w:val="sq-AL"/>
        </w:rPr>
        <w:t>ë</w:t>
      </w:r>
      <w:r w:rsidR="00BF6079" w:rsidRPr="00037FB1">
        <w:rPr>
          <w:rFonts w:ascii="Times New Roman" w:hAnsi="Times New Roman"/>
          <w:sz w:val="24"/>
          <w:szCs w:val="24"/>
          <w:lang w:val="sq-AL"/>
        </w:rPr>
        <w:t>rmes</w:t>
      </w:r>
      <w:r w:rsidR="0054472C" w:rsidRPr="00037FB1">
        <w:rPr>
          <w:rFonts w:ascii="Times New Roman" w:hAnsi="Times New Roman"/>
          <w:sz w:val="24"/>
          <w:szCs w:val="24"/>
          <w:lang w:val="sq-AL"/>
        </w:rPr>
        <w:t>: video</w:t>
      </w:r>
      <w:r w:rsidR="00FE0A60" w:rsidRPr="00037FB1">
        <w:rPr>
          <w:rFonts w:ascii="Times New Roman" w:hAnsi="Times New Roman"/>
          <w:sz w:val="24"/>
          <w:szCs w:val="24"/>
          <w:lang w:val="sq-AL"/>
        </w:rPr>
        <w:t>-</w:t>
      </w:r>
      <w:r w:rsidR="0054472C" w:rsidRPr="00037FB1">
        <w:rPr>
          <w:rFonts w:ascii="Times New Roman" w:hAnsi="Times New Roman"/>
          <w:sz w:val="24"/>
          <w:szCs w:val="24"/>
          <w:lang w:val="sq-AL"/>
        </w:rPr>
        <w:t>konferenca</w:t>
      </w:r>
      <w:r w:rsidR="00A24B52" w:rsidRPr="00037FB1">
        <w:rPr>
          <w:rFonts w:ascii="Times New Roman" w:hAnsi="Times New Roman"/>
          <w:sz w:val="24"/>
          <w:szCs w:val="24"/>
          <w:lang w:val="sq-AL"/>
        </w:rPr>
        <w:t>ve</w:t>
      </w:r>
      <w:r w:rsidR="0054472C" w:rsidRPr="00037FB1">
        <w:rPr>
          <w:rFonts w:ascii="Times New Roman" w:hAnsi="Times New Roman"/>
          <w:sz w:val="24"/>
          <w:szCs w:val="24"/>
          <w:lang w:val="sq-AL"/>
        </w:rPr>
        <w:t>, angazhime</w:t>
      </w:r>
      <w:r w:rsidR="00A24B52" w:rsidRPr="00037FB1">
        <w:rPr>
          <w:rFonts w:ascii="Times New Roman" w:hAnsi="Times New Roman"/>
          <w:sz w:val="24"/>
          <w:szCs w:val="24"/>
          <w:lang w:val="sq-AL"/>
        </w:rPr>
        <w:t>v</w:t>
      </w:r>
      <w:r w:rsidR="00FE0A60" w:rsidRPr="00037FB1">
        <w:rPr>
          <w:rFonts w:ascii="Times New Roman" w:hAnsi="Times New Roman"/>
          <w:sz w:val="24"/>
          <w:szCs w:val="24"/>
          <w:lang w:val="sq-AL"/>
        </w:rPr>
        <w:t>e</w:t>
      </w:r>
      <w:r w:rsidR="0054472C" w:rsidRPr="00037FB1">
        <w:rPr>
          <w:rFonts w:ascii="Times New Roman" w:hAnsi="Times New Roman"/>
          <w:sz w:val="24"/>
          <w:szCs w:val="24"/>
          <w:lang w:val="sq-AL"/>
        </w:rPr>
        <w:t xml:space="preserve"> aktive në platforma elektronike me ndjekje të gjerë, rrjete</w:t>
      </w:r>
      <w:r w:rsidRPr="00037FB1">
        <w:rPr>
          <w:rFonts w:ascii="Times New Roman" w:hAnsi="Times New Roman"/>
          <w:sz w:val="24"/>
          <w:szCs w:val="24"/>
          <w:lang w:val="sq-AL"/>
        </w:rPr>
        <w:t>ve</w:t>
      </w:r>
      <w:r w:rsidR="0054472C" w:rsidRPr="00037FB1">
        <w:rPr>
          <w:rFonts w:ascii="Times New Roman" w:hAnsi="Times New Roman"/>
          <w:sz w:val="24"/>
          <w:szCs w:val="24"/>
          <w:lang w:val="sq-AL"/>
        </w:rPr>
        <w:t xml:space="preserve"> sociale, takime</w:t>
      </w:r>
      <w:r w:rsidRPr="00037FB1">
        <w:rPr>
          <w:rFonts w:ascii="Times New Roman" w:hAnsi="Times New Roman"/>
          <w:sz w:val="24"/>
          <w:szCs w:val="24"/>
          <w:lang w:val="sq-AL"/>
        </w:rPr>
        <w:t>ve</w:t>
      </w:r>
      <w:r w:rsidR="000B1A0B" w:rsidRPr="00037FB1">
        <w:rPr>
          <w:rFonts w:ascii="Times New Roman" w:hAnsi="Times New Roman"/>
          <w:sz w:val="24"/>
          <w:szCs w:val="24"/>
          <w:lang w:val="sq-AL"/>
        </w:rPr>
        <w:t xml:space="preserve"> </w:t>
      </w:r>
      <w:r w:rsidR="000B1A0B" w:rsidRPr="00037FB1">
        <w:rPr>
          <w:rFonts w:ascii="Times New Roman" w:hAnsi="Times New Roman"/>
          <w:i/>
          <w:sz w:val="24"/>
          <w:szCs w:val="24"/>
          <w:lang w:val="sq-AL"/>
        </w:rPr>
        <w:t>on</w:t>
      </w:r>
      <w:r w:rsidR="0054472C" w:rsidRPr="00037FB1">
        <w:rPr>
          <w:rFonts w:ascii="Times New Roman" w:hAnsi="Times New Roman"/>
          <w:i/>
          <w:sz w:val="24"/>
          <w:szCs w:val="24"/>
          <w:lang w:val="sq-AL"/>
        </w:rPr>
        <w:t>line</w:t>
      </w:r>
      <w:r w:rsidR="0054472C" w:rsidRPr="00037FB1">
        <w:rPr>
          <w:rFonts w:ascii="Times New Roman" w:hAnsi="Times New Roman"/>
          <w:sz w:val="24"/>
          <w:szCs w:val="24"/>
          <w:lang w:val="sq-AL"/>
        </w:rPr>
        <w:t>, emisione</w:t>
      </w:r>
      <w:r w:rsidRPr="00037FB1">
        <w:rPr>
          <w:rFonts w:ascii="Times New Roman" w:hAnsi="Times New Roman"/>
          <w:sz w:val="24"/>
          <w:szCs w:val="24"/>
          <w:lang w:val="sq-AL"/>
        </w:rPr>
        <w:t>ve</w:t>
      </w:r>
      <w:r w:rsidR="0054472C" w:rsidRPr="00037FB1">
        <w:rPr>
          <w:rFonts w:ascii="Times New Roman" w:hAnsi="Times New Roman"/>
          <w:sz w:val="24"/>
          <w:szCs w:val="24"/>
          <w:lang w:val="sq-AL"/>
        </w:rPr>
        <w:t xml:space="preserve"> televizive, medi</w:t>
      </w:r>
      <w:r w:rsidR="008A715E">
        <w:rPr>
          <w:rFonts w:ascii="Times New Roman" w:hAnsi="Times New Roman"/>
          <w:sz w:val="24"/>
          <w:szCs w:val="24"/>
          <w:lang w:val="sq-AL"/>
        </w:rPr>
        <w:t>e</w:t>
      </w:r>
      <w:r w:rsidRPr="00037FB1">
        <w:rPr>
          <w:rFonts w:ascii="Times New Roman" w:hAnsi="Times New Roman"/>
          <w:sz w:val="24"/>
          <w:szCs w:val="24"/>
          <w:lang w:val="sq-AL"/>
        </w:rPr>
        <w:t>ve</w:t>
      </w:r>
      <w:r w:rsidR="0054472C" w:rsidRPr="00037FB1">
        <w:rPr>
          <w:rFonts w:ascii="Times New Roman" w:hAnsi="Times New Roman"/>
          <w:sz w:val="24"/>
          <w:szCs w:val="24"/>
          <w:lang w:val="sq-AL"/>
        </w:rPr>
        <w:t xml:space="preserve"> etj. </w:t>
      </w:r>
    </w:p>
    <w:p w:rsidR="0054472C" w:rsidRPr="00037FB1" w:rsidRDefault="0054472C" w:rsidP="0037360A">
      <w:pPr>
        <w:pStyle w:val="ListParagraph"/>
        <w:numPr>
          <w:ilvl w:val="0"/>
          <w:numId w:val="24"/>
        </w:numPr>
        <w:tabs>
          <w:tab w:val="left" w:pos="720"/>
          <w:tab w:val="left" w:pos="810"/>
          <w:tab w:val="left" w:pos="1080"/>
        </w:tabs>
        <w:spacing w:after="0" w:line="360" w:lineRule="auto"/>
        <w:ind w:left="0" w:firstLine="720"/>
        <w:jc w:val="both"/>
        <w:rPr>
          <w:rFonts w:ascii="Times New Roman" w:eastAsia="Arial Unicode MS" w:hAnsi="Times New Roman"/>
          <w:sz w:val="24"/>
          <w:szCs w:val="24"/>
          <w:lang w:val="sq-AL"/>
        </w:rPr>
      </w:pPr>
      <w:r w:rsidRPr="00037FB1">
        <w:rPr>
          <w:rFonts w:ascii="Times New Roman" w:hAnsi="Times New Roman"/>
          <w:sz w:val="24"/>
          <w:szCs w:val="24"/>
          <w:lang w:val="sq-AL"/>
        </w:rPr>
        <w:t>Gjykata vlerëson</w:t>
      </w:r>
      <w:r w:rsidR="008A715E">
        <w:rPr>
          <w:rFonts w:ascii="Times New Roman" w:hAnsi="Times New Roman"/>
          <w:sz w:val="24"/>
          <w:szCs w:val="24"/>
          <w:lang w:val="sq-AL"/>
        </w:rPr>
        <w:t>,</w:t>
      </w:r>
      <w:r w:rsidRPr="00037FB1">
        <w:rPr>
          <w:rFonts w:ascii="Times New Roman" w:hAnsi="Times New Roman"/>
          <w:sz w:val="24"/>
          <w:szCs w:val="24"/>
          <w:lang w:val="sq-AL"/>
        </w:rPr>
        <w:t xml:space="preserve"> gjithashtu</w:t>
      </w:r>
      <w:r w:rsidR="008A715E">
        <w:rPr>
          <w:rFonts w:ascii="Times New Roman" w:hAnsi="Times New Roman"/>
          <w:sz w:val="24"/>
          <w:szCs w:val="24"/>
          <w:lang w:val="sq-AL"/>
        </w:rPr>
        <w:t>,</w:t>
      </w:r>
      <w:r w:rsidRPr="00037FB1">
        <w:rPr>
          <w:rFonts w:ascii="Times New Roman" w:hAnsi="Times New Roman"/>
          <w:sz w:val="24"/>
          <w:szCs w:val="24"/>
          <w:lang w:val="sq-AL"/>
        </w:rPr>
        <w:t xml:space="preserve"> se si rregull çdo kufizim i të drejtave në vetvete duhet të ketë elementin e përkohshmërisë. Po ashtu, p</w:t>
      </w:r>
      <w:r w:rsidR="008F7863" w:rsidRPr="00037FB1">
        <w:rPr>
          <w:rFonts w:ascii="Times New Roman" w:hAnsi="Times New Roman"/>
          <w:sz w:val="24"/>
          <w:szCs w:val="24"/>
          <w:lang w:val="sq-AL"/>
        </w:rPr>
        <w:t>arimi i proporcionalitetit kërkon që sa më</w:t>
      </w:r>
      <w:r w:rsidRPr="00037FB1">
        <w:rPr>
          <w:rFonts w:ascii="Times New Roman" w:hAnsi="Times New Roman"/>
          <w:sz w:val="24"/>
          <w:szCs w:val="24"/>
          <w:lang w:val="sq-AL"/>
        </w:rPr>
        <w:t xml:space="preserve"> i madh t</w:t>
      </w:r>
      <w:r w:rsidR="008F7863" w:rsidRPr="00037FB1">
        <w:rPr>
          <w:rFonts w:ascii="Times New Roman" w:hAnsi="Times New Roman"/>
          <w:sz w:val="24"/>
          <w:szCs w:val="24"/>
          <w:lang w:val="sq-AL"/>
        </w:rPr>
        <w:t>ë jetë kufizimi</w:t>
      </w:r>
      <w:r w:rsidR="008A715E">
        <w:rPr>
          <w:rFonts w:ascii="Times New Roman" w:hAnsi="Times New Roman"/>
          <w:sz w:val="24"/>
          <w:szCs w:val="24"/>
          <w:lang w:val="sq-AL"/>
        </w:rPr>
        <w:t>,</w:t>
      </w:r>
      <w:r w:rsidR="008F7863" w:rsidRPr="00037FB1">
        <w:rPr>
          <w:rFonts w:ascii="Times New Roman" w:hAnsi="Times New Roman"/>
          <w:sz w:val="24"/>
          <w:szCs w:val="24"/>
          <w:lang w:val="sq-AL"/>
        </w:rPr>
        <w:t xml:space="preserve"> aq më</w:t>
      </w:r>
      <w:r w:rsidRPr="00037FB1">
        <w:rPr>
          <w:rFonts w:ascii="Times New Roman" w:hAnsi="Times New Roman"/>
          <w:sz w:val="24"/>
          <w:szCs w:val="24"/>
          <w:lang w:val="sq-AL"/>
        </w:rPr>
        <w:t xml:space="preserve"> i</w:t>
      </w:r>
      <w:r w:rsidR="008F7863" w:rsidRPr="00037FB1">
        <w:rPr>
          <w:rFonts w:ascii="Times New Roman" w:hAnsi="Times New Roman"/>
          <w:sz w:val="24"/>
          <w:szCs w:val="24"/>
          <w:lang w:val="sq-AL"/>
        </w:rPr>
        <w:t xml:space="preserve"> detajuar dhe bindës duhet të jetë</w:t>
      </w:r>
      <w:r w:rsidRPr="00037FB1">
        <w:rPr>
          <w:rFonts w:ascii="Times New Roman" w:hAnsi="Times New Roman"/>
          <w:sz w:val="24"/>
          <w:szCs w:val="24"/>
          <w:lang w:val="sq-AL"/>
        </w:rPr>
        <w:t xml:space="preserve"> justifikimi i tij. Në këtë këndvështrim, </w:t>
      </w:r>
      <w:r w:rsidR="00763CCB" w:rsidRPr="00037FB1">
        <w:rPr>
          <w:rFonts w:ascii="Times New Roman" w:hAnsi="Times New Roman"/>
          <w:sz w:val="24"/>
          <w:szCs w:val="24"/>
          <w:lang w:val="sq-AL"/>
        </w:rPr>
        <w:t>krahas numrit t</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kufizuar t</w:t>
      </w:r>
      <w:r w:rsidR="00905018" w:rsidRPr="00037FB1">
        <w:rPr>
          <w:rFonts w:ascii="Times New Roman" w:hAnsi="Times New Roman"/>
          <w:sz w:val="24"/>
          <w:szCs w:val="24"/>
          <w:lang w:val="sq-AL"/>
        </w:rPr>
        <w:t>ë</w:t>
      </w:r>
      <w:r w:rsidR="008A715E">
        <w:rPr>
          <w:rFonts w:ascii="Times New Roman" w:hAnsi="Times New Roman"/>
          <w:sz w:val="24"/>
          <w:szCs w:val="24"/>
          <w:lang w:val="sq-AL"/>
        </w:rPr>
        <w:t xml:space="preserve"> personave</w:t>
      </w:r>
      <w:r w:rsidR="00763CCB" w:rsidRPr="00037FB1">
        <w:rPr>
          <w:rFonts w:ascii="Times New Roman" w:hAnsi="Times New Roman"/>
          <w:sz w:val="24"/>
          <w:szCs w:val="24"/>
          <w:lang w:val="sq-AL"/>
        </w:rPr>
        <w:t xml:space="preserve"> q</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lejohen t</w:t>
      </w:r>
      <w:r w:rsidR="00905018" w:rsidRPr="00037FB1">
        <w:rPr>
          <w:rFonts w:ascii="Times New Roman" w:hAnsi="Times New Roman"/>
          <w:sz w:val="24"/>
          <w:szCs w:val="24"/>
          <w:lang w:val="sq-AL"/>
        </w:rPr>
        <w:t>ë</w:t>
      </w:r>
      <w:r w:rsidR="00763CCB" w:rsidRPr="00037FB1">
        <w:rPr>
          <w:rFonts w:ascii="Times New Roman" w:hAnsi="Times New Roman"/>
          <w:sz w:val="24"/>
          <w:szCs w:val="24"/>
          <w:lang w:val="sq-AL"/>
        </w:rPr>
        <w:t xml:space="preserve"> grumbullohen, </w:t>
      </w:r>
      <w:r w:rsidRPr="00037FB1">
        <w:rPr>
          <w:rFonts w:ascii="Times New Roman" w:hAnsi="Times New Roman"/>
          <w:sz w:val="24"/>
          <w:szCs w:val="24"/>
          <w:lang w:val="sq-AL"/>
        </w:rPr>
        <w:t>mënyrat alternative të ushtrimit të lirisë së shprehjes dhe të së drejtës së tubimit e justifikojnë konceptin e kufizimit të përkohshëm të tyre. Megjithatë, kur këto kufizime zgjasin pa afat, duke humbur karakteristikën e përkohshmërisë dhe për kohëzgjatjen e pacaktuar nuk jepet justifikim, ato shndërrohen në ndalim tërësor të kësaj të drejte, duke zbehur rolin që luajnë mënyrat alternative.</w:t>
      </w:r>
    </w:p>
    <w:p w:rsidR="00397A9C" w:rsidRPr="00037FB1" w:rsidRDefault="00BD5DE4" w:rsidP="0037360A">
      <w:pPr>
        <w:pStyle w:val="ListParagraph"/>
        <w:numPr>
          <w:ilvl w:val="0"/>
          <w:numId w:val="24"/>
        </w:numPr>
        <w:tabs>
          <w:tab w:val="left" w:pos="720"/>
          <w:tab w:val="left" w:pos="810"/>
          <w:tab w:val="left" w:pos="1080"/>
        </w:tabs>
        <w:spacing w:after="0" w:line="360" w:lineRule="auto"/>
        <w:ind w:left="0" w:firstLine="720"/>
        <w:jc w:val="both"/>
        <w:rPr>
          <w:rFonts w:ascii="Times New Roman" w:eastAsia="Arial Unicode MS" w:hAnsi="Times New Roman"/>
          <w:sz w:val="24"/>
          <w:szCs w:val="24"/>
          <w:lang w:val="sq-AL"/>
        </w:rPr>
      </w:pPr>
      <w:r w:rsidRPr="00037FB1">
        <w:rPr>
          <w:rFonts w:ascii="Times New Roman" w:hAnsi="Times New Roman"/>
          <w:sz w:val="24"/>
          <w:szCs w:val="24"/>
          <w:lang w:val="sq-AL"/>
        </w:rPr>
        <w:t>P</w:t>
      </w:r>
      <w:r w:rsidR="00E061FA" w:rsidRPr="00037FB1">
        <w:rPr>
          <w:rFonts w:ascii="Times New Roman" w:hAnsi="Times New Roman"/>
          <w:sz w:val="24"/>
          <w:szCs w:val="24"/>
          <w:lang w:val="sq-AL"/>
        </w:rPr>
        <w:t>ë</w:t>
      </w:r>
      <w:r w:rsidRPr="00037FB1">
        <w:rPr>
          <w:rFonts w:ascii="Times New Roman" w:hAnsi="Times New Roman"/>
          <w:sz w:val="24"/>
          <w:szCs w:val="24"/>
          <w:lang w:val="sq-AL"/>
        </w:rPr>
        <w:t>r sa m</w:t>
      </w:r>
      <w:r w:rsidR="00E061FA" w:rsidRPr="00037FB1">
        <w:rPr>
          <w:rFonts w:ascii="Times New Roman" w:hAnsi="Times New Roman"/>
          <w:sz w:val="24"/>
          <w:szCs w:val="24"/>
          <w:lang w:val="sq-AL"/>
        </w:rPr>
        <w:t>ë</w:t>
      </w:r>
      <w:r w:rsidRPr="00037FB1">
        <w:rPr>
          <w:rFonts w:ascii="Times New Roman" w:hAnsi="Times New Roman"/>
          <w:sz w:val="24"/>
          <w:szCs w:val="24"/>
          <w:lang w:val="sq-AL"/>
        </w:rPr>
        <w:t xml:space="preserve"> lart, </w:t>
      </w:r>
      <w:r w:rsidR="007315B1" w:rsidRPr="00037FB1">
        <w:rPr>
          <w:rFonts w:ascii="Times New Roman" w:hAnsi="Times New Roman"/>
          <w:sz w:val="24"/>
          <w:szCs w:val="24"/>
          <w:lang w:val="sq-AL"/>
        </w:rPr>
        <w:t>G</w:t>
      </w:r>
      <w:r w:rsidR="00367EB7" w:rsidRPr="00037FB1">
        <w:rPr>
          <w:rFonts w:ascii="Times New Roman" w:hAnsi="Times New Roman"/>
          <w:sz w:val="24"/>
          <w:szCs w:val="24"/>
          <w:lang w:val="sq-AL"/>
        </w:rPr>
        <w:t xml:space="preserve">jykata </w:t>
      </w:r>
      <w:r w:rsidR="007315B1" w:rsidRPr="00037FB1">
        <w:rPr>
          <w:rFonts w:ascii="Times New Roman" w:hAnsi="Times New Roman"/>
          <w:sz w:val="24"/>
          <w:szCs w:val="24"/>
          <w:lang w:val="sq-AL"/>
        </w:rPr>
        <w:t>vëren se urdhri nr. 663</w:t>
      </w:r>
      <w:r w:rsidRPr="00037FB1">
        <w:rPr>
          <w:rFonts w:ascii="Times New Roman" w:hAnsi="Times New Roman"/>
          <w:sz w:val="24"/>
          <w:szCs w:val="24"/>
          <w:lang w:val="sq-AL"/>
        </w:rPr>
        <w:t>/</w:t>
      </w:r>
      <w:r w:rsidR="007315B1" w:rsidRPr="00037FB1">
        <w:rPr>
          <w:rFonts w:ascii="Times New Roman" w:hAnsi="Times New Roman"/>
          <w:sz w:val="24"/>
          <w:szCs w:val="24"/>
          <w:lang w:val="sq-AL"/>
        </w:rPr>
        <w:t>2020, në pikën 1 të tij</w:t>
      </w:r>
      <w:r w:rsidR="008A715E">
        <w:rPr>
          <w:rFonts w:ascii="Times New Roman" w:hAnsi="Times New Roman"/>
          <w:sz w:val="24"/>
          <w:szCs w:val="24"/>
          <w:lang w:val="sq-AL"/>
        </w:rPr>
        <w:t>,</w:t>
      </w:r>
      <w:r w:rsidR="007315B1" w:rsidRPr="00037FB1">
        <w:rPr>
          <w:rFonts w:ascii="Times New Roman" w:hAnsi="Times New Roman"/>
          <w:sz w:val="24"/>
          <w:szCs w:val="24"/>
          <w:lang w:val="sq-AL"/>
        </w:rPr>
        <w:t xml:space="preserve"> përmban shprehjen “deri në një urdhër të dytë”</w:t>
      </w:r>
      <w:r w:rsidR="008A715E">
        <w:rPr>
          <w:rFonts w:ascii="Times New Roman" w:hAnsi="Times New Roman"/>
          <w:sz w:val="24"/>
          <w:szCs w:val="24"/>
          <w:lang w:val="sq-AL"/>
        </w:rPr>
        <w:t>,</w:t>
      </w:r>
      <w:r w:rsidR="007315B1" w:rsidRPr="00037FB1">
        <w:rPr>
          <w:rFonts w:ascii="Times New Roman" w:hAnsi="Times New Roman"/>
          <w:sz w:val="24"/>
          <w:szCs w:val="24"/>
          <w:lang w:val="sq-AL"/>
        </w:rPr>
        <w:t xml:space="preserve"> </w:t>
      </w:r>
      <w:r w:rsidR="00115814" w:rsidRPr="00037FB1">
        <w:rPr>
          <w:rFonts w:ascii="Times New Roman" w:hAnsi="Times New Roman"/>
          <w:sz w:val="24"/>
          <w:szCs w:val="24"/>
          <w:lang w:val="sq-AL"/>
        </w:rPr>
        <w:t xml:space="preserve">që </w:t>
      </w:r>
      <w:r w:rsidR="007315B1" w:rsidRPr="00037FB1">
        <w:rPr>
          <w:rFonts w:ascii="Times New Roman" w:hAnsi="Times New Roman"/>
          <w:sz w:val="24"/>
          <w:szCs w:val="24"/>
          <w:lang w:val="sq-AL"/>
        </w:rPr>
        <w:t xml:space="preserve">tregon se </w:t>
      </w:r>
      <w:r w:rsidRPr="00037FB1">
        <w:rPr>
          <w:rFonts w:ascii="Times New Roman" w:hAnsi="Times New Roman"/>
          <w:sz w:val="24"/>
          <w:szCs w:val="24"/>
          <w:lang w:val="sq-AL"/>
        </w:rPr>
        <w:t>nuk ka nj</w:t>
      </w:r>
      <w:r w:rsidR="00E061FA" w:rsidRPr="00037FB1">
        <w:rPr>
          <w:rFonts w:ascii="Times New Roman" w:hAnsi="Times New Roman"/>
          <w:sz w:val="24"/>
          <w:szCs w:val="24"/>
          <w:lang w:val="sq-AL"/>
        </w:rPr>
        <w:t>ë</w:t>
      </w:r>
      <w:r w:rsidRPr="00037FB1">
        <w:rPr>
          <w:rFonts w:ascii="Times New Roman" w:hAnsi="Times New Roman"/>
          <w:sz w:val="24"/>
          <w:szCs w:val="24"/>
          <w:lang w:val="sq-AL"/>
        </w:rPr>
        <w:t xml:space="preserve"> afat t</w:t>
      </w:r>
      <w:r w:rsidR="00E061FA" w:rsidRPr="00037FB1">
        <w:rPr>
          <w:rFonts w:ascii="Times New Roman" w:hAnsi="Times New Roman"/>
          <w:sz w:val="24"/>
          <w:szCs w:val="24"/>
          <w:lang w:val="sq-AL"/>
        </w:rPr>
        <w:t>ë</w:t>
      </w:r>
      <w:r w:rsidRPr="00037FB1">
        <w:rPr>
          <w:rFonts w:ascii="Times New Roman" w:hAnsi="Times New Roman"/>
          <w:sz w:val="24"/>
          <w:szCs w:val="24"/>
          <w:lang w:val="sq-AL"/>
        </w:rPr>
        <w:t xml:space="preserve"> qart</w:t>
      </w:r>
      <w:r w:rsidR="00E061FA" w:rsidRPr="00037FB1">
        <w:rPr>
          <w:rFonts w:ascii="Times New Roman" w:hAnsi="Times New Roman"/>
          <w:sz w:val="24"/>
          <w:szCs w:val="24"/>
          <w:lang w:val="sq-AL"/>
        </w:rPr>
        <w:t>ë</w:t>
      </w:r>
      <w:r w:rsidRPr="00037FB1">
        <w:rPr>
          <w:rFonts w:ascii="Times New Roman" w:hAnsi="Times New Roman"/>
          <w:sz w:val="24"/>
          <w:szCs w:val="24"/>
          <w:lang w:val="sq-AL"/>
        </w:rPr>
        <w:t xml:space="preserve"> se kur k</w:t>
      </w:r>
      <w:r w:rsidR="00E061FA" w:rsidRPr="00037FB1">
        <w:rPr>
          <w:rFonts w:ascii="Times New Roman" w:hAnsi="Times New Roman"/>
          <w:sz w:val="24"/>
          <w:szCs w:val="24"/>
          <w:lang w:val="sq-AL"/>
        </w:rPr>
        <w:t>ë</w:t>
      </w:r>
      <w:r w:rsidRPr="00037FB1">
        <w:rPr>
          <w:rFonts w:ascii="Times New Roman" w:hAnsi="Times New Roman"/>
          <w:sz w:val="24"/>
          <w:szCs w:val="24"/>
          <w:lang w:val="sq-AL"/>
        </w:rPr>
        <w:t xml:space="preserve">to </w:t>
      </w:r>
      <w:r w:rsidR="007315B1" w:rsidRPr="00037FB1">
        <w:rPr>
          <w:rFonts w:ascii="Times New Roman" w:hAnsi="Times New Roman"/>
          <w:sz w:val="24"/>
          <w:szCs w:val="24"/>
          <w:lang w:val="sq-AL"/>
        </w:rPr>
        <w:t>masa kufizuese</w:t>
      </w:r>
      <w:r w:rsidRPr="00037FB1">
        <w:rPr>
          <w:rFonts w:ascii="Times New Roman" w:hAnsi="Times New Roman"/>
          <w:sz w:val="24"/>
          <w:szCs w:val="24"/>
          <w:lang w:val="sq-AL"/>
        </w:rPr>
        <w:t xml:space="preserve"> p</w:t>
      </w:r>
      <w:r w:rsidR="00E061FA" w:rsidRPr="00037FB1">
        <w:rPr>
          <w:rFonts w:ascii="Times New Roman" w:hAnsi="Times New Roman"/>
          <w:sz w:val="24"/>
          <w:szCs w:val="24"/>
          <w:lang w:val="sq-AL"/>
        </w:rPr>
        <w:t>ë</w:t>
      </w:r>
      <w:r w:rsidRPr="00037FB1">
        <w:rPr>
          <w:rFonts w:ascii="Times New Roman" w:hAnsi="Times New Roman"/>
          <w:sz w:val="24"/>
          <w:szCs w:val="24"/>
          <w:lang w:val="sq-AL"/>
        </w:rPr>
        <w:t>rfundojn</w:t>
      </w:r>
      <w:r w:rsidR="00E061FA" w:rsidRPr="00037FB1">
        <w:rPr>
          <w:rFonts w:ascii="Times New Roman" w:hAnsi="Times New Roman"/>
          <w:sz w:val="24"/>
          <w:szCs w:val="24"/>
          <w:lang w:val="sq-AL"/>
        </w:rPr>
        <w:t>ë</w:t>
      </w:r>
      <w:r w:rsidRPr="00037FB1">
        <w:rPr>
          <w:rFonts w:ascii="Times New Roman" w:hAnsi="Times New Roman"/>
          <w:sz w:val="24"/>
          <w:szCs w:val="24"/>
          <w:lang w:val="sq-AL"/>
        </w:rPr>
        <w:t xml:space="preserve"> o</w:t>
      </w:r>
      <w:r w:rsidR="008A715E">
        <w:rPr>
          <w:rFonts w:ascii="Times New Roman" w:hAnsi="Times New Roman"/>
          <w:sz w:val="24"/>
          <w:szCs w:val="24"/>
          <w:lang w:val="sq-AL"/>
        </w:rPr>
        <w:t>se</w:t>
      </w:r>
      <w:r w:rsidRPr="00037FB1">
        <w:rPr>
          <w:rFonts w:ascii="Times New Roman" w:hAnsi="Times New Roman"/>
          <w:sz w:val="24"/>
          <w:szCs w:val="24"/>
          <w:lang w:val="sq-AL"/>
        </w:rPr>
        <w:t xml:space="preserve"> rishikohen.</w:t>
      </w:r>
      <w:r w:rsidR="007315B1" w:rsidRPr="00037FB1">
        <w:rPr>
          <w:rFonts w:ascii="Times New Roman" w:hAnsi="Times New Roman"/>
          <w:sz w:val="24"/>
          <w:szCs w:val="24"/>
          <w:lang w:val="sq-AL"/>
        </w:rPr>
        <w:t xml:space="preserve"> </w:t>
      </w:r>
      <w:r w:rsidRPr="00037FB1">
        <w:rPr>
          <w:rFonts w:ascii="Times New Roman" w:hAnsi="Times New Roman"/>
          <w:sz w:val="24"/>
          <w:szCs w:val="24"/>
          <w:lang w:val="sq-AL"/>
        </w:rPr>
        <w:t>Konkretisht, n</w:t>
      </w:r>
      <w:r w:rsidR="007315B1" w:rsidRPr="00037FB1">
        <w:rPr>
          <w:rFonts w:ascii="Times New Roman" w:hAnsi="Times New Roman"/>
          <w:sz w:val="24"/>
          <w:szCs w:val="24"/>
          <w:lang w:val="sq-AL"/>
        </w:rPr>
        <w:t>ga hyrja n</w:t>
      </w:r>
      <w:r w:rsidR="008A715E">
        <w:rPr>
          <w:rFonts w:ascii="Times New Roman" w:hAnsi="Times New Roman"/>
          <w:sz w:val="24"/>
          <w:szCs w:val="24"/>
          <w:lang w:val="sq-AL"/>
        </w:rPr>
        <w:t xml:space="preserve">ë fuqi e tij e deri aktualisht </w:t>
      </w:r>
      <w:r w:rsidR="007315B1" w:rsidRPr="00037FB1">
        <w:rPr>
          <w:rFonts w:ascii="Times New Roman" w:hAnsi="Times New Roman"/>
          <w:sz w:val="24"/>
          <w:szCs w:val="24"/>
          <w:lang w:val="sq-AL"/>
        </w:rPr>
        <w:t xml:space="preserve">ky urdhër nuk është rishikuar. </w:t>
      </w:r>
    </w:p>
    <w:p w:rsidR="00397A9C" w:rsidRPr="00037FB1" w:rsidRDefault="00397A9C" w:rsidP="0037360A">
      <w:pPr>
        <w:pStyle w:val="ListParagraph"/>
        <w:numPr>
          <w:ilvl w:val="0"/>
          <w:numId w:val="24"/>
        </w:numPr>
        <w:tabs>
          <w:tab w:val="left" w:pos="720"/>
          <w:tab w:val="left" w:pos="810"/>
          <w:tab w:val="left" w:pos="1080"/>
        </w:tabs>
        <w:spacing w:after="0" w:line="360" w:lineRule="auto"/>
        <w:ind w:left="0" w:firstLine="720"/>
        <w:jc w:val="both"/>
        <w:rPr>
          <w:rFonts w:ascii="Times New Roman" w:eastAsia="Arial Unicode MS" w:hAnsi="Times New Roman"/>
          <w:sz w:val="24"/>
          <w:szCs w:val="24"/>
          <w:lang w:val="sq-AL"/>
        </w:rPr>
      </w:pPr>
      <w:r w:rsidRPr="00037FB1">
        <w:rPr>
          <w:rFonts w:ascii="Times New Roman" w:hAnsi="Times New Roman"/>
          <w:sz w:val="24"/>
          <w:szCs w:val="24"/>
          <w:lang w:val="sq-AL"/>
        </w:rPr>
        <w:t xml:space="preserve">Në vlerësimin e Gjykatës termi “deri në një urdhër të dytë” </w:t>
      </w:r>
      <w:r w:rsidR="007315B1" w:rsidRPr="00037FB1">
        <w:rPr>
          <w:rFonts w:ascii="Times New Roman" w:hAnsi="Times New Roman"/>
          <w:sz w:val="24"/>
          <w:szCs w:val="24"/>
          <w:lang w:val="sq-AL"/>
        </w:rPr>
        <w:t>k</w:t>
      </w:r>
      <w:r w:rsidR="00BD5DE4" w:rsidRPr="00037FB1">
        <w:rPr>
          <w:rFonts w:ascii="Times New Roman" w:hAnsi="Times New Roman"/>
          <w:sz w:val="24"/>
          <w:szCs w:val="24"/>
          <w:lang w:val="sq-AL"/>
        </w:rPr>
        <w:t>rijon problematik</w:t>
      </w:r>
      <w:r w:rsidR="00E061FA" w:rsidRPr="00037FB1">
        <w:rPr>
          <w:rFonts w:ascii="Times New Roman" w:hAnsi="Times New Roman"/>
          <w:sz w:val="24"/>
          <w:szCs w:val="24"/>
          <w:lang w:val="sq-AL"/>
        </w:rPr>
        <w:t>ë</w:t>
      </w:r>
      <w:r w:rsidR="00BD5DE4" w:rsidRPr="00037FB1">
        <w:rPr>
          <w:rFonts w:ascii="Times New Roman" w:hAnsi="Times New Roman"/>
          <w:sz w:val="24"/>
          <w:szCs w:val="24"/>
          <w:lang w:val="sq-AL"/>
        </w:rPr>
        <w:t xml:space="preserve"> n</w:t>
      </w:r>
      <w:r w:rsidR="00E061FA" w:rsidRPr="00037FB1">
        <w:rPr>
          <w:rFonts w:ascii="Times New Roman" w:hAnsi="Times New Roman"/>
          <w:sz w:val="24"/>
          <w:szCs w:val="24"/>
          <w:lang w:val="sq-AL"/>
        </w:rPr>
        <w:t>ë</w:t>
      </w:r>
      <w:r w:rsidR="00BD5DE4" w:rsidRPr="00037FB1">
        <w:rPr>
          <w:rFonts w:ascii="Times New Roman" w:hAnsi="Times New Roman"/>
          <w:sz w:val="24"/>
          <w:szCs w:val="24"/>
          <w:lang w:val="sq-AL"/>
        </w:rPr>
        <w:t xml:space="preserve"> dy drejtime</w:t>
      </w:r>
      <w:r w:rsidR="007315B1" w:rsidRPr="00037FB1">
        <w:rPr>
          <w:rFonts w:ascii="Times New Roman" w:hAnsi="Times New Roman"/>
          <w:sz w:val="24"/>
          <w:szCs w:val="24"/>
          <w:lang w:val="sq-AL"/>
        </w:rPr>
        <w:t xml:space="preserve">: </w:t>
      </w:r>
      <w:r w:rsidR="007315B1" w:rsidRPr="00037FB1">
        <w:rPr>
          <w:rFonts w:ascii="Times New Roman" w:hAnsi="Times New Roman"/>
          <w:i/>
          <w:sz w:val="24"/>
          <w:szCs w:val="24"/>
          <w:lang w:val="sq-AL"/>
        </w:rPr>
        <w:t>së pari</w:t>
      </w:r>
      <w:r w:rsidR="007315B1" w:rsidRPr="00037FB1">
        <w:rPr>
          <w:rFonts w:ascii="Times New Roman" w:hAnsi="Times New Roman"/>
          <w:sz w:val="24"/>
          <w:szCs w:val="24"/>
          <w:lang w:val="sq-AL"/>
        </w:rPr>
        <w:t>, nuk detyron autoritetet përgjegjëse të bëjnë vlerësim periodik për masat kufizuese të përcaktuar</w:t>
      </w:r>
      <w:r w:rsidR="008A715E">
        <w:rPr>
          <w:rFonts w:ascii="Times New Roman" w:hAnsi="Times New Roman"/>
          <w:sz w:val="24"/>
          <w:szCs w:val="24"/>
          <w:lang w:val="sq-AL"/>
        </w:rPr>
        <w:t>a</w:t>
      </w:r>
      <w:r w:rsidR="007315B1" w:rsidRPr="00037FB1">
        <w:rPr>
          <w:rFonts w:ascii="Times New Roman" w:hAnsi="Times New Roman"/>
          <w:sz w:val="24"/>
          <w:szCs w:val="24"/>
          <w:lang w:val="sq-AL"/>
        </w:rPr>
        <w:t xml:space="preserve"> me urdhrin në fjalë dhe</w:t>
      </w:r>
      <w:r w:rsidR="008A715E">
        <w:rPr>
          <w:rFonts w:ascii="Times New Roman" w:hAnsi="Times New Roman"/>
          <w:sz w:val="24"/>
          <w:szCs w:val="24"/>
          <w:lang w:val="sq-AL"/>
        </w:rPr>
        <w:t>,</w:t>
      </w:r>
      <w:r w:rsidR="007315B1" w:rsidRPr="00037FB1">
        <w:rPr>
          <w:rFonts w:ascii="Times New Roman" w:hAnsi="Times New Roman"/>
          <w:sz w:val="24"/>
          <w:szCs w:val="24"/>
          <w:lang w:val="sq-AL"/>
        </w:rPr>
        <w:t xml:space="preserve"> </w:t>
      </w:r>
      <w:r w:rsidR="007315B1" w:rsidRPr="00037FB1">
        <w:rPr>
          <w:rFonts w:ascii="Times New Roman" w:hAnsi="Times New Roman"/>
          <w:i/>
          <w:sz w:val="24"/>
          <w:szCs w:val="24"/>
          <w:lang w:val="sq-AL"/>
        </w:rPr>
        <w:t>së dyti,</w:t>
      </w:r>
      <w:r w:rsidR="007315B1" w:rsidRPr="00037FB1">
        <w:rPr>
          <w:rFonts w:ascii="Times New Roman" w:hAnsi="Times New Roman"/>
          <w:sz w:val="24"/>
          <w:szCs w:val="24"/>
          <w:lang w:val="sq-AL"/>
        </w:rPr>
        <w:t xml:space="preserve"> nuk i përgjigjet standardit </w:t>
      </w:r>
      <w:r w:rsidRPr="00037FB1">
        <w:rPr>
          <w:rFonts w:ascii="Times New Roman" w:hAnsi="Times New Roman"/>
          <w:sz w:val="24"/>
          <w:szCs w:val="24"/>
          <w:lang w:val="sq-AL"/>
        </w:rPr>
        <w:t xml:space="preserve">të </w:t>
      </w:r>
      <w:r w:rsidRPr="00037FB1">
        <w:rPr>
          <w:rFonts w:ascii="Times New Roman" w:hAnsi="Times New Roman"/>
          <w:iCs/>
          <w:sz w:val="24"/>
          <w:szCs w:val="24"/>
          <w:lang w:val="sq-AL"/>
        </w:rPr>
        <w:t>proporcionalitetit.</w:t>
      </w:r>
      <w:r w:rsidR="00E061FA" w:rsidRPr="00037FB1">
        <w:rPr>
          <w:rFonts w:ascii="Times New Roman" w:hAnsi="Times New Roman"/>
          <w:iCs/>
          <w:sz w:val="24"/>
          <w:szCs w:val="24"/>
          <w:lang w:val="sq-AL"/>
        </w:rPr>
        <w:t xml:space="preserve"> Kjo </w:t>
      </w:r>
      <w:r w:rsidR="00FE0A60" w:rsidRPr="00037FB1">
        <w:rPr>
          <w:rFonts w:ascii="Times New Roman" w:hAnsi="Times New Roman"/>
          <w:iCs/>
          <w:sz w:val="24"/>
          <w:szCs w:val="24"/>
          <w:lang w:val="sq-AL"/>
        </w:rPr>
        <w:t>çështje</w:t>
      </w:r>
      <w:r w:rsidR="00E061FA" w:rsidRPr="00037FB1">
        <w:rPr>
          <w:rFonts w:ascii="Times New Roman" w:hAnsi="Times New Roman"/>
          <w:iCs/>
          <w:sz w:val="24"/>
          <w:szCs w:val="24"/>
          <w:lang w:val="sq-AL"/>
        </w:rPr>
        <w:t xml:space="preserve"> merr edhe më shumë rëndësi po të merret në konsideratë që vendi tashmë është në prag të zgjedhjeve parlamentare. </w:t>
      </w:r>
      <w:r w:rsidRPr="00037FB1">
        <w:rPr>
          <w:rFonts w:ascii="Times New Roman" w:hAnsi="Times New Roman"/>
          <w:iCs/>
          <w:sz w:val="24"/>
          <w:szCs w:val="24"/>
          <w:lang w:val="sq-AL"/>
        </w:rPr>
        <w:t xml:space="preserve"> </w:t>
      </w:r>
    </w:p>
    <w:p w:rsidR="00BF6079" w:rsidRPr="00037FB1" w:rsidRDefault="007847EB" w:rsidP="0037360A">
      <w:pPr>
        <w:pStyle w:val="ListParagraph"/>
        <w:numPr>
          <w:ilvl w:val="0"/>
          <w:numId w:val="24"/>
        </w:numPr>
        <w:tabs>
          <w:tab w:val="left" w:pos="567"/>
          <w:tab w:val="left" w:pos="851"/>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 xml:space="preserve">Në dritën e rrethanave konkrete që kanë të bëjnë me nivelin e përhapjes së virusit dhe  ndikimin e </w:t>
      </w:r>
      <w:r w:rsidR="008A715E">
        <w:rPr>
          <w:rFonts w:ascii="Times New Roman" w:hAnsi="Times New Roman"/>
          <w:sz w:val="24"/>
          <w:szCs w:val="24"/>
          <w:lang w:val="sq-AL"/>
        </w:rPr>
        <w:t>tij</w:t>
      </w:r>
      <w:r w:rsidRPr="00037FB1">
        <w:rPr>
          <w:rFonts w:ascii="Times New Roman" w:hAnsi="Times New Roman"/>
          <w:sz w:val="24"/>
          <w:szCs w:val="24"/>
          <w:lang w:val="sq-AL"/>
        </w:rPr>
        <w:t xml:space="preserve"> në Shqipëri, t</w:t>
      </w:r>
      <w:r w:rsidR="00C04753" w:rsidRPr="00037FB1">
        <w:rPr>
          <w:rFonts w:ascii="Times New Roman" w:hAnsi="Times New Roman"/>
          <w:sz w:val="24"/>
          <w:szCs w:val="24"/>
          <w:lang w:val="sq-AL"/>
        </w:rPr>
        <w:t>ë</w:t>
      </w:r>
      <w:r w:rsidRPr="00037FB1">
        <w:rPr>
          <w:rFonts w:ascii="Times New Roman" w:hAnsi="Times New Roman"/>
          <w:sz w:val="24"/>
          <w:szCs w:val="24"/>
          <w:lang w:val="sq-AL"/>
        </w:rPr>
        <w:t xml:space="preserve"> shpjeguara nga </w:t>
      </w:r>
      <w:r w:rsidRPr="00037FB1">
        <w:rPr>
          <w:rFonts w:ascii="Times New Roman" w:eastAsia="Arial Unicode MS" w:hAnsi="Times New Roman"/>
          <w:sz w:val="24"/>
          <w:szCs w:val="24"/>
          <w:lang w:val="sq-AL"/>
        </w:rPr>
        <w:t xml:space="preserve">subjektet e interesuara, Këshilli i Ministrave dhe  MSHMS-ja, Gjykata çmon se </w:t>
      </w:r>
      <w:r w:rsidRPr="00037FB1">
        <w:rPr>
          <w:rFonts w:ascii="Times New Roman" w:hAnsi="Times New Roman"/>
          <w:sz w:val="24"/>
          <w:szCs w:val="24"/>
          <w:lang w:val="sq-AL"/>
        </w:rPr>
        <w:t xml:space="preserve">kufizimi nga urdhri i </w:t>
      </w:r>
      <w:r w:rsidR="008A715E">
        <w:rPr>
          <w:rFonts w:ascii="Times New Roman" w:hAnsi="Times New Roman"/>
          <w:sz w:val="24"/>
          <w:szCs w:val="24"/>
          <w:lang w:val="sq-AL"/>
        </w:rPr>
        <w:t>m</w:t>
      </w:r>
      <w:r w:rsidRPr="00037FB1">
        <w:rPr>
          <w:rFonts w:ascii="Times New Roman" w:hAnsi="Times New Roman"/>
          <w:sz w:val="24"/>
          <w:szCs w:val="24"/>
          <w:lang w:val="sq-AL"/>
        </w:rPr>
        <w:t xml:space="preserve">inistrit i </w:t>
      </w:r>
      <w:r w:rsidR="008A715E">
        <w:rPr>
          <w:rFonts w:ascii="Times New Roman" w:hAnsi="Times New Roman"/>
          <w:sz w:val="24"/>
          <w:szCs w:val="24"/>
          <w:lang w:val="sq-AL"/>
        </w:rPr>
        <w:t>s</w:t>
      </w:r>
      <w:r w:rsidRPr="00037FB1">
        <w:rPr>
          <w:rFonts w:ascii="Times New Roman" w:hAnsi="Times New Roman"/>
          <w:sz w:val="24"/>
          <w:szCs w:val="24"/>
          <w:lang w:val="sq-AL"/>
        </w:rPr>
        <w:t>ë drejtës së tubimit</w:t>
      </w:r>
      <w:r w:rsidR="008A715E">
        <w:rPr>
          <w:rFonts w:ascii="Times New Roman" w:hAnsi="Times New Roman"/>
          <w:sz w:val="24"/>
          <w:szCs w:val="24"/>
          <w:lang w:val="sq-AL"/>
        </w:rPr>
        <w:t>,</w:t>
      </w:r>
      <w:r w:rsidRPr="00037FB1">
        <w:rPr>
          <w:rFonts w:ascii="Times New Roman" w:hAnsi="Times New Roman"/>
          <w:sz w:val="24"/>
          <w:szCs w:val="24"/>
          <w:lang w:val="sq-AL"/>
        </w:rPr>
        <w:t xml:space="preserve"> të lidhur me të drejtën e shprehjes</w:t>
      </w:r>
      <w:r w:rsidR="008A715E">
        <w:rPr>
          <w:rFonts w:ascii="Times New Roman" w:hAnsi="Times New Roman"/>
          <w:sz w:val="24"/>
          <w:szCs w:val="24"/>
          <w:lang w:val="sq-AL"/>
        </w:rPr>
        <w:t>,</w:t>
      </w:r>
      <w:r w:rsidRPr="00037FB1">
        <w:rPr>
          <w:rFonts w:ascii="Times New Roman" w:hAnsi="Times New Roman"/>
          <w:sz w:val="24"/>
          <w:szCs w:val="24"/>
          <w:lang w:val="sq-AL"/>
        </w:rPr>
        <w:t xml:space="preserve"> është i </w:t>
      </w:r>
      <w:r w:rsidRPr="00037FB1">
        <w:rPr>
          <w:rFonts w:ascii="Times New Roman" w:hAnsi="Times New Roman"/>
          <w:iCs/>
          <w:sz w:val="24"/>
          <w:szCs w:val="24"/>
          <w:lang w:val="sq-AL"/>
        </w:rPr>
        <w:t>domosdoshëm në një shoqëri demokratike,</w:t>
      </w:r>
      <w:r w:rsidRPr="00037FB1">
        <w:rPr>
          <w:rFonts w:ascii="Times New Roman" w:hAnsi="Times New Roman"/>
          <w:sz w:val="24"/>
          <w:szCs w:val="24"/>
          <w:lang w:val="sq-AL"/>
        </w:rPr>
        <w:t xml:space="preserve"> pasi diktohet nga një </w:t>
      </w:r>
      <w:r w:rsidRPr="00037FB1">
        <w:rPr>
          <w:rFonts w:ascii="Times New Roman" w:hAnsi="Times New Roman"/>
          <w:iCs/>
          <w:sz w:val="24"/>
          <w:szCs w:val="24"/>
          <w:lang w:val="sq-AL"/>
        </w:rPr>
        <w:t xml:space="preserve">nevojë urgjente shoqërore. </w:t>
      </w:r>
      <w:r w:rsidR="00807E4B" w:rsidRPr="00037FB1">
        <w:rPr>
          <w:rFonts w:ascii="Times New Roman" w:hAnsi="Times New Roman"/>
          <w:iCs/>
          <w:sz w:val="24"/>
          <w:szCs w:val="24"/>
          <w:lang w:val="sq-AL"/>
        </w:rPr>
        <w:t>Megjithat</w:t>
      </w:r>
      <w:r w:rsidR="00C04753" w:rsidRPr="00037FB1">
        <w:rPr>
          <w:rFonts w:ascii="Times New Roman" w:hAnsi="Times New Roman"/>
          <w:iCs/>
          <w:sz w:val="24"/>
          <w:szCs w:val="24"/>
          <w:lang w:val="sq-AL"/>
        </w:rPr>
        <w:t>ë</w:t>
      </w:r>
      <w:r w:rsidR="00807E4B" w:rsidRPr="00037FB1">
        <w:rPr>
          <w:rFonts w:ascii="Times New Roman" w:hAnsi="Times New Roman"/>
          <w:iCs/>
          <w:sz w:val="24"/>
          <w:szCs w:val="24"/>
          <w:lang w:val="sq-AL"/>
        </w:rPr>
        <w:t xml:space="preserve">, </w:t>
      </w:r>
      <w:r w:rsidR="008407CD" w:rsidRPr="00037FB1">
        <w:rPr>
          <w:rFonts w:ascii="Times New Roman" w:hAnsi="Times New Roman"/>
          <w:sz w:val="24"/>
          <w:szCs w:val="24"/>
          <w:lang w:val="sq-AL"/>
        </w:rPr>
        <w:t>Gjykata vlerëson se akti i kundërshtuar nuk respekton kriterin e proporcionalitetit, sipas nenit 17 të Kushtetutës, për shkak të mosparashikimit të një afati të përcaktuar për kohëzgjatjen e masave kufizuese</w:t>
      </w:r>
      <w:r w:rsidR="00C2299C" w:rsidRPr="00037FB1">
        <w:rPr>
          <w:rFonts w:ascii="Times New Roman" w:hAnsi="Times New Roman"/>
          <w:sz w:val="24"/>
          <w:szCs w:val="24"/>
          <w:lang w:val="sq-AL"/>
        </w:rPr>
        <w:t xml:space="preserve"> dhe p</w:t>
      </w:r>
      <w:r w:rsidR="00CC3901" w:rsidRPr="00037FB1">
        <w:rPr>
          <w:rFonts w:ascii="Times New Roman" w:hAnsi="Times New Roman"/>
          <w:sz w:val="24"/>
          <w:szCs w:val="24"/>
          <w:lang w:val="sq-AL"/>
        </w:rPr>
        <w:t>ë</w:t>
      </w:r>
      <w:r w:rsidR="00C2299C" w:rsidRPr="00037FB1">
        <w:rPr>
          <w:rFonts w:ascii="Times New Roman" w:hAnsi="Times New Roman"/>
          <w:sz w:val="24"/>
          <w:szCs w:val="24"/>
          <w:lang w:val="sq-AL"/>
        </w:rPr>
        <w:t>r k</w:t>
      </w:r>
      <w:r w:rsidR="00CC3901" w:rsidRPr="00037FB1">
        <w:rPr>
          <w:rFonts w:ascii="Times New Roman" w:hAnsi="Times New Roman"/>
          <w:sz w:val="24"/>
          <w:szCs w:val="24"/>
          <w:lang w:val="sq-AL"/>
        </w:rPr>
        <w:t>ë</w:t>
      </w:r>
      <w:r w:rsidR="00C2299C" w:rsidRPr="00037FB1">
        <w:rPr>
          <w:rFonts w:ascii="Times New Roman" w:hAnsi="Times New Roman"/>
          <w:sz w:val="24"/>
          <w:szCs w:val="24"/>
          <w:lang w:val="sq-AL"/>
        </w:rPr>
        <w:t>t</w:t>
      </w:r>
      <w:r w:rsidR="00CC3901" w:rsidRPr="00037FB1">
        <w:rPr>
          <w:rFonts w:ascii="Times New Roman" w:hAnsi="Times New Roman"/>
          <w:sz w:val="24"/>
          <w:szCs w:val="24"/>
          <w:lang w:val="sq-AL"/>
        </w:rPr>
        <w:t>ë</w:t>
      </w:r>
      <w:r w:rsidR="00C2299C" w:rsidRPr="00037FB1">
        <w:rPr>
          <w:rFonts w:ascii="Times New Roman" w:hAnsi="Times New Roman"/>
          <w:sz w:val="24"/>
          <w:szCs w:val="24"/>
          <w:lang w:val="sq-AL"/>
        </w:rPr>
        <w:t xml:space="preserve"> shkak shprehja “gjer n</w:t>
      </w:r>
      <w:r w:rsidR="00CC3901" w:rsidRPr="00037FB1">
        <w:rPr>
          <w:rFonts w:ascii="Times New Roman" w:hAnsi="Times New Roman"/>
          <w:sz w:val="24"/>
          <w:szCs w:val="24"/>
          <w:lang w:val="sq-AL"/>
        </w:rPr>
        <w:t>ë</w:t>
      </w:r>
      <w:r w:rsidR="00C2299C" w:rsidRPr="00037FB1">
        <w:rPr>
          <w:rFonts w:ascii="Times New Roman" w:hAnsi="Times New Roman"/>
          <w:sz w:val="24"/>
          <w:szCs w:val="24"/>
          <w:lang w:val="sq-AL"/>
        </w:rPr>
        <w:t xml:space="preserve"> nj</w:t>
      </w:r>
      <w:r w:rsidR="00CC3901" w:rsidRPr="00037FB1">
        <w:rPr>
          <w:rFonts w:ascii="Times New Roman" w:hAnsi="Times New Roman"/>
          <w:sz w:val="24"/>
          <w:szCs w:val="24"/>
          <w:lang w:val="sq-AL"/>
        </w:rPr>
        <w:t>ë</w:t>
      </w:r>
      <w:r w:rsidR="00C2299C" w:rsidRPr="00037FB1">
        <w:rPr>
          <w:rFonts w:ascii="Times New Roman" w:hAnsi="Times New Roman"/>
          <w:sz w:val="24"/>
          <w:szCs w:val="24"/>
          <w:lang w:val="sq-AL"/>
        </w:rPr>
        <w:t xml:space="preserve"> urdh</w:t>
      </w:r>
      <w:r w:rsidR="00CC3901" w:rsidRPr="00037FB1">
        <w:rPr>
          <w:rFonts w:ascii="Times New Roman" w:hAnsi="Times New Roman"/>
          <w:sz w:val="24"/>
          <w:szCs w:val="24"/>
          <w:lang w:val="sq-AL"/>
        </w:rPr>
        <w:t>ë</w:t>
      </w:r>
      <w:r w:rsidR="00C2299C" w:rsidRPr="00037FB1">
        <w:rPr>
          <w:rFonts w:ascii="Times New Roman" w:hAnsi="Times New Roman"/>
          <w:sz w:val="24"/>
          <w:szCs w:val="24"/>
          <w:lang w:val="sq-AL"/>
        </w:rPr>
        <w:t>r t</w:t>
      </w:r>
      <w:r w:rsidR="00CC3901" w:rsidRPr="00037FB1">
        <w:rPr>
          <w:rFonts w:ascii="Times New Roman" w:hAnsi="Times New Roman"/>
          <w:sz w:val="24"/>
          <w:szCs w:val="24"/>
          <w:lang w:val="sq-AL"/>
        </w:rPr>
        <w:t>ë</w:t>
      </w:r>
      <w:r w:rsidR="00C2299C" w:rsidRPr="00037FB1">
        <w:rPr>
          <w:rFonts w:ascii="Times New Roman" w:hAnsi="Times New Roman"/>
          <w:sz w:val="24"/>
          <w:szCs w:val="24"/>
          <w:lang w:val="sq-AL"/>
        </w:rPr>
        <w:t xml:space="preserve"> dyt</w:t>
      </w:r>
      <w:r w:rsidR="00CC3901" w:rsidRPr="00037FB1">
        <w:rPr>
          <w:rFonts w:ascii="Times New Roman" w:hAnsi="Times New Roman"/>
          <w:sz w:val="24"/>
          <w:szCs w:val="24"/>
          <w:lang w:val="sq-AL"/>
        </w:rPr>
        <w:t>ë</w:t>
      </w:r>
      <w:r w:rsidR="00C2299C" w:rsidRPr="00037FB1">
        <w:rPr>
          <w:rFonts w:ascii="Times New Roman" w:hAnsi="Times New Roman"/>
          <w:sz w:val="24"/>
          <w:szCs w:val="24"/>
          <w:lang w:val="sq-AL"/>
        </w:rPr>
        <w:t>”</w:t>
      </w:r>
      <w:r w:rsidR="00BF6079" w:rsidRPr="00037FB1">
        <w:rPr>
          <w:rFonts w:ascii="Times New Roman" w:hAnsi="Times New Roman"/>
          <w:sz w:val="24"/>
          <w:szCs w:val="24"/>
          <w:lang w:val="sq-AL"/>
        </w:rPr>
        <w:t xml:space="preserve"> </w:t>
      </w:r>
      <w:r w:rsidR="00C2299C" w:rsidRPr="00037FB1">
        <w:rPr>
          <w:rFonts w:ascii="Times New Roman" w:hAnsi="Times New Roman"/>
          <w:sz w:val="24"/>
          <w:szCs w:val="24"/>
          <w:lang w:val="sq-AL"/>
        </w:rPr>
        <w:t>duhet t</w:t>
      </w:r>
      <w:r w:rsidR="00CC3901" w:rsidRPr="00037FB1">
        <w:rPr>
          <w:rFonts w:ascii="Times New Roman" w:hAnsi="Times New Roman"/>
          <w:sz w:val="24"/>
          <w:szCs w:val="24"/>
          <w:lang w:val="sq-AL"/>
        </w:rPr>
        <w:t>ë</w:t>
      </w:r>
      <w:r w:rsidR="00C2299C" w:rsidRPr="00037FB1">
        <w:rPr>
          <w:rFonts w:ascii="Times New Roman" w:hAnsi="Times New Roman"/>
          <w:sz w:val="24"/>
          <w:szCs w:val="24"/>
          <w:lang w:val="sq-AL"/>
        </w:rPr>
        <w:t xml:space="preserve"> shfuqizohet</w:t>
      </w:r>
      <w:r w:rsidR="008407CD" w:rsidRPr="00037FB1">
        <w:rPr>
          <w:rFonts w:ascii="Times New Roman" w:hAnsi="Times New Roman"/>
          <w:sz w:val="24"/>
          <w:szCs w:val="24"/>
          <w:lang w:val="sq-AL"/>
        </w:rPr>
        <w:t>.</w:t>
      </w:r>
      <w:r w:rsidR="0062525A" w:rsidRPr="00037FB1">
        <w:rPr>
          <w:rFonts w:ascii="Times New Roman" w:hAnsi="Times New Roman"/>
          <w:sz w:val="24"/>
          <w:szCs w:val="24"/>
          <w:lang w:val="sq-AL"/>
        </w:rPr>
        <w:tab/>
      </w:r>
    </w:p>
    <w:p w:rsidR="0062525A" w:rsidRPr="00037FB1" w:rsidRDefault="0062525A" w:rsidP="0037360A">
      <w:pPr>
        <w:pStyle w:val="ListParagraph"/>
        <w:numPr>
          <w:ilvl w:val="0"/>
          <w:numId w:val="24"/>
        </w:numPr>
        <w:tabs>
          <w:tab w:val="left" w:pos="567"/>
          <w:tab w:val="left" w:pos="851"/>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Në kushtet e shfuqizimit pjesërisht të urdhrit nr. 633/2020, Gjykata</w:t>
      </w:r>
      <w:r w:rsidR="008A715E">
        <w:rPr>
          <w:rFonts w:ascii="Times New Roman" w:hAnsi="Times New Roman"/>
          <w:sz w:val="24"/>
          <w:szCs w:val="24"/>
          <w:lang w:val="sq-AL"/>
        </w:rPr>
        <w:t>,</w:t>
      </w:r>
      <w:r w:rsidRPr="00037FB1">
        <w:rPr>
          <w:rFonts w:ascii="Times New Roman" w:hAnsi="Times New Roman"/>
          <w:sz w:val="24"/>
          <w:szCs w:val="24"/>
          <w:lang w:val="sq-AL"/>
        </w:rPr>
        <w:t xml:space="preserve"> në bazë të neneve </w:t>
      </w:r>
      <w:r w:rsidRPr="007E2B69">
        <w:rPr>
          <w:rFonts w:ascii="Times New Roman" w:eastAsia="Times New Roman" w:hAnsi="Times New Roman"/>
          <w:sz w:val="24"/>
          <w:szCs w:val="24"/>
          <w:lang w:val="sq-AL"/>
        </w:rPr>
        <w:t>76, pikat 1 dhe 4,</w:t>
      </w:r>
      <w:r w:rsidRPr="00037FB1">
        <w:rPr>
          <w:rFonts w:ascii="Times New Roman" w:eastAsia="Times New Roman" w:hAnsi="Times New Roman"/>
          <w:sz w:val="24"/>
          <w:szCs w:val="24"/>
          <w:lang w:val="sq-AL"/>
        </w:rPr>
        <w:t xml:space="preserve"> dhe 81, pika 3</w:t>
      </w:r>
      <w:r w:rsidR="008A715E">
        <w:rPr>
          <w:rFonts w:ascii="Times New Roman" w:eastAsia="Times New Roman" w:hAnsi="Times New Roman"/>
          <w:sz w:val="24"/>
          <w:szCs w:val="24"/>
          <w:lang w:val="sq-AL"/>
        </w:rPr>
        <w:t>,</w:t>
      </w:r>
      <w:r w:rsidRPr="00037FB1">
        <w:rPr>
          <w:rFonts w:ascii="Times New Roman" w:eastAsia="Times New Roman" w:hAnsi="Times New Roman"/>
          <w:sz w:val="24"/>
          <w:szCs w:val="24"/>
          <w:lang w:val="sq-AL"/>
        </w:rPr>
        <w:t xml:space="preserve"> të ligjit nr. 8577/2000, </w:t>
      </w:r>
      <w:r w:rsidR="00BF6079" w:rsidRPr="00037FB1">
        <w:rPr>
          <w:rFonts w:ascii="Times New Roman" w:eastAsia="Times New Roman" w:hAnsi="Times New Roman"/>
          <w:sz w:val="24"/>
          <w:szCs w:val="24"/>
          <w:lang w:val="sq-AL"/>
        </w:rPr>
        <w:t>çmon</w:t>
      </w:r>
      <w:r w:rsidRPr="00037FB1">
        <w:rPr>
          <w:rFonts w:ascii="Times New Roman" w:eastAsia="Times New Roman" w:hAnsi="Times New Roman"/>
          <w:sz w:val="24"/>
          <w:szCs w:val="24"/>
          <w:lang w:val="sq-AL"/>
        </w:rPr>
        <w:t xml:space="preserve"> se organi kompetent duhet të rishikojë kohëzgjatjen e kufizimeve brenda një jave nga </w:t>
      </w:r>
      <w:r w:rsidRPr="00037FB1">
        <w:rPr>
          <w:rFonts w:ascii="Times New Roman" w:hAnsi="Times New Roman"/>
          <w:sz w:val="24"/>
          <w:szCs w:val="24"/>
          <w:lang w:val="sq-AL"/>
        </w:rPr>
        <w:t xml:space="preserve">shpallja e këtij vendimi. Në këtë proces rishikimi, </w:t>
      </w:r>
      <w:r w:rsidR="00BF6079" w:rsidRPr="00037FB1">
        <w:rPr>
          <w:rFonts w:ascii="Times New Roman" w:hAnsi="Times New Roman"/>
          <w:sz w:val="24"/>
          <w:szCs w:val="24"/>
          <w:lang w:val="sq-AL"/>
        </w:rPr>
        <w:t>Gjykata vler</w:t>
      </w:r>
      <w:r w:rsidR="00176375" w:rsidRPr="00037FB1">
        <w:rPr>
          <w:rFonts w:ascii="Times New Roman" w:hAnsi="Times New Roman"/>
          <w:sz w:val="24"/>
          <w:szCs w:val="24"/>
          <w:lang w:val="sq-AL"/>
        </w:rPr>
        <w:t>ë</w:t>
      </w:r>
      <w:r w:rsidR="00BF6079" w:rsidRPr="00037FB1">
        <w:rPr>
          <w:rFonts w:ascii="Times New Roman" w:hAnsi="Times New Roman"/>
          <w:sz w:val="24"/>
          <w:szCs w:val="24"/>
          <w:lang w:val="sq-AL"/>
        </w:rPr>
        <w:t>son domosdoshm</w:t>
      </w:r>
      <w:r w:rsidR="00176375" w:rsidRPr="00037FB1">
        <w:rPr>
          <w:rFonts w:ascii="Times New Roman" w:hAnsi="Times New Roman"/>
          <w:sz w:val="24"/>
          <w:szCs w:val="24"/>
          <w:lang w:val="sq-AL"/>
        </w:rPr>
        <w:t>ë</w:t>
      </w:r>
      <w:r w:rsidR="00BF6079" w:rsidRPr="00037FB1">
        <w:rPr>
          <w:rFonts w:ascii="Times New Roman" w:hAnsi="Times New Roman"/>
          <w:sz w:val="24"/>
          <w:szCs w:val="24"/>
          <w:lang w:val="sq-AL"/>
        </w:rPr>
        <w:t>rin</w:t>
      </w:r>
      <w:r w:rsidR="00176375" w:rsidRPr="00037FB1">
        <w:rPr>
          <w:rFonts w:ascii="Times New Roman" w:hAnsi="Times New Roman"/>
          <w:sz w:val="24"/>
          <w:szCs w:val="24"/>
          <w:lang w:val="sq-AL"/>
        </w:rPr>
        <w:t>ë</w:t>
      </w:r>
      <w:r w:rsidR="00BF6079" w:rsidRPr="00037FB1">
        <w:rPr>
          <w:rFonts w:ascii="Times New Roman" w:hAnsi="Times New Roman"/>
          <w:sz w:val="24"/>
          <w:szCs w:val="24"/>
          <w:lang w:val="sq-AL"/>
        </w:rPr>
        <w:t xml:space="preserve"> e p</w:t>
      </w:r>
      <w:r w:rsidR="00176375" w:rsidRPr="00037FB1">
        <w:rPr>
          <w:rFonts w:ascii="Times New Roman" w:hAnsi="Times New Roman"/>
          <w:sz w:val="24"/>
          <w:szCs w:val="24"/>
          <w:lang w:val="sq-AL"/>
        </w:rPr>
        <w:t>ë</w:t>
      </w:r>
      <w:r w:rsidR="00BF6079" w:rsidRPr="00037FB1">
        <w:rPr>
          <w:rFonts w:ascii="Times New Roman" w:hAnsi="Times New Roman"/>
          <w:sz w:val="24"/>
          <w:szCs w:val="24"/>
          <w:lang w:val="sq-AL"/>
        </w:rPr>
        <w:t xml:space="preserve">rmbushjes nga ana e </w:t>
      </w:r>
      <w:r w:rsidRPr="00037FB1">
        <w:rPr>
          <w:rFonts w:ascii="Times New Roman" w:hAnsi="Times New Roman"/>
          <w:sz w:val="24"/>
          <w:szCs w:val="24"/>
          <w:lang w:val="sq-AL"/>
        </w:rPr>
        <w:t>organi</w:t>
      </w:r>
      <w:r w:rsidR="00BF6079" w:rsidRPr="00037FB1">
        <w:rPr>
          <w:rFonts w:ascii="Times New Roman" w:hAnsi="Times New Roman"/>
          <w:sz w:val="24"/>
          <w:szCs w:val="24"/>
          <w:lang w:val="sq-AL"/>
        </w:rPr>
        <w:t>t</w:t>
      </w:r>
      <w:r w:rsidRPr="00037FB1">
        <w:rPr>
          <w:rFonts w:ascii="Times New Roman" w:hAnsi="Times New Roman"/>
          <w:sz w:val="24"/>
          <w:szCs w:val="24"/>
          <w:lang w:val="sq-AL"/>
        </w:rPr>
        <w:t xml:space="preserve"> kompetent </w:t>
      </w:r>
      <w:r w:rsidR="00BF6079" w:rsidRPr="00037FB1">
        <w:rPr>
          <w:rFonts w:ascii="Times New Roman" w:hAnsi="Times New Roman"/>
          <w:sz w:val="24"/>
          <w:szCs w:val="24"/>
          <w:lang w:val="sq-AL"/>
        </w:rPr>
        <w:t>t</w:t>
      </w:r>
      <w:r w:rsidR="00176375" w:rsidRPr="00037FB1">
        <w:rPr>
          <w:rFonts w:ascii="Times New Roman" w:hAnsi="Times New Roman"/>
          <w:sz w:val="24"/>
          <w:szCs w:val="24"/>
          <w:lang w:val="sq-AL"/>
        </w:rPr>
        <w:t>ë</w:t>
      </w:r>
      <w:r w:rsidR="00BF6079" w:rsidRPr="00037FB1">
        <w:rPr>
          <w:rFonts w:ascii="Times New Roman" w:hAnsi="Times New Roman"/>
          <w:sz w:val="24"/>
          <w:szCs w:val="24"/>
          <w:lang w:val="sq-AL"/>
        </w:rPr>
        <w:t xml:space="preserve"> </w:t>
      </w:r>
      <w:r w:rsidRPr="00037FB1">
        <w:rPr>
          <w:rFonts w:ascii="Times New Roman" w:hAnsi="Times New Roman"/>
          <w:sz w:val="24"/>
          <w:szCs w:val="24"/>
          <w:lang w:val="sq-AL"/>
        </w:rPr>
        <w:t>standarde</w:t>
      </w:r>
      <w:r w:rsidR="00BF6079" w:rsidRPr="00037FB1">
        <w:rPr>
          <w:rFonts w:ascii="Times New Roman" w:hAnsi="Times New Roman"/>
          <w:sz w:val="24"/>
          <w:szCs w:val="24"/>
          <w:lang w:val="sq-AL"/>
        </w:rPr>
        <w:t>ve</w:t>
      </w:r>
      <w:r w:rsidRPr="00037FB1">
        <w:rPr>
          <w:rFonts w:ascii="Times New Roman" w:hAnsi="Times New Roman"/>
          <w:sz w:val="24"/>
          <w:szCs w:val="24"/>
          <w:lang w:val="sq-AL"/>
        </w:rPr>
        <w:t xml:space="preserve"> </w:t>
      </w:r>
      <w:r w:rsidR="00BF6079" w:rsidRPr="00037FB1">
        <w:rPr>
          <w:rFonts w:ascii="Times New Roman" w:hAnsi="Times New Roman"/>
          <w:sz w:val="24"/>
          <w:szCs w:val="24"/>
          <w:lang w:val="sq-AL"/>
        </w:rPr>
        <w:t>t</w:t>
      </w:r>
      <w:r w:rsidR="00176375" w:rsidRPr="00037FB1">
        <w:rPr>
          <w:rFonts w:ascii="Times New Roman" w:hAnsi="Times New Roman"/>
          <w:sz w:val="24"/>
          <w:szCs w:val="24"/>
          <w:lang w:val="sq-AL"/>
        </w:rPr>
        <w:t>ë</w:t>
      </w:r>
      <w:r w:rsidRPr="00037FB1">
        <w:rPr>
          <w:rFonts w:ascii="Times New Roman" w:hAnsi="Times New Roman"/>
          <w:sz w:val="24"/>
          <w:szCs w:val="24"/>
          <w:lang w:val="sq-AL"/>
        </w:rPr>
        <w:t xml:space="preserve"> analizuara në këtë vendim, të cilat në mënyrë të përmbledhur sigurojnë: (a) analizën e kujdesshme të parimeve kushtetuese përpara miratimit të kufizimeve të të drejtave kushtetuese; (b) rritjen e besimit publik për instrumentet e përdorura</w:t>
      </w:r>
      <w:r w:rsidR="00BF6079" w:rsidRPr="00037FB1">
        <w:rPr>
          <w:rFonts w:ascii="Times New Roman" w:hAnsi="Times New Roman"/>
          <w:sz w:val="24"/>
          <w:szCs w:val="24"/>
          <w:lang w:val="sq-AL"/>
        </w:rPr>
        <w:t>, p</w:t>
      </w:r>
      <w:r w:rsidR="00176375" w:rsidRPr="00037FB1">
        <w:rPr>
          <w:rFonts w:ascii="Times New Roman" w:hAnsi="Times New Roman"/>
          <w:sz w:val="24"/>
          <w:szCs w:val="24"/>
          <w:lang w:val="sq-AL"/>
        </w:rPr>
        <w:t>ë</w:t>
      </w:r>
      <w:r w:rsidR="00BF6079" w:rsidRPr="00037FB1">
        <w:rPr>
          <w:rFonts w:ascii="Times New Roman" w:hAnsi="Times New Roman"/>
          <w:sz w:val="24"/>
          <w:szCs w:val="24"/>
          <w:lang w:val="sq-AL"/>
        </w:rPr>
        <w:t>rmes informimit t</w:t>
      </w:r>
      <w:r w:rsidR="00176375" w:rsidRPr="00037FB1">
        <w:rPr>
          <w:rFonts w:ascii="Times New Roman" w:hAnsi="Times New Roman"/>
          <w:sz w:val="24"/>
          <w:szCs w:val="24"/>
          <w:lang w:val="sq-AL"/>
        </w:rPr>
        <w:t>ë</w:t>
      </w:r>
      <w:r w:rsidR="00BF6079" w:rsidRPr="00037FB1">
        <w:rPr>
          <w:rFonts w:ascii="Times New Roman" w:hAnsi="Times New Roman"/>
          <w:sz w:val="24"/>
          <w:szCs w:val="24"/>
          <w:lang w:val="sq-AL"/>
        </w:rPr>
        <w:t xml:space="preserve"> qytetar</w:t>
      </w:r>
      <w:r w:rsidR="00176375" w:rsidRPr="00037FB1">
        <w:rPr>
          <w:rFonts w:ascii="Times New Roman" w:hAnsi="Times New Roman"/>
          <w:sz w:val="24"/>
          <w:szCs w:val="24"/>
          <w:lang w:val="sq-AL"/>
        </w:rPr>
        <w:t>ë</w:t>
      </w:r>
      <w:r w:rsidR="00BF6079" w:rsidRPr="00037FB1">
        <w:rPr>
          <w:rFonts w:ascii="Times New Roman" w:hAnsi="Times New Roman"/>
          <w:sz w:val="24"/>
          <w:szCs w:val="24"/>
          <w:lang w:val="sq-AL"/>
        </w:rPr>
        <w:t>ve</w:t>
      </w:r>
      <w:r w:rsidRPr="00037FB1">
        <w:rPr>
          <w:rFonts w:ascii="Times New Roman" w:hAnsi="Times New Roman"/>
          <w:sz w:val="24"/>
          <w:szCs w:val="24"/>
          <w:lang w:val="sq-AL"/>
        </w:rPr>
        <w:t xml:space="preserve"> mbi to; (c) lehtësimin e veprimtarisë së organeve të tjera publike, nëse ato shqyrtojnë ankesa administrative o</w:t>
      </w:r>
      <w:r w:rsidR="008A715E">
        <w:rPr>
          <w:rFonts w:ascii="Times New Roman" w:hAnsi="Times New Roman"/>
          <w:sz w:val="24"/>
          <w:szCs w:val="24"/>
          <w:lang w:val="sq-AL"/>
        </w:rPr>
        <w:t>se</w:t>
      </w:r>
      <w:r w:rsidRPr="00037FB1">
        <w:rPr>
          <w:rFonts w:ascii="Times New Roman" w:hAnsi="Times New Roman"/>
          <w:sz w:val="24"/>
          <w:szCs w:val="24"/>
          <w:lang w:val="sq-AL"/>
        </w:rPr>
        <w:t xml:space="preserve"> gjyqësore nga zbatimi i kufizimeve; (ç) monitorimin dhe vlerësimin e duhur nga Kuvendi për kufi</w:t>
      </w:r>
      <w:r w:rsidR="00BF6079" w:rsidRPr="00037FB1">
        <w:rPr>
          <w:rFonts w:ascii="Times New Roman" w:hAnsi="Times New Roman"/>
          <w:sz w:val="24"/>
          <w:szCs w:val="24"/>
          <w:lang w:val="sq-AL"/>
        </w:rPr>
        <w:t xml:space="preserve">zimet e të drejtave kushtetuese. </w:t>
      </w:r>
      <w:r w:rsidRPr="00037FB1">
        <w:rPr>
          <w:rFonts w:ascii="Times New Roman" w:hAnsi="Times New Roman"/>
          <w:sz w:val="24"/>
          <w:szCs w:val="24"/>
          <w:lang w:val="sq-AL"/>
        </w:rPr>
        <w:t xml:space="preserve">Në caktimin e afatit për rishikimin e kohëzgjatjes së kufizimeve, Gjykata mban në konsideratë nevojën që organi kompetent të veprojë me ritmin e duhur nisur nga fakti se vendi tashmë është në prag të zgjedhjeve të përgjithshme, fakt i cili padyshim shkakton disa vështirësi kohore për qytetarët për të materializuar të drejtat kushtetuese në fjalë, në kuptimin e mbrojtjes së tyre në rrugë administrative apo gjyqësore. </w:t>
      </w:r>
    </w:p>
    <w:p w:rsidR="0062525A" w:rsidRPr="00037FB1" w:rsidRDefault="0062525A" w:rsidP="0037360A">
      <w:pPr>
        <w:tabs>
          <w:tab w:val="left" w:pos="1080"/>
        </w:tabs>
        <w:spacing w:after="0" w:line="360" w:lineRule="auto"/>
        <w:ind w:firstLine="720"/>
        <w:jc w:val="both"/>
        <w:rPr>
          <w:rFonts w:ascii="Times New Roman" w:hAnsi="Times New Roman"/>
          <w:b/>
          <w:i/>
          <w:sz w:val="24"/>
          <w:szCs w:val="24"/>
          <w:lang w:val="sq-AL"/>
        </w:rPr>
      </w:pPr>
    </w:p>
    <w:p w:rsidR="00367EB7" w:rsidRPr="00037FB1" w:rsidRDefault="008A715E" w:rsidP="0037360A">
      <w:pPr>
        <w:tabs>
          <w:tab w:val="left" w:pos="1080"/>
        </w:tabs>
        <w:spacing w:after="0" w:line="360" w:lineRule="auto"/>
        <w:ind w:firstLine="720"/>
        <w:jc w:val="both"/>
        <w:rPr>
          <w:rFonts w:ascii="Times New Roman" w:hAnsi="Times New Roman"/>
          <w:i/>
          <w:sz w:val="24"/>
          <w:szCs w:val="24"/>
          <w:lang w:val="sq-AL"/>
        </w:rPr>
      </w:pPr>
      <w:r>
        <w:rPr>
          <w:rFonts w:ascii="Times New Roman" w:hAnsi="Times New Roman"/>
          <w:i/>
          <w:sz w:val="24"/>
          <w:szCs w:val="24"/>
          <w:lang w:val="sq-AL"/>
        </w:rPr>
        <w:t>Ç</w:t>
      </w:r>
      <w:r w:rsidR="00367EB7" w:rsidRPr="00037FB1">
        <w:rPr>
          <w:rFonts w:ascii="Times New Roman" w:hAnsi="Times New Roman"/>
          <w:i/>
          <w:sz w:val="24"/>
          <w:szCs w:val="24"/>
          <w:lang w:val="sq-AL"/>
        </w:rPr>
        <w:t xml:space="preserve">. Për pretendimin e cenimit të nenit 117 të Kushtetutës </w:t>
      </w:r>
    </w:p>
    <w:p w:rsidR="00042AD1" w:rsidRPr="00037FB1" w:rsidRDefault="00367EB7" w:rsidP="0037360A">
      <w:pPr>
        <w:pStyle w:val="ListParagraph"/>
        <w:numPr>
          <w:ilvl w:val="0"/>
          <w:numId w:val="24"/>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Kërkuesja ka pretenduar se është cenuar edhe neni 117</w:t>
      </w:r>
      <w:r w:rsidR="00042AD1" w:rsidRPr="00037FB1">
        <w:rPr>
          <w:rFonts w:ascii="Times New Roman" w:hAnsi="Times New Roman"/>
          <w:sz w:val="24"/>
          <w:szCs w:val="24"/>
          <w:lang w:val="sq-AL"/>
        </w:rPr>
        <w:t xml:space="preserve">, pika </w:t>
      </w:r>
      <w:r w:rsidRPr="00037FB1">
        <w:rPr>
          <w:rFonts w:ascii="Times New Roman" w:hAnsi="Times New Roman"/>
          <w:sz w:val="24"/>
          <w:szCs w:val="24"/>
          <w:lang w:val="sq-AL"/>
        </w:rPr>
        <w:t>1</w:t>
      </w:r>
      <w:r w:rsidR="008A715E">
        <w:rPr>
          <w:rFonts w:ascii="Times New Roman" w:hAnsi="Times New Roman"/>
          <w:sz w:val="24"/>
          <w:szCs w:val="24"/>
          <w:lang w:val="sq-AL"/>
        </w:rPr>
        <w:t>,</w:t>
      </w:r>
      <w:r w:rsidRPr="00037FB1">
        <w:rPr>
          <w:rFonts w:ascii="Times New Roman" w:hAnsi="Times New Roman"/>
          <w:sz w:val="24"/>
          <w:szCs w:val="24"/>
          <w:lang w:val="sq-AL"/>
        </w:rPr>
        <w:t xml:space="preserve"> i Kushtetutës, për arsye se akti i kundërshtuar </w:t>
      </w:r>
      <w:r w:rsidR="00042AD1" w:rsidRPr="00037FB1">
        <w:rPr>
          <w:rFonts w:ascii="Times New Roman" w:hAnsi="Times New Roman"/>
          <w:sz w:val="24"/>
          <w:szCs w:val="24"/>
          <w:lang w:val="sq-AL"/>
        </w:rPr>
        <w:t>ka hyr</w:t>
      </w:r>
      <w:r w:rsidR="00031805"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 n</w:t>
      </w:r>
      <w:r w:rsidR="00031805"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 fuqi p</w:t>
      </w:r>
      <w:r w:rsidR="00031805" w:rsidRPr="00037FB1">
        <w:rPr>
          <w:rFonts w:ascii="Times New Roman" w:hAnsi="Times New Roman"/>
          <w:sz w:val="24"/>
          <w:szCs w:val="24"/>
          <w:lang w:val="sq-AL"/>
        </w:rPr>
        <w:t>ë</w:t>
      </w:r>
      <w:r w:rsidR="00042AD1" w:rsidRPr="00037FB1">
        <w:rPr>
          <w:rFonts w:ascii="Times New Roman" w:hAnsi="Times New Roman"/>
          <w:sz w:val="24"/>
          <w:szCs w:val="24"/>
          <w:lang w:val="sq-AL"/>
        </w:rPr>
        <w:t>rpara botimit n</w:t>
      </w:r>
      <w:r w:rsidR="00031805"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 Fletoren Zyrtare. P</w:t>
      </w:r>
      <w:r w:rsidR="00031805" w:rsidRPr="00037FB1">
        <w:rPr>
          <w:rFonts w:ascii="Times New Roman" w:hAnsi="Times New Roman"/>
          <w:sz w:val="24"/>
          <w:szCs w:val="24"/>
          <w:lang w:val="sq-AL"/>
        </w:rPr>
        <w:t>ë</w:t>
      </w:r>
      <w:r w:rsidR="00042AD1" w:rsidRPr="00037FB1">
        <w:rPr>
          <w:rFonts w:ascii="Times New Roman" w:hAnsi="Times New Roman"/>
          <w:sz w:val="24"/>
          <w:szCs w:val="24"/>
          <w:lang w:val="sq-AL"/>
        </w:rPr>
        <w:t>r k</w:t>
      </w:r>
      <w:r w:rsidR="00031805" w:rsidRPr="00037FB1">
        <w:rPr>
          <w:rFonts w:ascii="Times New Roman" w:hAnsi="Times New Roman"/>
          <w:sz w:val="24"/>
          <w:szCs w:val="24"/>
          <w:lang w:val="sq-AL"/>
        </w:rPr>
        <w:t>ë</w:t>
      </w:r>
      <w:r w:rsidR="00042AD1" w:rsidRPr="00037FB1">
        <w:rPr>
          <w:rFonts w:ascii="Times New Roman" w:hAnsi="Times New Roman"/>
          <w:sz w:val="24"/>
          <w:szCs w:val="24"/>
          <w:lang w:val="sq-AL"/>
        </w:rPr>
        <w:t>t</w:t>
      </w:r>
      <w:r w:rsidR="00031805" w:rsidRPr="00037FB1">
        <w:rPr>
          <w:rFonts w:ascii="Times New Roman" w:hAnsi="Times New Roman"/>
          <w:sz w:val="24"/>
          <w:szCs w:val="24"/>
          <w:lang w:val="sq-AL"/>
        </w:rPr>
        <w:t>ë</w:t>
      </w:r>
      <w:r w:rsidR="008A715E">
        <w:rPr>
          <w:rFonts w:ascii="Times New Roman" w:hAnsi="Times New Roman"/>
          <w:sz w:val="24"/>
          <w:szCs w:val="24"/>
          <w:lang w:val="sq-AL"/>
        </w:rPr>
        <w:t xml:space="preserve"> fakt, k</w:t>
      </w:r>
      <w:r w:rsidR="00031805"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rkuesja ka parashtruar se edhe pse urdhri </w:t>
      </w:r>
      <w:r w:rsidR="00031805" w:rsidRPr="00037FB1">
        <w:rPr>
          <w:rFonts w:ascii="Times New Roman" w:hAnsi="Times New Roman"/>
          <w:sz w:val="24"/>
          <w:szCs w:val="24"/>
          <w:lang w:val="sq-AL"/>
        </w:rPr>
        <w:t>ë</w:t>
      </w:r>
      <w:r w:rsidR="00042AD1" w:rsidRPr="00037FB1">
        <w:rPr>
          <w:rFonts w:ascii="Times New Roman" w:hAnsi="Times New Roman"/>
          <w:sz w:val="24"/>
          <w:szCs w:val="24"/>
          <w:lang w:val="sq-AL"/>
        </w:rPr>
        <w:t>sht</w:t>
      </w:r>
      <w:r w:rsidR="00031805"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 botuar në Fletoren Zyrtare nr. 210 të datës 02.12.2020, ai </w:t>
      </w:r>
      <w:r w:rsidR="00031805" w:rsidRPr="00037FB1">
        <w:rPr>
          <w:rFonts w:ascii="Times New Roman" w:hAnsi="Times New Roman"/>
          <w:sz w:val="24"/>
          <w:szCs w:val="24"/>
          <w:lang w:val="sq-AL"/>
        </w:rPr>
        <w:t>është zbatuar në datën 21.11.2020, pasi në këtë datë është dhënë një masë administrative për një su</w:t>
      </w:r>
      <w:r w:rsidR="008A715E">
        <w:rPr>
          <w:rFonts w:ascii="Times New Roman" w:hAnsi="Times New Roman"/>
          <w:sz w:val="24"/>
          <w:szCs w:val="24"/>
          <w:lang w:val="sq-AL"/>
        </w:rPr>
        <w:t>bjekt nga punonjësit e policisë t</w:t>
      </w:r>
      <w:r w:rsidR="00031805" w:rsidRPr="00037FB1">
        <w:rPr>
          <w:rFonts w:ascii="Times New Roman" w:hAnsi="Times New Roman"/>
          <w:sz w:val="24"/>
          <w:szCs w:val="24"/>
          <w:lang w:val="sq-AL"/>
        </w:rPr>
        <w:t>ë Komisariatit nr. 5.</w:t>
      </w:r>
    </w:p>
    <w:p w:rsidR="00F26E4A" w:rsidRPr="00037FB1" w:rsidRDefault="00031805" w:rsidP="0037360A">
      <w:pPr>
        <w:pStyle w:val="ListParagraph"/>
        <w:numPr>
          <w:ilvl w:val="0"/>
          <w:numId w:val="24"/>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sz w:val="24"/>
          <w:szCs w:val="24"/>
          <w:lang w:val="sq-AL"/>
        </w:rPr>
        <w:t>Gjykata vëren se urdhri i kundërshtuar</w:t>
      </w:r>
      <w:r w:rsidR="008A715E">
        <w:rPr>
          <w:rFonts w:ascii="Times New Roman" w:hAnsi="Times New Roman"/>
          <w:sz w:val="24"/>
          <w:szCs w:val="24"/>
          <w:lang w:val="sq-AL"/>
        </w:rPr>
        <w:t>,</w:t>
      </w:r>
      <w:r w:rsidRPr="00037FB1">
        <w:rPr>
          <w:rFonts w:ascii="Times New Roman" w:hAnsi="Times New Roman"/>
          <w:sz w:val="24"/>
          <w:szCs w:val="24"/>
          <w:lang w:val="sq-AL"/>
        </w:rPr>
        <w:t xml:space="preserve"> </w:t>
      </w:r>
      <w:r w:rsidR="00042AD1" w:rsidRPr="00037FB1">
        <w:rPr>
          <w:rFonts w:ascii="Times New Roman" w:hAnsi="Times New Roman"/>
          <w:sz w:val="24"/>
          <w:szCs w:val="24"/>
          <w:lang w:val="sq-AL"/>
        </w:rPr>
        <w:t>n</w:t>
      </w:r>
      <w:r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 pjes</w:t>
      </w:r>
      <w:r w:rsidRPr="00037FB1">
        <w:rPr>
          <w:rFonts w:ascii="Times New Roman" w:hAnsi="Times New Roman"/>
          <w:sz w:val="24"/>
          <w:szCs w:val="24"/>
          <w:lang w:val="sq-AL"/>
        </w:rPr>
        <w:t>ë</w:t>
      </w:r>
      <w:r w:rsidR="00042AD1" w:rsidRPr="00037FB1">
        <w:rPr>
          <w:rFonts w:ascii="Times New Roman" w:hAnsi="Times New Roman"/>
          <w:sz w:val="24"/>
          <w:szCs w:val="24"/>
          <w:lang w:val="sq-AL"/>
        </w:rPr>
        <w:t>n e fundit t</w:t>
      </w:r>
      <w:r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 p</w:t>
      </w:r>
      <w:r w:rsidRPr="00037FB1">
        <w:rPr>
          <w:rFonts w:ascii="Times New Roman" w:hAnsi="Times New Roman"/>
          <w:sz w:val="24"/>
          <w:szCs w:val="24"/>
          <w:lang w:val="sq-AL"/>
        </w:rPr>
        <w:t>ë</w:t>
      </w:r>
      <w:r w:rsidR="00042AD1" w:rsidRPr="00037FB1">
        <w:rPr>
          <w:rFonts w:ascii="Times New Roman" w:hAnsi="Times New Roman"/>
          <w:sz w:val="24"/>
          <w:szCs w:val="24"/>
          <w:lang w:val="sq-AL"/>
        </w:rPr>
        <w:t>rmbajtjes s</w:t>
      </w:r>
      <w:r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 tij</w:t>
      </w:r>
      <w:r w:rsidR="008A715E">
        <w:rPr>
          <w:rFonts w:ascii="Times New Roman" w:hAnsi="Times New Roman"/>
          <w:sz w:val="24"/>
          <w:szCs w:val="24"/>
          <w:lang w:val="sq-AL"/>
        </w:rPr>
        <w:t xml:space="preserve">, </w:t>
      </w:r>
      <w:r w:rsidR="00042AD1" w:rsidRPr="00037FB1">
        <w:rPr>
          <w:rFonts w:ascii="Times New Roman" w:hAnsi="Times New Roman"/>
          <w:sz w:val="24"/>
          <w:szCs w:val="24"/>
          <w:lang w:val="sq-AL"/>
        </w:rPr>
        <w:t>disponon se hyn n</w:t>
      </w:r>
      <w:r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 fuqi menj</w:t>
      </w:r>
      <w:r w:rsidRPr="00037FB1">
        <w:rPr>
          <w:rFonts w:ascii="Times New Roman" w:hAnsi="Times New Roman"/>
          <w:sz w:val="24"/>
          <w:szCs w:val="24"/>
          <w:lang w:val="sq-AL"/>
        </w:rPr>
        <w:t>ë</w:t>
      </w:r>
      <w:r w:rsidR="00042AD1" w:rsidRPr="00037FB1">
        <w:rPr>
          <w:rFonts w:ascii="Times New Roman" w:hAnsi="Times New Roman"/>
          <w:sz w:val="24"/>
          <w:szCs w:val="24"/>
          <w:lang w:val="sq-AL"/>
        </w:rPr>
        <w:t>her</w:t>
      </w:r>
      <w:r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 dhe botohet n</w:t>
      </w:r>
      <w:r w:rsidRPr="00037FB1">
        <w:rPr>
          <w:rFonts w:ascii="Times New Roman" w:hAnsi="Times New Roman"/>
          <w:sz w:val="24"/>
          <w:szCs w:val="24"/>
          <w:lang w:val="sq-AL"/>
        </w:rPr>
        <w:t>ë</w:t>
      </w:r>
      <w:r w:rsidR="00042AD1" w:rsidRPr="00037FB1">
        <w:rPr>
          <w:rFonts w:ascii="Times New Roman" w:hAnsi="Times New Roman"/>
          <w:sz w:val="24"/>
          <w:szCs w:val="24"/>
          <w:lang w:val="sq-AL"/>
        </w:rPr>
        <w:t xml:space="preserve"> Fletoren Zyrtare. </w:t>
      </w:r>
      <w:r w:rsidRPr="00037FB1">
        <w:rPr>
          <w:rFonts w:ascii="Times New Roman" w:hAnsi="Times New Roman"/>
          <w:sz w:val="24"/>
          <w:szCs w:val="24"/>
          <w:lang w:val="sq-AL"/>
        </w:rPr>
        <w:t>Gjithsesi, pavarësisht përmba</w:t>
      </w:r>
      <w:r w:rsidR="00BF6079" w:rsidRPr="00037FB1">
        <w:rPr>
          <w:rFonts w:ascii="Times New Roman" w:hAnsi="Times New Roman"/>
          <w:sz w:val="24"/>
          <w:szCs w:val="24"/>
          <w:lang w:val="sq-AL"/>
        </w:rPr>
        <w:t>j</w:t>
      </w:r>
      <w:r w:rsidRPr="00037FB1">
        <w:rPr>
          <w:rFonts w:ascii="Times New Roman" w:hAnsi="Times New Roman"/>
          <w:sz w:val="24"/>
          <w:szCs w:val="24"/>
          <w:lang w:val="sq-AL"/>
        </w:rPr>
        <w:t xml:space="preserve">tjes së aktit, Gjykata thekson se duke qenë se ai është një akt </w:t>
      </w:r>
      <w:r w:rsidR="00843646" w:rsidRPr="00037FB1">
        <w:rPr>
          <w:rFonts w:ascii="Times New Roman" w:hAnsi="Times New Roman"/>
          <w:sz w:val="24"/>
          <w:szCs w:val="24"/>
          <w:lang w:val="sq-AL"/>
        </w:rPr>
        <w:t xml:space="preserve">normativ, </w:t>
      </w:r>
      <w:r w:rsidRPr="00037FB1">
        <w:rPr>
          <w:rFonts w:ascii="Times New Roman" w:hAnsi="Times New Roman"/>
          <w:sz w:val="24"/>
          <w:szCs w:val="24"/>
          <w:lang w:val="sq-AL"/>
        </w:rPr>
        <w:t xml:space="preserve">duhet të zbatohet </w:t>
      </w:r>
      <w:r w:rsidR="00843646" w:rsidRPr="00037FB1">
        <w:rPr>
          <w:rFonts w:ascii="Times New Roman" w:hAnsi="Times New Roman"/>
          <w:sz w:val="24"/>
          <w:szCs w:val="24"/>
          <w:lang w:val="sq-AL"/>
        </w:rPr>
        <w:t>n</w:t>
      </w:r>
      <w:r w:rsidR="00367EB7" w:rsidRPr="00037FB1">
        <w:rPr>
          <w:rFonts w:ascii="Times New Roman" w:hAnsi="Times New Roman"/>
          <w:sz w:val="24"/>
          <w:szCs w:val="24"/>
          <w:lang w:val="sq-AL"/>
        </w:rPr>
        <w:t>eni</w:t>
      </w:r>
      <w:r w:rsidR="00843646" w:rsidRPr="00037FB1">
        <w:rPr>
          <w:rFonts w:ascii="Times New Roman" w:hAnsi="Times New Roman"/>
          <w:sz w:val="24"/>
          <w:szCs w:val="24"/>
          <w:lang w:val="sq-AL"/>
        </w:rPr>
        <w:t xml:space="preserve"> 117</w:t>
      </w:r>
      <w:r w:rsidRPr="00037FB1">
        <w:rPr>
          <w:rFonts w:ascii="Times New Roman" w:hAnsi="Times New Roman"/>
          <w:sz w:val="24"/>
          <w:szCs w:val="24"/>
          <w:lang w:val="sq-AL"/>
        </w:rPr>
        <w:t>, pika 1</w:t>
      </w:r>
      <w:r w:rsidR="008A715E">
        <w:rPr>
          <w:rFonts w:ascii="Times New Roman" w:hAnsi="Times New Roman"/>
          <w:sz w:val="24"/>
          <w:szCs w:val="24"/>
          <w:lang w:val="sq-AL"/>
        </w:rPr>
        <w:t>, i</w:t>
      </w:r>
      <w:r w:rsidR="00367EB7" w:rsidRPr="00037FB1">
        <w:rPr>
          <w:rFonts w:ascii="Times New Roman" w:hAnsi="Times New Roman"/>
          <w:sz w:val="24"/>
          <w:szCs w:val="24"/>
          <w:lang w:val="sq-AL"/>
        </w:rPr>
        <w:t xml:space="preserve"> Kushtetutës</w:t>
      </w:r>
      <w:r w:rsidR="00843646" w:rsidRPr="00037FB1">
        <w:rPr>
          <w:rFonts w:ascii="Times New Roman" w:hAnsi="Times New Roman"/>
          <w:sz w:val="24"/>
          <w:szCs w:val="24"/>
          <w:lang w:val="sq-AL"/>
        </w:rPr>
        <w:t xml:space="preserve">, i cili </w:t>
      </w:r>
      <w:r w:rsidR="00367EB7" w:rsidRPr="00037FB1">
        <w:rPr>
          <w:rFonts w:ascii="Times New Roman" w:hAnsi="Times New Roman"/>
          <w:sz w:val="24"/>
          <w:szCs w:val="24"/>
          <w:lang w:val="sq-AL"/>
        </w:rPr>
        <w:t>parashikon se “l</w:t>
      </w:r>
      <w:r w:rsidR="00367EB7" w:rsidRPr="00037FB1">
        <w:rPr>
          <w:rFonts w:ascii="Times New Roman" w:hAnsi="Times New Roman"/>
          <w:sz w:val="24"/>
          <w:szCs w:val="24"/>
          <w:shd w:val="clear" w:color="auto" w:fill="FFFFFF"/>
          <w:lang w:val="sq-AL"/>
        </w:rPr>
        <w:t xml:space="preserve">igjet, aktet normative të Këshillit të Ministrave, të ministrave, të institucioneve të tjera qendrore marrin fuqi juridike vetëm pasi botohen në Fletoren Zyrtare”. </w:t>
      </w:r>
    </w:p>
    <w:p w:rsidR="00F26E4A" w:rsidRPr="00037FB1" w:rsidRDefault="00031805" w:rsidP="0037360A">
      <w:pPr>
        <w:pStyle w:val="ListParagraph"/>
        <w:numPr>
          <w:ilvl w:val="0"/>
          <w:numId w:val="24"/>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color w:val="000000"/>
          <w:sz w:val="24"/>
          <w:szCs w:val="24"/>
          <w:lang w:val="sq-AL"/>
        </w:rPr>
        <w:t xml:space="preserve">Për sa më sipër, </w:t>
      </w:r>
      <w:r w:rsidR="0081116D" w:rsidRPr="00037FB1">
        <w:rPr>
          <w:rFonts w:ascii="Times New Roman" w:hAnsi="Times New Roman"/>
          <w:color w:val="000000"/>
          <w:sz w:val="24"/>
          <w:szCs w:val="24"/>
          <w:lang w:val="sq-AL"/>
        </w:rPr>
        <w:t xml:space="preserve">Gjykata </w:t>
      </w:r>
      <w:r w:rsidR="00176375" w:rsidRPr="00037FB1">
        <w:rPr>
          <w:rFonts w:ascii="Times New Roman" w:hAnsi="Times New Roman"/>
          <w:color w:val="000000"/>
          <w:sz w:val="24"/>
          <w:szCs w:val="24"/>
          <w:lang w:val="sq-AL"/>
        </w:rPr>
        <w:t>çmon se edhe në rastin në shqyrtim nuk duhet të bëhet përjashtim nga ky rregull kushtetues dhe se urdhri nr. 633/2020 ka hyrë në fuqi pas botimit të tij në Fletoren Zyrtare. Për rrjedhojë, pretendimi i kërkueses për cenimin e nenit 117</w:t>
      </w:r>
      <w:r w:rsidR="008A715E">
        <w:rPr>
          <w:rFonts w:ascii="Times New Roman" w:hAnsi="Times New Roman"/>
          <w:color w:val="000000"/>
          <w:sz w:val="24"/>
          <w:szCs w:val="24"/>
          <w:lang w:val="sq-AL"/>
        </w:rPr>
        <w:t>,</w:t>
      </w:r>
      <w:r w:rsidR="00176375" w:rsidRPr="00037FB1">
        <w:rPr>
          <w:rFonts w:ascii="Times New Roman" w:hAnsi="Times New Roman"/>
          <w:color w:val="000000"/>
          <w:sz w:val="24"/>
          <w:szCs w:val="24"/>
          <w:lang w:val="sq-AL"/>
        </w:rPr>
        <w:t xml:space="preserve"> pika 1</w:t>
      </w:r>
      <w:r w:rsidR="008A715E">
        <w:rPr>
          <w:rFonts w:ascii="Times New Roman" w:hAnsi="Times New Roman"/>
          <w:color w:val="000000"/>
          <w:sz w:val="24"/>
          <w:szCs w:val="24"/>
          <w:lang w:val="sq-AL"/>
        </w:rPr>
        <w:t>,</w:t>
      </w:r>
      <w:r w:rsidR="00176375" w:rsidRPr="00037FB1">
        <w:rPr>
          <w:rFonts w:ascii="Times New Roman" w:hAnsi="Times New Roman"/>
          <w:color w:val="000000"/>
          <w:sz w:val="24"/>
          <w:szCs w:val="24"/>
          <w:lang w:val="sq-AL"/>
        </w:rPr>
        <w:t xml:space="preserve"> të Kushtetutës nuk është i bazuar</w:t>
      </w:r>
      <w:r w:rsidR="008A715E">
        <w:rPr>
          <w:rFonts w:ascii="Times New Roman" w:hAnsi="Times New Roman"/>
          <w:color w:val="000000"/>
          <w:sz w:val="24"/>
          <w:szCs w:val="24"/>
          <w:lang w:val="sq-AL"/>
        </w:rPr>
        <w:t>. N</w:t>
      </w:r>
      <w:r w:rsidR="0081116D" w:rsidRPr="00037FB1">
        <w:rPr>
          <w:rFonts w:ascii="Times New Roman" w:hAnsi="Times New Roman"/>
          <w:color w:val="000000"/>
          <w:sz w:val="24"/>
          <w:szCs w:val="24"/>
          <w:lang w:val="sq-AL"/>
        </w:rPr>
        <w:t xml:space="preserve">ëse janë dhënë masa </w:t>
      </w:r>
      <w:r w:rsidR="0081116D" w:rsidRPr="00037FB1">
        <w:rPr>
          <w:rFonts w:ascii="Times New Roman" w:hAnsi="Times New Roman"/>
          <w:sz w:val="24"/>
          <w:szCs w:val="24"/>
          <w:lang w:val="sq-AL"/>
        </w:rPr>
        <w:t xml:space="preserve">administrative përpara hyrjes së tij në fuqi, </w:t>
      </w:r>
      <w:r w:rsidRPr="00037FB1">
        <w:rPr>
          <w:rFonts w:ascii="Times New Roman" w:hAnsi="Times New Roman"/>
          <w:sz w:val="24"/>
          <w:szCs w:val="24"/>
          <w:lang w:val="sq-AL"/>
        </w:rPr>
        <w:t xml:space="preserve">pas botimit në Fletoren Zyrtare, </w:t>
      </w:r>
      <w:r w:rsidR="0081116D" w:rsidRPr="00037FB1">
        <w:rPr>
          <w:rFonts w:ascii="Times New Roman" w:hAnsi="Times New Roman"/>
          <w:sz w:val="24"/>
          <w:szCs w:val="24"/>
          <w:lang w:val="sq-AL"/>
        </w:rPr>
        <w:t xml:space="preserve">kjo </w:t>
      </w:r>
      <w:r w:rsidRPr="00037FB1">
        <w:rPr>
          <w:rFonts w:ascii="Times New Roman" w:hAnsi="Times New Roman"/>
          <w:sz w:val="24"/>
          <w:szCs w:val="24"/>
          <w:lang w:val="sq-AL"/>
        </w:rPr>
        <w:t xml:space="preserve">është </w:t>
      </w:r>
      <w:r w:rsidR="0081116D" w:rsidRPr="00037FB1">
        <w:rPr>
          <w:rFonts w:ascii="Times New Roman" w:hAnsi="Times New Roman"/>
          <w:sz w:val="24"/>
          <w:szCs w:val="24"/>
          <w:lang w:val="sq-AL"/>
        </w:rPr>
        <w:t xml:space="preserve">çështje </w:t>
      </w:r>
      <w:r w:rsidRPr="00037FB1">
        <w:rPr>
          <w:rFonts w:ascii="Times New Roman" w:hAnsi="Times New Roman"/>
          <w:sz w:val="24"/>
          <w:szCs w:val="24"/>
          <w:lang w:val="sq-AL"/>
        </w:rPr>
        <w:t xml:space="preserve">që </w:t>
      </w:r>
      <w:r w:rsidR="0081116D" w:rsidRPr="00037FB1">
        <w:rPr>
          <w:rFonts w:ascii="Times New Roman" w:hAnsi="Times New Roman"/>
          <w:sz w:val="24"/>
          <w:szCs w:val="24"/>
          <w:lang w:val="sq-AL"/>
        </w:rPr>
        <w:t xml:space="preserve">i përket </w:t>
      </w:r>
      <w:r w:rsidRPr="00037FB1">
        <w:rPr>
          <w:rFonts w:ascii="Times New Roman" w:hAnsi="Times New Roman"/>
          <w:sz w:val="24"/>
          <w:szCs w:val="24"/>
          <w:lang w:val="sq-AL"/>
        </w:rPr>
        <w:t xml:space="preserve">zbatimit të urdhrit nga </w:t>
      </w:r>
      <w:r w:rsidR="0081116D" w:rsidRPr="00037FB1">
        <w:rPr>
          <w:rFonts w:ascii="Times New Roman" w:hAnsi="Times New Roman"/>
          <w:sz w:val="24"/>
          <w:szCs w:val="24"/>
          <w:lang w:val="sq-AL"/>
        </w:rPr>
        <w:t>organe</w:t>
      </w:r>
      <w:r w:rsidR="008A715E">
        <w:rPr>
          <w:rFonts w:ascii="Times New Roman" w:hAnsi="Times New Roman"/>
          <w:sz w:val="24"/>
          <w:szCs w:val="24"/>
          <w:lang w:val="sq-AL"/>
        </w:rPr>
        <w:t xml:space="preserve">t </w:t>
      </w:r>
      <w:r w:rsidR="0081116D" w:rsidRPr="00037FB1">
        <w:rPr>
          <w:rFonts w:ascii="Times New Roman" w:hAnsi="Times New Roman"/>
          <w:sz w:val="24"/>
          <w:szCs w:val="24"/>
          <w:lang w:val="sq-AL"/>
        </w:rPr>
        <w:t>ligjzbatuese</w:t>
      </w:r>
      <w:r w:rsidRPr="00037FB1">
        <w:rPr>
          <w:rFonts w:ascii="Times New Roman" w:hAnsi="Times New Roman"/>
          <w:sz w:val="24"/>
          <w:szCs w:val="24"/>
          <w:lang w:val="sq-AL"/>
        </w:rPr>
        <w:t xml:space="preserve">. </w:t>
      </w:r>
      <w:r w:rsidR="0053768E" w:rsidRPr="00037FB1">
        <w:rPr>
          <w:rFonts w:ascii="Times New Roman" w:hAnsi="Times New Roman"/>
          <w:sz w:val="24"/>
          <w:szCs w:val="24"/>
          <w:lang w:val="sq-AL"/>
        </w:rPr>
        <w:t xml:space="preserve"> </w:t>
      </w:r>
    </w:p>
    <w:p w:rsidR="00367EB7" w:rsidRPr="00037FB1" w:rsidRDefault="00031805" w:rsidP="0037360A">
      <w:pPr>
        <w:pStyle w:val="ListParagraph"/>
        <w:numPr>
          <w:ilvl w:val="0"/>
          <w:numId w:val="24"/>
        </w:numPr>
        <w:tabs>
          <w:tab w:val="left" w:pos="1080"/>
        </w:tabs>
        <w:spacing w:after="0" w:line="360" w:lineRule="auto"/>
        <w:ind w:left="0" w:firstLine="720"/>
        <w:jc w:val="both"/>
        <w:rPr>
          <w:rFonts w:ascii="Times New Roman" w:hAnsi="Times New Roman"/>
          <w:sz w:val="24"/>
          <w:szCs w:val="24"/>
          <w:lang w:val="sq-AL"/>
        </w:rPr>
      </w:pPr>
      <w:r w:rsidRPr="00037FB1">
        <w:rPr>
          <w:rFonts w:ascii="Times New Roman" w:hAnsi="Times New Roman"/>
          <w:color w:val="000000"/>
          <w:sz w:val="24"/>
          <w:szCs w:val="24"/>
          <w:lang w:val="sq-AL"/>
        </w:rPr>
        <w:t xml:space="preserve">Si përfundim, </w:t>
      </w:r>
      <w:r w:rsidR="00367EB7" w:rsidRPr="00037FB1">
        <w:rPr>
          <w:rFonts w:ascii="Times New Roman" w:hAnsi="Times New Roman"/>
          <w:color w:val="000000"/>
          <w:sz w:val="24"/>
          <w:szCs w:val="24"/>
          <w:lang w:val="sq-AL"/>
        </w:rPr>
        <w:t>Gjykata</w:t>
      </w:r>
      <w:r w:rsidR="008A715E">
        <w:rPr>
          <w:rFonts w:ascii="Times New Roman" w:hAnsi="Times New Roman"/>
          <w:color w:val="000000"/>
          <w:sz w:val="24"/>
          <w:szCs w:val="24"/>
          <w:lang w:val="sq-AL"/>
        </w:rPr>
        <w:t>,</w:t>
      </w:r>
      <w:r w:rsidR="00367EB7" w:rsidRPr="00037FB1">
        <w:rPr>
          <w:rFonts w:ascii="Times New Roman" w:hAnsi="Times New Roman"/>
          <w:color w:val="000000"/>
          <w:sz w:val="24"/>
          <w:szCs w:val="24"/>
          <w:lang w:val="sq-AL"/>
        </w:rPr>
        <w:t xml:space="preserve"> </w:t>
      </w:r>
      <w:r w:rsidR="00176375" w:rsidRPr="00037FB1">
        <w:rPr>
          <w:rFonts w:ascii="Times New Roman" w:hAnsi="Times New Roman"/>
          <w:color w:val="000000"/>
          <w:sz w:val="24"/>
          <w:szCs w:val="24"/>
          <w:lang w:val="sq-AL"/>
        </w:rPr>
        <w:t xml:space="preserve">bazuar në arsyetimin e mësipërm, vlerëson </w:t>
      </w:r>
      <w:r w:rsidR="00367EB7" w:rsidRPr="00037FB1">
        <w:rPr>
          <w:rFonts w:ascii="Times New Roman" w:hAnsi="Times New Roman"/>
          <w:color w:val="000000"/>
          <w:sz w:val="24"/>
          <w:szCs w:val="24"/>
          <w:lang w:val="sq-AL"/>
        </w:rPr>
        <w:t>se urdh</w:t>
      </w:r>
      <w:r w:rsidR="002046D7" w:rsidRPr="00037FB1">
        <w:rPr>
          <w:rFonts w:ascii="Times New Roman" w:hAnsi="Times New Roman"/>
          <w:color w:val="000000"/>
          <w:sz w:val="24"/>
          <w:szCs w:val="24"/>
          <w:lang w:val="sq-AL"/>
        </w:rPr>
        <w:t>ri nr.</w:t>
      </w:r>
      <w:r w:rsidR="008A715E">
        <w:rPr>
          <w:rFonts w:ascii="Times New Roman" w:hAnsi="Times New Roman"/>
          <w:color w:val="000000"/>
          <w:sz w:val="24"/>
          <w:szCs w:val="24"/>
          <w:lang w:val="sq-AL"/>
        </w:rPr>
        <w:t xml:space="preserve"> </w:t>
      </w:r>
      <w:r w:rsidR="002046D7" w:rsidRPr="00037FB1">
        <w:rPr>
          <w:rFonts w:ascii="Times New Roman" w:hAnsi="Times New Roman"/>
          <w:color w:val="000000"/>
          <w:sz w:val="24"/>
          <w:szCs w:val="24"/>
          <w:lang w:val="sq-AL"/>
        </w:rPr>
        <w:t xml:space="preserve">633/2020 </w:t>
      </w:r>
      <w:r w:rsidR="0062525A" w:rsidRPr="00037FB1">
        <w:rPr>
          <w:rFonts w:ascii="Times New Roman" w:hAnsi="Times New Roman"/>
          <w:color w:val="000000"/>
          <w:sz w:val="24"/>
          <w:szCs w:val="24"/>
          <w:lang w:val="sq-AL"/>
        </w:rPr>
        <w:t xml:space="preserve">i </w:t>
      </w:r>
      <w:r w:rsidR="002046D7" w:rsidRPr="00037FB1">
        <w:rPr>
          <w:rFonts w:ascii="Times New Roman" w:hAnsi="Times New Roman"/>
          <w:color w:val="000000"/>
          <w:sz w:val="24"/>
          <w:szCs w:val="24"/>
          <w:lang w:val="sq-AL"/>
        </w:rPr>
        <w:t>MSHMS-së</w:t>
      </w:r>
      <w:r w:rsidR="008A715E">
        <w:rPr>
          <w:rFonts w:ascii="Times New Roman" w:hAnsi="Times New Roman"/>
          <w:color w:val="000000"/>
          <w:sz w:val="24"/>
          <w:szCs w:val="24"/>
          <w:lang w:val="sq-AL"/>
        </w:rPr>
        <w:t>,</w:t>
      </w:r>
      <w:r w:rsidR="0062525A" w:rsidRPr="00037FB1">
        <w:rPr>
          <w:rFonts w:ascii="Times New Roman" w:hAnsi="Times New Roman"/>
          <w:color w:val="000000"/>
          <w:sz w:val="24"/>
          <w:szCs w:val="24"/>
          <w:lang w:val="sq-AL"/>
        </w:rPr>
        <w:t xml:space="preserve"> në drejtim të caktim</w:t>
      </w:r>
      <w:r w:rsidR="008A715E">
        <w:rPr>
          <w:rFonts w:ascii="Times New Roman" w:hAnsi="Times New Roman"/>
          <w:color w:val="000000"/>
          <w:sz w:val="24"/>
          <w:szCs w:val="24"/>
          <w:lang w:val="sq-AL"/>
        </w:rPr>
        <w:t>it</w:t>
      </w:r>
      <w:r w:rsidR="0062525A" w:rsidRPr="00037FB1">
        <w:rPr>
          <w:rFonts w:ascii="Times New Roman" w:hAnsi="Times New Roman"/>
          <w:color w:val="000000"/>
          <w:sz w:val="24"/>
          <w:szCs w:val="24"/>
          <w:lang w:val="sq-AL"/>
        </w:rPr>
        <w:t xml:space="preserve"> të masave kufizuese pa afat</w:t>
      </w:r>
      <w:r w:rsidR="002046D7" w:rsidRPr="00037FB1">
        <w:rPr>
          <w:rFonts w:ascii="Times New Roman" w:hAnsi="Times New Roman"/>
          <w:color w:val="000000"/>
          <w:sz w:val="24"/>
          <w:szCs w:val="24"/>
          <w:lang w:val="sq-AL"/>
        </w:rPr>
        <w:t>,</w:t>
      </w:r>
      <w:r w:rsidR="00367EB7" w:rsidRPr="00037FB1">
        <w:rPr>
          <w:rFonts w:ascii="Times New Roman" w:hAnsi="Times New Roman"/>
          <w:color w:val="000000"/>
          <w:sz w:val="24"/>
          <w:szCs w:val="24"/>
          <w:lang w:val="sq-AL"/>
        </w:rPr>
        <w:t xml:space="preserve"> cenon standardet kushtetuese të nenit 17 të Kushtetutës.  </w:t>
      </w:r>
    </w:p>
    <w:p w:rsidR="00367EB7" w:rsidRPr="00037FB1" w:rsidRDefault="00367EB7" w:rsidP="0037360A">
      <w:pPr>
        <w:tabs>
          <w:tab w:val="left" w:pos="1080"/>
        </w:tabs>
        <w:spacing w:after="0" w:line="360" w:lineRule="auto"/>
        <w:ind w:firstLine="720"/>
        <w:contextualSpacing/>
        <w:jc w:val="both"/>
        <w:rPr>
          <w:rFonts w:ascii="Times New Roman" w:hAnsi="Times New Roman"/>
          <w:sz w:val="24"/>
          <w:szCs w:val="24"/>
          <w:lang w:val="sq-AL"/>
        </w:rPr>
      </w:pPr>
    </w:p>
    <w:p w:rsidR="00367EB7" w:rsidRPr="00037FB1" w:rsidRDefault="00367EB7" w:rsidP="0037360A">
      <w:pPr>
        <w:suppressAutoHyphens/>
        <w:spacing w:after="0" w:line="360" w:lineRule="auto"/>
        <w:jc w:val="center"/>
        <w:rPr>
          <w:rFonts w:ascii="Times New Roman" w:eastAsia="Times New Roman" w:hAnsi="Times New Roman"/>
          <w:b/>
          <w:bCs/>
          <w:sz w:val="24"/>
          <w:szCs w:val="24"/>
          <w:lang w:val="sq-AL" w:eastAsia="fr-FR"/>
        </w:rPr>
      </w:pPr>
      <w:r w:rsidRPr="00037FB1">
        <w:rPr>
          <w:rFonts w:ascii="Times New Roman" w:eastAsia="Times New Roman" w:hAnsi="Times New Roman"/>
          <w:b/>
          <w:bCs/>
          <w:sz w:val="24"/>
          <w:szCs w:val="24"/>
          <w:lang w:val="sq-AL" w:eastAsia="fr-FR"/>
        </w:rPr>
        <w:t>PËR KËTO ARSYE,</w:t>
      </w:r>
    </w:p>
    <w:p w:rsidR="00367EB7" w:rsidRPr="00037FB1" w:rsidRDefault="00367EB7" w:rsidP="0037360A">
      <w:pPr>
        <w:suppressAutoHyphens/>
        <w:spacing w:after="0" w:line="360" w:lineRule="auto"/>
        <w:ind w:firstLine="720"/>
        <w:jc w:val="both"/>
        <w:rPr>
          <w:rFonts w:ascii="Times New Roman" w:eastAsia="Times New Roman" w:hAnsi="Times New Roman"/>
          <w:sz w:val="24"/>
          <w:szCs w:val="24"/>
          <w:lang w:val="sq-AL" w:eastAsia="fr-FR"/>
        </w:rPr>
      </w:pPr>
      <w:r w:rsidRPr="00037FB1">
        <w:rPr>
          <w:rFonts w:ascii="Times New Roman" w:eastAsia="Times New Roman" w:hAnsi="Times New Roman"/>
          <w:sz w:val="24"/>
          <w:szCs w:val="24"/>
          <w:lang w:val="sq-AL" w:eastAsia="fr-FR"/>
        </w:rPr>
        <w:t xml:space="preserve">Gjykata </w:t>
      </w:r>
      <w:r w:rsidRPr="003B4309">
        <w:rPr>
          <w:rFonts w:ascii="Times New Roman" w:eastAsia="Times New Roman" w:hAnsi="Times New Roman"/>
          <w:sz w:val="24"/>
          <w:szCs w:val="24"/>
          <w:lang w:val="sq-AL" w:eastAsia="fr-FR"/>
        </w:rPr>
        <w:t>Kushtetuese e Republikës së Shqipërisë, në mbështetje të neneve 131</w:t>
      </w:r>
      <w:r w:rsidR="00F15ABD" w:rsidRPr="003B4309">
        <w:rPr>
          <w:rFonts w:ascii="Times New Roman" w:eastAsia="Times New Roman" w:hAnsi="Times New Roman"/>
          <w:sz w:val="24"/>
          <w:szCs w:val="24"/>
          <w:lang w:val="sq-AL" w:eastAsia="fr-FR"/>
        </w:rPr>
        <w:t xml:space="preserve">, </w:t>
      </w:r>
      <w:r w:rsidR="008A715E" w:rsidRPr="003B4309">
        <w:rPr>
          <w:rFonts w:ascii="Times New Roman" w:eastAsia="Times New Roman" w:hAnsi="Times New Roman"/>
          <w:sz w:val="24"/>
          <w:szCs w:val="24"/>
          <w:lang w:val="sq-AL" w:eastAsia="fr-FR"/>
        </w:rPr>
        <w:t xml:space="preserve">pika 1, </w:t>
      </w:r>
      <w:r w:rsidR="00F15ABD" w:rsidRPr="003B4309">
        <w:rPr>
          <w:rFonts w:ascii="Times New Roman" w:eastAsia="Times New Roman" w:hAnsi="Times New Roman"/>
          <w:sz w:val="24"/>
          <w:szCs w:val="24"/>
          <w:lang w:val="sq-AL" w:eastAsia="fr-FR"/>
        </w:rPr>
        <w:t>shkronja “</w:t>
      </w:r>
      <w:r w:rsidR="008A715E" w:rsidRPr="003B4309">
        <w:rPr>
          <w:rFonts w:ascii="Times New Roman" w:eastAsia="Times New Roman" w:hAnsi="Times New Roman"/>
          <w:sz w:val="24"/>
          <w:szCs w:val="24"/>
          <w:lang w:val="sq-AL" w:eastAsia="fr-FR"/>
        </w:rPr>
        <w:t>c</w:t>
      </w:r>
      <w:r w:rsidR="00F15ABD" w:rsidRPr="003B4309">
        <w:rPr>
          <w:rFonts w:ascii="Times New Roman" w:eastAsia="Times New Roman" w:hAnsi="Times New Roman"/>
          <w:sz w:val="24"/>
          <w:szCs w:val="24"/>
          <w:lang w:val="sq-AL" w:eastAsia="fr-FR"/>
        </w:rPr>
        <w:t>”</w:t>
      </w:r>
      <w:r w:rsidR="003B4309" w:rsidRPr="003B4309">
        <w:rPr>
          <w:rFonts w:ascii="Times New Roman" w:eastAsia="Times New Roman" w:hAnsi="Times New Roman"/>
          <w:sz w:val="24"/>
          <w:szCs w:val="24"/>
          <w:lang w:val="sq-AL" w:eastAsia="fr-FR"/>
        </w:rPr>
        <w:t xml:space="preserve">, </w:t>
      </w:r>
      <w:r w:rsidRPr="003B4309">
        <w:rPr>
          <w:rFonts w:ascii="Times New Roman" w:eastAsia="Times New Roman" w:hAnsi="Times New Roman"/>
          <w:sz w:val="24"/>
          <w:szCs w:val="24"/>
          <w:lang w:val="sq-AL" w:eastAsia="fr-FR"/>
        </w:rPr>
        <w:t>134</w:t>
      </w:r>
      <w:r w:rsidR="00F15ABD" w:rsidRPr="003B4309">
        <w:rPr>
          <w:rFonts w:ascii="Times New Roman" w:eastAsia="Times New Roman" w:hAnsi="Times New Roman"/>
          <w:sz w:val="24"/>
          <w:szCs w:val="24"/>
          <w:lang w:val="sq-AL" w:eastAsia="fr-FR"/>
        </w:rPr>
        <w:t xml:space="preserve">, </w:t>
      </w:r>
      <w:r w:rsidR="008A715E" w:rsidRPr="003B4309">
        <w:rPr>
          <w:rFonts w:ascii="Times New Roman" w:eastAsia="Times New Roman" w:hAnsi="Times New Roman"/>
          <w:sz w:val="24"/>
          <w:szCs w:val="24"/>
          <w:lang w:val="sq-AL" w:eastAsia="fr-FR"/>
        </w:rPr>
        <w:t xml:space="preserve">pika </w:t>
      </w:r>
      <w:r w:rsidRPr="003B4309">
        <w:rPr>
          <w:rFonts w:ascii="Times New Roman" w:eastAsia="Times New Roman" w:hAnsi="Times New Roman"/>
          <w:sz w:val="24"/>
          <w:szCs w:val="24"/>
          <w:lang w:val="sq-AL" w:eastAsia="fr-FR"/>
        </w:rPr>
        <w:t>1, shkronja “g</w:t>
      </w:r>
      <w:r w:rsidR="008A715E" w:rsidRPr="003B4309">
        <w:rPr>
          <w:rFonts w:ascii="Times New Roman" w:eastAsia="Times New Roman" w:hAnsi="Times New Roman"/>
          <w:sz w:val="24"/>
          <w:szCs w:val="24"/>
          <w:lang w:val="sq-AL" w:eastAsia="fr-FR"/>
        </w:rPr>
        <w:t>j</w:t>
      </w:r>
      <w:r w:rsidRPr="003B4309">
        <w:rPr>
          <w:rFonts w:ascii="Times New Roman" w:eastAsia="Times New Roman" w:hAnsi="Times New Roman"/>
          <w:sz w:val="24"/>
          <w:szCs w:val="24"/>
          <w:lang w:val="sq-AL" w:eastAsia="fr-FR"/>
        </w:rPr>
        <w:t xml:space="preserve">”, </w:t>
      </w:r>
      <w:r w:rsidR="00E97A64" w:rsidRPr="003B4309">
        <w:rPr>
          <w:rFonts w:ascii="Times New Roman" w:eastAsia="Times New Roman" w:hAnsi="Times New Roman"/>
          <w:sz w:val="24"/>
          <w:szCs w:val="24"/>
          <w:lang w:val="sq-AL" w:eastAsia="fr-FR"/>
        </w:rPr>
        <w:t>dhe 132</w:t>
      </w:r>
      <w:r w:rsidR="00F15ABD" w:rsidRPr="003B4309">
        <w:rPr>
          <w:rFonts w:ascii="Times New Roman" w:eastAsia="Times New Roman" w:hAnsi="Times New Roman"/>
          <w:sz w:val="24"/>
          <w:szCs w:val="24"/>
          <w:lang w:val="sq-AL" w:eastAsia="fr-FR"/>
        </w:rPr>
        <w:t xml:space="preserve">, </w:t>
      </w:r>
      <w:r w:rsidR="003B4309">
        <w:rPr>
          <w:rFonts w:ascii="Times New Roman" w:eastAsia="Times New Roman" w:hAnsi="Times New Roman"/>
          <w:sz w:val="24"/>
          <w:szCs w:val="24"/>
          <w:lang w:val="sq-AL" w:eastAsia="fr-FR"/>
        </w:rPr>
        <w:t>pika</w:t>
      </w:r>
      <w:r w:rsidR="00F15ABD" w:rsidRPr="003B4309">
        <w:rPr>
          <w:rFonts w:ascii="Times New Roman" w:eastAsia="Times New Roman" w:hAnsi="Times New Roman"/>
          <w:sz w:val="24"/>
          <w:szCs w:val="24"/>
          <w:lang w:val="sq-AL" w:eastAsia="fr-FR"/>
        </w:rPr>
        <w:t xml:space="preserve"> </w:t>
      </w:r>
      <w:r w:rsidR="00E97A64" w:rsidRPr="003B4309">
        <w:rPr>
          <w:rFonts w:ascii="Times New Roman" w:eastAsia="Times New Roman" w:hAnsi="Times New Roman"/>
          <w:sz w:val="24"/>
          <w:szCs w:val="24"/>
          <w:lang w:val="sq-AL" w:eastAsia="fr-FR"/>
        </w:rPr>
        <w:t>2</w:t>
      </w:r>
      <w:r w:rsidR="003B4309">
        <w:rPr>
          <w:rFonts w:ascii="Times New Roman" w:eastAsia="Times New Roman" w:hAnsi="Times New Roman"/>
          <w:sz w:val="24"/>
          <w:szCs w:val="24"/>
          <w:lang w:val="sq-AL" w:eastAsia="fr-FR"/>
        </w:rPr>
        <w:t>,</w:t>
      </w:r>
      <w:r w:rsidR="00E97A64" w:rsidRPr="003B4309">
        <w:rPr>
          <w:rFonts w:ascii="Times New Roman" w:eastAsia="Times New Roman" w:hAnsi="Times New Roman"/>
          <w:sz w:val="24"/>
          <w:szCs w:val="24"/>
          <w:lang w:val="sq-AL" w:eastAsia="fr-FR"/>
        </w:rPr>
        <w:t xml:space="preserve"> </w:t>
      </w:r>
      <w:r w:rsidRPr="003B4309">
        <w:rPr>
          <w:rFonts w:ascii="Times New Roman" w:eastAsia="Times New Roman" w:hAnsi="Times New Roman"/>
          <w:sz w:val="24"/>
          <w:szCs w:val="24"/>
          <w:lang w:val="sq-AL" w:eastAsia="fr-FR"/>
        </w:rPr>
        <w:t>të Kushtetutës, si dhe të nen</w:t>
      </w:r>
      <w:r w:rsidR="003B4309">
        <w:rPr>
          <w:rFonts w:ascii="Times New Roman" w:eastAsia="Times New Roman" w:hAnsi="Times New Roman"/>
          <w:sz w:val="24"/>
          <w:szCs w:val="24"/>
          <w:lang w:val="sq-AL" w:eastAsia="fr-FR"/>
        </w:rPr>
        <w:t xml:space="preserve">eve </w:t>
      </w:r>
      <w:r w:rsidRPr="003B4309">
        <w:rPr>
          <w:rFonts w:ascii="Times New Roman" w:eastAsia="Times New Roman" w:hAnsi="Times New Roman"/>
          <w:sz w:val="24"/>
          <w:szCs w:val="24"/>
          <w:lang w:val="sq-AL" w:eastAsia="fr-FR"/>
        </w:rPr>
        <w:t>72</w:t>
      </w:r>
      <w:r w:rsidR="00E97A64" w:rsidRPr="003B4309">
        <w:rPr>
          <w:rFonts w:ascii="Times New Roman" w:eastAsia="Times New Roman" w:hAnsi="Times New Roman"/>
          <w:sz w:val="24"/>
          <w:szCs w:val="24"/>
          <w:lang w:val="sq-AL" w:eastAsia="fr-FR"/>
        </w:rPr>
        <w:t>, 76</w:t>
      </w:r>
      <w:r w:rsidR="00F15ABD" w:rsidRPr="003B4309">
        <w:rPr>
          <w:rFonts w:ascii="Times New Roman" w:eastAsia="Times New Roman" w:hAnsi="Times New Roman"/>
          <w:sz w:val="24"/>
          <w:szCs w:val="24"/>
          <w:lang w:val="sq-AL" w:eastAsia="fr-FR"/>
        </w:rPr>
        <w:t xml:space="preserve">, </w:t>
      </w:r>
      <w:r w:rsidR="00F15ABD" w:rsidRPr="007E2B69">
        <w:rPr>
          <w:rFonts w:ascii="Times New Roman" w:eastAsia="Times New Roman" w:hAnsi="Times New Roman"/>
          <w:sz w:val="24"/>
          <w:szCs w:val="24"/>
          <w:lang w:val="sq-AL" w:eastAsia="fr-FR"/>
        </w:rPr>
        <w:t>pika</w:t>
      </w:r>
      <w:r w:rsidR="003B4309" w:rsidRPr="007E2B69">
        <w:rPr>
          <w:rFonts w:ascii="Times New Roman" w:eastAsia="Times New Roman" w:hAnsi="Times New Roman"/>
          <w:sz w:val="24"/>
          <w:szCs w:val="24"/>
          <w:lang w:val="sq-AL" w:eastAsia="fr-FR"/>
        </w:rPr>
        <w:t>t</w:t>
      </w:r>
      <w:r w:rsidR="00F15ABD" w:rsidRPr="007E2B69">
        <w:rPr>
          <w:rFonts w:ascii="Times New Roman" w:eastAsia="Times New Roman" w:hAnsi="Times New Roman"/>
          <w:sz w:val="24"/>
          <w:szCs w:val="24"/>
          <w:lang w:val="sq-AL" w:eastAsia="fr-FR"/>
        </w:rPr>
        <w:t xml:space="preserve"> </w:t>
      </w:r>
      <w:r w:rsidR="00E97A64" w:rsidRPr="007E2B69">
        <w:rPr>
          <w:rFonts w:ascii="Times New Roman" w:eastAsia="Times New Roman" w:hAnsi="Times New Roman"/>
          <w:sz w:val="24"/>
          <w:szCs w:val="24"/>
          <w:lang w:val="sq-AL" w:eastAsia="fr-FR"/>
        </w:rPr>
        <w:t xml:space="preserve">1 dhe </w:t>
      </w:r>
      <w:r w:rsidR="0012416F" w:rsidRPr="007E2B69">
        <w:rPr>
          <w:rFonts w:ascii="Times New Roman" w:eastAsia="Times New Roman" w:hAnsi="Times New Roman"/>
          <w:sz w:val="24"/>
          <w:szCs w:val="24"/>
          <w:lang w:val="sq-AL" w:eastAsia="fr-FR"/>
        </w:rPr>
        <w:t>4</w:t>
      </w:r>
      <w:r w:rsidR="00E97A64" w:rsidRPr="007E2B69">
        <w:rPr>
          <w:rFonts w:ascii="Times New Roman" w:eastAsia="Times New Roman" w:hAnsi="Times New Roman"/>
          <w:sz w:val="24"/>
          <w:szCs w:val="24"/>
          <w:lang w:val="sq-AL" w:eastAsia="fr-FR"/>
        </w:rPr>
        <w:t>,</w:t>
      </w:r>
      <w:r w:rsidR="00E97A64" w:rsidRPr="003B4309">
        <w:rPr>
          <w:rFonts w:ascii="Times New Roman" w:eastAsia="Times New Roman" w:hAnsi="Times New Roman"/>
          <w:sz w:val="24"/>
          <w:szCs w:val="24"/>
          <w:lang w:val="sq-AL" w:eastAsia="fr-FR"/>
        </w:rPr>
        <w:t xml:space="preserve"> </w:t>
      </w:r>
      <w:r w:rsidR="003B4309">
        <w:rPr>
          <w:rFonts w:ascii="Times New Roman" w:eastAsia="Times New Roman" w:hAnsi="Times New Roman"/>
          <w:sz w:val="24"/>
          <w:szCs w:val="24"/>
          <w:lang w:val="sq-AL" w:eastAsia="fr-FR"/>
        </w:rPr>
        <w:t xml:space="preserve">dhe </w:t>
      </w:r>
      <w:r w:rsidR="00E97A64" w:rsidRPr="003B4309">
        <w:rPr>
          <w:rFonts w:ascii="Times New Roman" w:eastAsia="Times New Roman" w:hAnsi="Times New Roman"/>
          <w:sz w:val="24"/>
          <w:szCs w:val="24"/>
          <w:lang w:val="sq-AL" w:eastAsia="fr-FR"/>
        </w:rPr>
        <w:t>81</w:t>
      </w:r>
      <w:r w:rsidR="00F15ABD" w:rsidRPr="003B4309">
        <w:rPr>
          <w:rFonts w:ascii="Times New Roman" w:eastAsia="Times New Roman" w:hAnsi="Times New Roman"/>
          <w:sz w:val="24"/>
          <w:szCs w:val="24"/>
          <w:lang w:val="sq-AL" w:eastAsia="fr-FR"/>
        </w:rPr>
        <w:t>, pika</w:t>
      </w:r>
      <w:r w:rsidR="003B4309">
        <w:rPr>
          <w:rFonts w:ascii="Times New Roman" w:eastAsia="Times New Roman" w:hAnsi="Times New Roman"/>
          <w:sz w:val="24"/>
          <w:szCs w:val="24"/>
          <w:lang w:val="sq-AL" w:eastAsia="fr-FR"/>
        </w:rPr>
        <w:t xml:space="preserve"> </w:t>
      </w:r>
      <w:r w:rsidR="00E97A64" w:rsidRPr="003B4309">
        <w:rPr>
          <w:rFonts w:ascii="Times New Roman" w:eastAsia="Times New Roman" w:hAnsi="Times New Roman"/>
          <w:sz w:val="24"/>
          <w:szCs w:val="24"/>
          <w:lang w:val="sq-AL" w:eastAsia="fr-FR"/>
        </w:rPr>
        <w:t xml:space="preserve">3 </w:t>
      </w:r>
      <w:r w:rsidRPr="003B4309">
        <w:rPr>
          <w:rFonts w:ascii="Times New Roman" w:eastAsia="Times New Roman" w:hAnsi="Times New Roman"/>
          <w:sz w:val="24"/>
          <w:szCs w:val="24"/>
          <w:lang w:val="sq-AL" w:eastAsia="fr-FR"/>
        </w:rPr>
        <w:t>të</w:t>
      </w:r>
      <w:r w:rsidRPr="00037FB1">
        <w:rPr>
          <w:rFonts w:ascii="Times New Roman" w:eastAsia="Times New Roman" w:hAnsi="Times New Roman"/>
          <w:sz w:val="24"/>
          <w:szCs w:val="24"/>
          <w:lang w:val="sq-AL" w:eastAsia="fr-FR"/>
        </w:rPr>
        <w:t xml:space="preserve"> ligjit nr. 8577, datë 10.02.2000 “Për organizimin dhe funksionimin e Gjykatës Kushtetuese të Republikës së Shqipërisë”, </w:t>
      </w:r>
      <w:r w:rsidR="00B9760D" w:rsidRPr="00037FB1">
        <w:rPr>
          <w:rFonts w:ascii="Times New Roman" w:eastAsia="Times New Roman" w:hAnsi="Times New Roman"/>
          <w:sz w:val="24"/>
          <w:szCs w:val="24"/>
          <w:lang w:val="sq-AL" w:eastAsia="fr-FR"/>
        </w:rPr>
        <w:t xml:space="preserve">me </w:t>
      </w:r>
      <w:r w:rsidRPr="00037FB1">
        <w:rPr>
          <w:rFonts w:ascii="Times New Roman" w:eastAsia="Times New Roman" w:hAnsi="Times New Roman"/>
          <w:sz w:val="24"/>
          <w:szCs w:val="24"/>
          <w:lang w:val="sq-AL" w:eastAsia="fr-FR"/>
        </w:rPr>
        <w:t>shumicë votash, </w:t>
      </w:r>
    </w:p>
    <w:p w:rsidR="007E2B69" w:rsidRPr="00037FB1" w:rsidRDefault="007E2B69" w:rsidP="0037360A">
      <w:pPr>
        <w:suppressAutoHyphens/>
        <w:spacing w:after="0" w:line="360" w:lineRule="auto"/>
        <w:jc w:val="both"/>
        <w:rPr>
          <w:rFonts w:ascii="Times New Roman" w:eastAsia="Times New Roman" w:hAnsi="Times New Roman"/>
          <w:sz w:val="24"/>
          <w:szCs w:val="24"/>
          <w:lang w:val="sq-AL" w:eastAsia="fr-FR"/>
        </w:rPr>
      </w:pPr>
    </w:p>
    <w:p w:rsidR="00E97A64" w:rsidRPr="00037FB1" w:rsidRDefault="00367EB7" w:rsidP="0037360A">
      <w:pPr>
        <w:suppressAutoHyphens/>
        <w:spacing w:after="0" w:line="360" w:lineRule="auto"/>
        <w:jc w:val="center"/>
        <w:rPr>
          <w:rFonts w:ascii="Times New Roman" w:eastAsia="Times New Roman" w:hAnsi="Times New Roman"/>
          <w:sz w:val="24"/>
          <w:szCs w:val="24"/>
          <w:lang w:val="sq-AL" w:eastAsia="fr-FR"/>
        </w:rPr>
      </w:pPr>
      <w:r w:rsidRPr="00037FB1">
        <w:rPr>
          <w:rFonts w:ascii="Times New Roman" w:eastAsia="Times New Roman" w:hAnsi="Times New Roman"/>
          <w:b/>
          <w:bCs/>
          <w:sz w:val="24"/>
          <w:szCs w:val="24"/>
          <w:lang w:val="sq-AL" w:eastAsia="fr-FR"/>
        </w:rPr>
        <w:t>V E N D O S I:</w:t>
      </w:r>
    </w:p>
    <w:p w:rsidR="00CD05C2" w:rsidRPr="00037FB1" w:rsidRDefault="00CD05C2" w:rsidP="0037360A">
      <w:pPr>
        <w:pStyle w:val="NormalWeb"/>
        <w:numPr>
          <w:ilvl w:val="0"/>
          <w:numId w:val="23"/>
        </w:numPr>
        <w:spacing w:before="0" w:beforeAutospacing="0" w:after="0" w:afterAutospacing="0" w:line="360" w:lineRule="auto"/>
        <w:ind w:left="1170" w:hanging="450"/>
        <w:jc w:val="both"/>
        <w:rPr>
          <w:lang w:val="sq-AL"/>
        </w:rPr>
      </w:pPr>
      <w:r w:rsidRPr="00037FB1">
        <w:rPr>
          <w:lang w:val="sq-AL"/>
        </w:rPr>
        <w:t>Pranimin pjesërisht të kërkesës.</w:t>
      </w:r>
    </w:p>
    <w:p w:rsidR="00CD05C2" w:rsidRPr="003B4309" w:rsidRDefault="00CD05C2" w:rsidP="0037360A">
      <w:pPr>
        <w:pStyle w:val="NormalWeb"/>
        <w:numPr>
          <w:ilvl w:val="0"/>
          <w:numId w:val="23"/>
        </w:numPr>
        <w:spacing w:before="0" w:beforeAutospacing="0" w:after="0" w:afterAutospacing="0" w:line="360" w:lineRule="auto"/>
        <w:ind w:left="1170" w:hanging="450"/>
        <w:jc w:val="both"/>
        <w:rPr>
          <w:lang w:val="sq-AL"/>
        </w:rPr>
      </w:pPr>
      <w:r w:rsidRPr="00037FB1">
        <w:rPr>
          <w:lang w:val="sq-AL"/>
        </w:rPr>
        <w:t>Shfuqizimin e shprehjes “</w:t>
      </w:r>
      <w:r w:rsidRPr="003B4309">
        <w:rPr>
          <w:lang w:val="sq-AL"/>
        </w:rPr>
        <w:t xml:space="preserve">deri në një urdhër të dytë” në pikën 1 të urdhrit nr. 633, datë 17.11.2020 të </w:t>
      </w:r>
      <w:r w:rsidR="003B4309">
        <w:rPr>
          <w:lang w:val="sq-AL"/>
        </w:rPr>
        <w:t>m</w:t>
      </w:r>
      <w:r w:rsidRPr="003B4309">
        <w:rPr>
          <w:lang w:val="sq-AL"/>
        </w:rPr>
        <w:t xml:space="preserve">inistrit </w:t>
      </w:r>
      <w:r w:rsidRPr="003B4309">
        <w:rPr>
          <w:bCs/>
          <w:lang w:val="sq-AL"/>
        </w:rPr>
        <w:t>të Shëndetësisë dhe Mbrojtjes Sociale</w:t>
      </w:r>
      <w:r w:rsidRPr="003B4309">
        <w:rPr>
          <w:lang w:val="sq-AL"/>
        </w:rPr>
        <w:t xml:space="preserve">.  </w:t>
      </w:r>
    </w:p>
    <w:p w:rsidR="00AE6634" w:rsidRPr="00037FB1" w:rsidRDefault="00CD05C2" w:rsidP="0037360A">
      <w:pPr>
        <w:pStyle w:val="NormalWeb"/>
        <w:numPr>
          <w:ilvl w:val="0"/>
          <w:numId w:val="23"/>
        </w:numPr>
        <w:spacing w:before="0" w:beforeAutospacing="0" w:after="0" w:afterAutospacing="0" w:line="360" w:lineRule="auto"/>
        <w:ind w:left="1170" w:hanging="450"/>
        <w:jc w:val="both"/>
        <w:rPr>
          <w:lang w:val="sq-AL"/>
        </w:rPr>
      </w:pPr>
      <w:r w:rsidRPr="00037FB1">
        <w:rPr>
          <w:lang w:val="sq-AL"/>
        </w:rPr>
        <w:t>Detyrimin e organit kompetent të rish</w:t>
      </w:r>
      <w:r w:rsidR="003B4309">
        <w:rPr>
          <w:lang w:val="sq-AL"/>
        </w:rPr>
        <w:t>ikojë kohëzgjatjen e kufizimeve</w:t>
      </w:r>
      <w:r w:rsidRPr="00037FB1">
        <w:rPr>
          <w:lang w:val="sq-AL"/>
        </w:rPr>
        <w:t xml:space="preserve"> brenda një jave nga shpallja e këtij vendimi.</w:t>
      </w:r>
    </w:p>
    <w:p w:rsidR="00367EB7" w:rsidRPr="00037FB1" w:rsidRDefault="00AE6634" w:rsidP="0037360A">
      <w:pPr>
        <w:spacing w:after="0" w:line="360" w:lineRule="auto"/>
        <w:ind w:left="284" w:firstLine="436"/>
        <w:jc w:val="both"/>
        <w:rPr>
          <w:rFonts w:ascii="Times New Roman" w:hAnsi="Times New Roman"/>
          <w:b/>
          <w:bCs/>
          <w:sz w:val="24"/>
          <w:szCs w:val="24"/>
          <w:lang w:val="sq-AL"/>
        </w:rPr>
      </w:pPr>
      <w:r w:rsidRPr="00037FB1">
        <w:rPr>
          <w:rFonts w:ascii="Times New Roman" w:hAnsi="Times New Roman"/>
          <w:sz w:val="24"/>
          <w:szCs w:val="24"/>
          <w:lang w:val="sq-AL"/>
        </w:rPr>
        <w:t xml:space="preserve">Ky vendim </w:t>
      </w:r>
      <w:r w:rsidRPr="00037FB1">
        <w:rPr>
          <w:rFonts w:ascii="Times New Roman" w:hAnsi="Times New Roman"/>
          <w:sz w:val="24"/>
          <w:szCs w:val="24"/>
          <w:shd w:val="clear" w:color="auto" w:fill="FFFFFF"/>
          <w:lang w:val="sq-AL"/>
        </w:rPr>
        <w:t xml:space="preserve">është përfundimtar dhe </w:t>
      </w:r>
      <w:r w:rsidR="001237A2" w:rsidRPr="00037FB1">
        <w:rPr>
          <w:rFonts w:ascii="Times New Roman" w:hAnsi="Times New Roman"/>
          <w:sz w:val="24"/>
          <w:szCs w:val="24"/>
          <w:lang w:val="sq-AL"/>
        </w:rPr>
        <w:t>hyn në fuqi</w:t>
      </w:r>
      <w:r w:rsidR="00A37DAB" w:rsidRPr="00037FB1">
        <w:rPr>
          <w:rFonts w:ascii="Times New Roman" w:hAnsi="Times New Roman"/>
          <w:sz w:val="24"/>
          <w:szCs w:val="24"/>
          <w:lang w:val="sq-AL"/>
        </w:rPr>
        <w:t xml:space="preserve"> ditën e </w:t>
      </w:r>
      <w:r w:rsidR="004609B0" w:rsidRPr="00037FB1">
        <w:rPr>
          <w:rFonts w:ascii="Times New Roman" w:hAnsi="Times New Roman"/>
          <w:sz w:val="24"/>
          <w:szCs w:val="24"/>
          <w:lang w:val="sq-AL"/>
        </w:rPr>
        <w:t>publikimit n</w:t>
      </w:r>
      <w:r w:rsidR="008E76A8" w:rsidRPr="00037FB1">
        <w:rPr>
          <w:rFonts w:ascii="Times New Roman" w:hAnsi="Times New Roman"/>
          <w:sz w:val="24"/>
          <w:szCs w:val="24"/>
          <w:lang w:val="sq-AL"/>
        </w:rPr>
        <w:t>ë</w:t>
      </w:r>
      <w:r w:rsidR="004609B0" w:rsidRPr="00037FB1">
        <w:rPr>
          <w:rFonts w:ascii="Times New Roman" w:hAnsi="Times New Roman"/>
          <w:sz w:val="24"/>
          <w:szCs w:val="24"/>
          <w:lang w:val="sq-AL"/>
        </w:rPr>
        <w:t xml:space="preserve"> Fletoren Zyrtare. </w:t>
      </w:r>
    </w:p>
    <w:p w:rsidR="00367EB7" w:rsidRPr="00037FB1" w:rsidRDefault="006364C3" w:rsidP="0037360A">
      <w:pPr>
        <w:spacing w:after="0" w:line="360" w:lineRule="auto"/>
        <w:contextualSpacing/>
        <w:rPr>
          <w:rFonts w:ascii="Times New Roman" w:eastAsia="Times New Roman" w:hAnsi="Times New Roman"/>
          <w:b/>
          <w:bCs/>
          <w:sz w:val="24"/>
          <w:szCs w:val="24"/>
          <w:lang w:val="sq-AL"/>
        </w:rPr>
      </w:pPr>
      <w:r w:rsidRPr="00037FB1">
        <w:rPr>
          <w:rFonts w:ascii="Times New Roman" w:eastAsia="Times New Roman" w:hAnsi="Times New Roman"/>
          <w:b/>
          <w:bCs/>
          <w:sz w:val="24"/>
          <w:szCs w:val="24"/>
          <w:lang w:val="sq-AL"/>
        </w:rPr>
        <w:t>Marrë më</w:t>
      </w:r>
      <w:r w:rsidR="00B85149" w:rsidRPr="00037FB1">
        <w:rPr>
          <w:rFonts w:ascii="Times New Roman" w:eastAsia="Times New Roman" w:hAnsi="Times New Roman"/>
          <w:b/>
          <w:bCs/>
          <w:sz w:val="24"/>
          <w:szCs w:val="24"/>
          <w:lang w:val="sq-AL"/>
        </w:rPr>
        <w:t xml:space="preserve"> 09.03.</w:t>
      </w:r>
      <w:r w:rsidR="00367EB7" w:rsidRPr="00037FB1">
        <w:rPr>
          <w:rFonts w:ascii="Times New Roman" w:eastAsia="Times New Roman" w:hAnsi="Times New Roman"/>
          <w:b/>
          <w:bCs/>
          <w:sz w:val="24"/>
          <w:szCs w:val="24"/>
          <w:lang w:val="sq-AL"/>
        </w:rPr>
        <w:t>2021</w:t>
      </w:r>
    </w:p>
    <w:p w:rsidR="006364C3" w:rsidRPr="00037FB1" w:rsidRDefault="006364C3" w:rsidP="0037360A">
      <w:pPr>
        <w:spacing w:after="0" w:line="360" w:lineRule="auto"/>
        <w:contextualSpacing/>
        <w:rPr>
          <w:rFonts w:ascii="Times New Roman" w:eastAsia="Times New Roman" w:hAnsi="Times New Roman"/>
          <w:b/>
          <w:bCs/>
          <w:sz w:val="24"/>
          <w:szCs w:val="24"/>
          <w:lang w:val="sq-AL"/>
        </w:rPr>
      </w:pPr>
      <w:r w:rsidRPr="00037FB1">
        <w:rPr>
          <w:rFonts w:ascii="Times New Roman" w:eastAsia="Times New Roman" w:hAnsi="Times New Roman"/>
          <w:b/>
          <w:bCs/>
          <w:sz w:val="24"/>
          <w:szCs w:val="24"/>
          <w:lang w:val="sq-AL"/>
        </w:rPr>
        <w:t xml:space="preserve">Shpallur më </w:t>
      </w:r>
      <w:r w:rsidR="008010E7">
        <w:rPr>
          <w:rFonts w:ascii="Times New Roman" w:eastAsia="Times New Roman" w:hAnsi="Times New Roman"/>
          <w:b/>
          <w:bCs/>
          <w:sz w:val="24"/>
          <w:szCs w:val="24"/>
          <w:lang w:val="sq-AL"/>
        </w:rPr>
        <w:t>18</w:t>
      </w:r>
      <w:r w:rsidR="007E2B69">
        <w:rPr>
          <w:rFonts w:ascii="Times New Roman" w:eastAsia="Times New Roman" w:hAnsi="Times New Roman"/>
          <w:b/>
          <w:bCs/>
          <w:sz w:val="24"/>
          <w:szCs w:val="24"/>
          <w:lang w:val="sq-AL"/>
        </w:rPr>
        <w:t>.03.2021</w:t>
      </w:r>
    </w:p>
    <w:p w:rsidR="00367EB7" w:rsidRPr="00037FB1" w:rsidRDefault="00367EB7" w:rsidP="0037360A">
      <w:pPr>
        <w:spacing w:after="0" w:line="360" w:lineRule="auto"/>
        <w:rPr>
          <w:rFonts w:ascii="Times New Roman" w:eastAsia="Times New Roman" w:hAnsi="Times New Roman"/>
          <w:b/>
          <w:bCs/>
          <w:color w:val="000000"/>
          <w:sz w:val="24"/>
          <w:szCs w:val="24"/>
          <w:lang w:val="sq-AL"/>
        </w:rPr>
      </w:pPr>
    </w:p>
    <w:p w:rsidR="00397016" w:rsidRDefault="00397016" w:rsidP="00CB7B24">
      <w:pPr>
        <w:spacing w:line="360" w:lineRule="auto"/>
        <w:ind w:left="2880" w:firstLine="720"/>
        <w:rPr>
          <w:rFonts w:ascii="Times New Roman" w:hAnsi="Times New Roman"/>
          <w:b/>
          <w:sz w:val="28"/>
          <w:szCs w:val="28"/>
          <w:lang w:val="sq-AL"/>
        </w:rPr>
      </w:pPr>
    </w:p>
    <w:p w:rsidR="00A94084" w:rsidRDefault="00A94084" w:rsidP="00CB7B24">
      <w:pPr>
        <w:spacing w:line="360" w:lineRule="auto"/>
        <w:ind w:left="2880" w:firstLine="720"/>
        <w:rPr>
          <w:rFonts w:ascii="Times New Roman" w:hAnsi="Times New Roman"/>
          <w:b/>
          <w:sz w:val="28"/>
          <w:szCs w:val="28"/>
          <w:lang w:val="sq-AL"/>
        </w:rPr>
      </w:pPr>
    </w:p>
    <w:p w:rsidR="00416201" w:rsidRDefault="00416201" w:rsidP="00CB7B24">
      <w:pPr>
        <w:spacing w:line="360" w:lineRule="auto"/>
        <w:ind w:left="2880" w:firstLine="720"/>
        <w:rPr>
          <w:rFonts w:ascii="Times New Roman" w:hAnsi="Times New Roman"/>
          <w:b/>
          <w:sz w:val="28"/>
          <w:szCs w:val="28"/>
          <w:lang w:val="sq-AL"/>
        </w:rPr>
      </w:pPr>
    </w:p>
    <w:p w:rsidR="00416201" w:rsidRDefault="00416201" w:rsidP="00CB7B24">
      <w:pPr>
        <w:spacing w:line="360" w:lineRule="auto"/>
        <w:ind w:left="2880" w:firstLine="720"/>
        <w:rPr>
          <w:rFonts w:ascii="Times New Roman" w:hAnsi="Times New Roman"/>
          <w:b/>
          <w:sz w:val="28"/>
          <w:szCs w:val="28"/>
          <w:lang w:val="sq-AL"/>
        </w:rPr>
      </w:pPr>
    </w:p>
    <w:p w:rsidR="00416201" w:rsidRDefault="00416201" w:rsidP="00CB7B24">
      <w:pPr>
        <w:spacing w:line="360" w:lineRule="auto"/>
        <w:ind w:left="2880" w:firstLine="720"/>
        <w:rPr>
          <w:rFonts w:ascii="Times New Roman" w:hAnsi="Times New Roman"/>
          <w:b/>
          <w:sz w:val="28"/>
          <w:szCs w:val="28"/>
          <w:lang w:val="sq-AL"/>
        </w:rPr>
      </w:pPr>
    </w:p>
    <w:p w:rsidR="00416201" w:rsidRDefault="00416201" w:rsidP="00CB7B24">
      <w:pPr>
        <w:spacing w:line="360" w:lineRule="auto"/>
        <w:ind w:left="2880" w:firstLine="720"/>
        <w:rPr>
          <w:rFonts w:ascii="Times New Roman" w:hAnsi="Times New Roman"/>
          <w:b/>
          <w:sz w:val="28"/>
          <w:szCs w:val="28"/>
          <w:lang w:val="sq-AL"/>
        </w:rPr>
      </w:pPr>
    </w:p>
    <w:p w:rsidR="00416201" w:rsidRDefault="00416201" w:rsidP="00CB7B24">
      <w:pPr>
        <w:spacing w:line="360" w:lineRule="auto"/>
        <w:ind w:left="2880" w:firstLine="720"/>
        <w:rPr>
          <w:rFonts w:ascii="Times New Roman" w:hAnsi="Times New Roman"/>
          <w:b/>
          <w:sz w:val="28"/>
          <w:szCs w:val="28"/>
          <w:lang w:val="sq-AL"/>
        </w:rPr>
      </w:pPr>
    </w:p>
    <w:p w:rsidR="00416201" w:rsidRDefault="00416201" w:rsidP="00CB7B24">
      <w:pPr>
        <w:spacing w:line="360" w:lineRule="auto"/>
        <w:ind w:left="2880" w:firstLine="720"/>
        <w:rPr>
          <w:rFonts w:ascii="Times New Roman" w:hAnsi="Times New Roman"/>
          <w:b/>
          <w:sz w:val="28"/>
          <w:szCs w:val="28"/>
          <w:lang w:val="sq-AL"/>
        </w:rPr>
      </w:pPr>
    </w:p>
    <w:p w:rsidR="00416201" w:rsidRDefault="00416201" w:rsidP="00CB7B24">
      <w:pPr>
        <w:spacing w:line="360" w:lineRule="auto"/>
        <w:ind w:left="2880" w:firstLine="720"/>
        <w:rPr>
          <w:rFonts w:ascii="Times New Roman" w:hAnsi="Times New Roman"/>
          <w:b/>
          <w:sz w:val="28"/>
          <w:szCs w:val="28"/>
          <w:lang w:val="sq-AL"/>
        </w:rPr>
      </w:pPr>
    </w:p>
    <w:p w:rsidR="00416201" w:rsidRDefault="00416201" w:rsidP="00CB7B24">
      <w:pPr>
        <w:spacing w:line="360" w:lineRule="auto"/>
        <w:ind w:left="2880" w:firstLine="720"/>
        <w:rPr>
          <w:rFonts w:ascii="Times New Roman" w:hAnsi="Times New Roman"/>
          <w:b/>
          <w:sz w:val="28"/>
          <w:szCs w:val="28"/>
          <w:lang w:val="sq-AL"/>
        </w:rPr>
      </w:pPr>
    </w:p>
    <w:p w:rsidR="00416201" w:rsidRDefault="00416201" w:rsidP="00CB7B24">
      <w:pPr>
        <w:spacing w:line="360" w:lineRule="auto"/>
        <w:ind w:left="2880" w:firstLine="720"/>
        <w:rPr>
          <w:rFonts w:ascii="Times New Roman" w:hAnsi="Times New Roman"/>
          <w:b/>
          <w:sz w:val="28"/>
          <w:szCs w:val="28"/>
          <w:lang w:val="sq-AL"/>
        </w:rPr>
      </w:pPr>
    </w:p>
    <w:p w:rsidR="00416201" w:rsidRDefault="00416201" w:rsidP="00CB7B24">
      <w:pPr>
        <w:spacing w:line="360" w:lineRule="auto"/>
        <w:ind w:left="2880" w:firstLine="720"/>
        <w:rPr>
          <w:rFonts w:ascii="Times New Roman" w:hAnsi="Times New Roman"/>
          <w:b/>
          <w:sz w:val="28"/>
          <w:szCs w:val="28"/>
          <w:lang w:val="sq-AL"/>
        </w:rPr>
      </w:pPr>
    </w:p>
    <w:p w:rsidR="00CB7B24" w:rsidRPr="00416201" w:rsidRDefault="00416201" w:rsidP="00CB7B24">
      <w:pPr>
        <w:spacing w:line="360" w:lineRule="auto"/>
        <w:ind w:left="2880" w:firstLine="720"/>
        <w:rPr>
          <w:rFonts w:ascii="Times New Roman" w:hAnsi="Times New Roman"/>
          <w:b/>
          <w:sz w:val="24"/>
          <w:szCs w:val="24"/>
          <w:lang w:val="sq-AL"/>
        </w:rPr>
      </w:pPr>
      <w:r>
        <w:rPr>
          <w:rFonts w:ascii="Times New Roman" w:hAnsi="Times New Roman"/>
          <w:b/>
          <w:sz w:val="24"/>
          <w:szCs w:val="24"/>
          <w:lang w:val="sq-AL"/>
        </w:rPr>
        <w:t>M</w:t>
      </w:r>
      <w:r w:rsidR="00CB7B24" w:rsidRPr="00416201">
        <w:rPr>
          <w:rFonts w:ascii="Times New Roman" w:hAnsi="Times New Roman"/>
          <w:b/>
          <w:sz w:val="24"/>
          <w:szCs w:val="24"/>
          <w:lang w:val="sq-AL"/>
        </w:rPr>
        <w:t>endim pakice</w:t>
      </w:r>
    </w:p>
    <w:p w:rsidR="00CB7B24" w:rsidRPr="003C0812" w:rsidRDefault="00CB7B24" w:rsidP="00CB7B24">
      <w:pPr>
        <w:spacing w:after="0" w:line="360" w:lineRule="auto"/>
        <w:ind w:firstLine="720"/>
        <w:jc w:val="both"/>
        <w:rPr>
          <w:rFonts w:ascii="Times New Roman" w:hAnsi="Times New Roman"/>
          <w:sz w:val="24"/>
          <w:szCs w:val="24"/>
          <w:lang w:val="sq-AL"/>
        </w:rPr>
      </w:pPr>
      <w:r>
        <w:rPr>
          <w:rFonts w:ascii="Times New Roman" w:hAnsi="Times New Roman"/>
          <w:sz w:val="24"/>
          <w:szCs w:val="24"/>
          <w:lang w:val="sq-AL"/>
        </w:rPr>
        <w:t xml:space="preserve">1. </w:t>
      </w:r>
      <w:r w:rsidRPr="003C0812">
        <w:rPr>
          <w:rFonts w:ascii="Times New Roman" w:hAnsi="Times New Roman"/>
          <w:sz w:val="24"/>
          <w:szCs w:val="24"/>
          <w:lang w:val="sq-AL"/>
        </w:rPr>
        <w:t>Për arsye se nuk ndajmë të njëjtin qëndrim me shumicën lidhur me përfundimin e arritur në këtë çështje dhe argumentet mbi të cilat mbështetet ky qëndrim, e çmojmë të rëndësishme të shprehemi me mendim pakice.</w:t>
      </w:r>
    </w:p>
    <w:p w:rsidR="00CB7B24" w:rsidRPr="003C0812" w:rsidRDefault="00CB7B24" w:rsidP="00CB7B24">
      <w:pPr>
        <w:spacing w:after="0" w:line="360" w:lineRule="auto"/>
        <w:ind w:firstLine="720"/>
        <w:jc w:val="both"/>
        <w:rPr>
          <w:rFonts w:ascii="Times New Roman" w:hAnsi="Times New Roman"/>
          <w:sz w:val="24"/>
          <w:szCs w:val="24"/>
          <w:lang w:val="sq-AL"/>
        </w:rPr>
      </w:pPr>
      <w:r>
        <w:rPr>
          <w:rFonts w:ascii="Times New Roman" w:hAnsi="Times New Roman"/>
          <w:sz w:val="24"/>
          <w:szCs w:val="24"/>
          <w:lang w:val="sq-AL"/>
        </w:rPr>
        <w:t>2.</w:t>
      </w:r>
      <w:r w:rsidRPr="003C0812">
        <w:rPr>
          <w:rFonts w:ascii="Times New Roman" w:hAnsi="Times New Roman"/>
          <w:sz w:val="24"/>
          <w:szCs w:val="24"/>
          <w:lang w:val="sq-AL"/>
        </w:rPr>
        <w:t xml:space="preserve"> Shumica argumenton se: “Gjykata vlerëson gjithashtu se si rregull, çdo kufizim i të drejtave, në vetvete duhet të ketë elementin e përkohshmërisë. Po ashtu, parimi i proporcionalitetit kë</w:t>
      </w:r>
      <w:r>
        <w:rPr>
          <w:rFonts w:ascii="Times New Roman" w:hAnsi="Times New Roman"/>
          <w:sz w:val="24"/>
          <w:szCs w:val="24"/>
          <w:lang w:val="sq-AL"/>
        </w:rPr>
        <w:t>rkon që sa më i madh të jetë kuf</w:t>
      </w:r>
      <w:r w:rsidRPr="003C0812">
        <w:rPr>
          <w:rFonts w:ascii="Times New Roman" w:hAnsi="Times New Roman"/>
          <w:sz w:val="24"/>
          <w:szCs w:val="24"/>
          <w:lang w:val="sq-AL"/>
        </w:rPr>
        <w:t>izimi aq më i detajuar dhe bindës duhet të jetë justifikimi i tij. Në këtë këndvështrim, mënyrat alternative të ushtrimit të lirisë së shprehjes dhe të së drejtës së tubimit e justifikojnë konceptin e kufizimit të përkohshëm të tyre. Megjithatë, kur këto kufizime zgjasin pa afat, duke humbur karakteristikën e përkohshmërisë dhe për kohëzgjatjen e pacaktuar nuk jepet justifikim, ato shndërrohen në ndalim tërësor të kësaj të drejte, duke zbehur rolin që luajnë mënyrat alternative.” (</w:t>
      </w:r>
      <w:r w:rsidRPr="003C0812">
        <w:rPr>
          <w:rFonts w:ascii="Times New Roman" w:hAnsi="Times New Roman"/>
          <w:i/>
          <w:sz w:val="24"/>
          <w:szCs w:val="24"/>
          <w:lang w:val="sq-AL"/>
        </w:rPr>
        <w:t>prg.6</w:t>
      </w:r>
      <w:r>
        <w:rPr>
          <w:rFonts w:ascii="Times New Roman" w:hAnsi="Times New Roman"/>
          <w:i/>
          <w:sz w:val="24"/>
          <w:szCs w:val="24"/>
          <w:lang w:val="sq-AL"/>
        </w:rPr>
        <w:t>7</w:t>
      </w:r>
      <w:r w:rsidRPr="003C0812">
        <w:rPr>
          <w:rFonts w:ascii="Times New Roman" w:hAnsi="Times New Roman"/>
          <w:i/>
          <w:sz w:val="24"/>
          <w:szCs w:val="24"/>
          <w:lang w:val="sq-AL"/>
        </w:rPr>
        <w:t xml:space="preserve"> i vendimit</w:t>
      </w:r>
      <w:r w:rsidRPr="003C0812">
        <w:rPr>
          <w:rFonts w:ascii="Times New Roman" w:hAnsi="Times New Roman"/>
          <w:sz w:val="24"/>
          <w:szCs w:val="24"/>
          <w:lang w:val="sq-AL"/>
        </w:rPr>
        <w:t>). Për sa më lart, Gjykata vëren se urdhri nr. 663/2020, në pikën 1 të tij përmban shprehjen “deri në një urdhër të dytë” që tregon se nuk ka një afat të qartë se kur këto masa kufizuese përfundojnë apo rishikohen. Konkretisht, nga hyrja në fuqi e tij e deri aktualisht, ky urdhër nuk është rishikuar  (</w:t>
      </w:r>
      <w:r w:rsidRPr="003C0812">
        <w:rPr>
          <w:rFonts w:ascii="Times New Roman" w:hAnsi="Times New Roman"/>
          <w:i/>
          <w:sz w:val="24"/>
          <w:szCs w:val="24"/>
          <w:lang w:val="sq-AL"/>
        </w:rPr>
        <w:t>prg.6</w:t>
      </w:r>
      <w:r>
        <w:rPr>
          <w:rFonts w:ascii="Times New Roman" w:hAnsi="Times New Roman"/>
          <w:i/>
          <w:sz w:val="24"/>
          <w:szCs w:val="24"/>
          <w:lang w:val="sq-AL"/>
        </w:rPr>
        <w:t>8</w:t>
      </w:r>
      <w:r w:rsidRPr="003C0812">
        <w:rPr>
          <w:rFonts w:ascii="Times New Roman" w:hAnsi="Times New Roman"/>
          <w:i/>
          <w:sz w:val="24"/>
          <w:szCs w:val="24"/>
          <w:lang w:val="sq-AL"/>
        </w:rPr>
        <w:t xml:space="preserve"> i vendimit</w:t>
      </w:r>
      <w:r w:rsidRPr="003C0812">
        <w:rPr>
          <w:rFonts w:ascii="Times New Roman" w:hAnsi="Times New Roman"/>
          <w:sz w:val="24"/>
          <w:szCs w:val="24"/>
          <w:lang w:val="sq-AL"/>
        </w:rPr>
        <w:t xml:space="preserve">). Në vlerësimin e Gjykatës termi “deri në një urdhër të dytë” krijon problematikë në dy drejtime: </w:t>
      </w:r>
      <w:r w:rsidRPr="003C0812">
        <w:rPr>
          <w:rFonts w:ascii="Times New Roman" w:hAnsi="Times New Roman"/>
          <w:i/>
          <w:sz w:val="24"/>
          <w:szCs w:val="24"/>
          <w:lang w:val="sq-AL"/>
        </w:rPr>
        <w:t>së pari</w:t>
      </w:r>
      <w:r w:rsidRPr="003C0812">
        <w:rPr>
          <w:rFonts w:ascii="Times New Roman" w:hAnsi="Times New Roman"/>
          <w:sz w:val="24"/>
          <w:szCs w:val="24"/>
          <w:lang w:val="sq-AL"/>
        </w:rPr>
        <w:t>, nuk detyron autoritetet përgjegjëse të bëjnë vlerësim periodik për masat kufizuese të përcaktuar</w:t>
      </w:r>
      <w:r>
        <w:rPr>
          <w:rFonts w:ascii="Times New Roman" w:hAnsi="Times New Roman"/>
          <w:sz w:val="24"/>
          <w:szCs w:val="24"/>
          <w:lang w:val="sq-AL"/>
        </w:rPr>
        <w:t>a</w:t>
      </w:r>
      <w:r w:rsidRPr="003C0812">
        <w:rPr>
          <w:rFonts w:ascii="Times New Roman" w:hAnsi="Times New Roman"/>
          <w:sz w:val="24"/>
          <w:szCs w:val="24"/>
          <w:lang w:val="sq-AL"/>
        </w:rPr>
        <w:t xml:space="preserve"> me urdhrin në fjalë dhe </w:t>
      </w:r>
      <w:r w:rsidRPr="003C0812">
        <w:rPr>
          <w:rFonts w:ascii="Times New Roman" w:hAnsi="Times New Roman"/>
          <w:i/>
          <w:sz w:val="24"/>
          <w:szCs w:val="24"/>
          <w:lang w:val="sq-AL"/>
        </w:rPr>
        <w:t>së dyti,</w:t>
      </w:r>
      <w:r w:rsidRPr="003C0812">
        <w:rPr>
          <w:rFonts w:ascii="Times New Roman" w:hAnsi="Times New Roman"/>
          <w:sz w:val="24"/>
          <w:szCs w:val="24"/>
          <w:lang w:val="sq-AL"/>
        </w:rPr>
        <w:t xml:space="preserve"> nuk i përgjigjet standardit të </w:t>
      </w:r>
      <w:r w:rsidRPr="003C0812">
        <w:rPr>
          <w:rFonts w:ascii="Times New Roman" w:hAnsi="Times New Roman"/>
          <w:iCs/>
          <w:sz w:val="24"/>
          <w:szCs w:val="24"/>
          <w:lang w:val="sq-AL"/>
        </w:rPr>
        <w:t xml:space="preserve">proporcionalitetit. Kjo çështje merr edhe më shumë rëndësi po të merret në konsideratë </w:t>
      </w:r>
      <w:r>
        <w:rPr>
          <w:rFonts w:ascii="Times New Roman" w:hAnsi="Times New Roman"/>
          <w:iCs/>
          <w:sz w:val="24"/>
          <w:szCs w:val="24"/>
          <w:lang w:val="sq-AL"/>
        </w:rPr>
        <w:t>se</w:t>
      </w:r>
      <w:r w:rsidRPr="003C0812">
        <w:rPr>
          <w:rFonts w:ascii="Times New Roman" w:hAnsi="Times New Roman"/>
          <w:iCs/>
          <w:sz w:val="24"/>
          <w:szCs w:val="24"/>
          <w:lang w:val="sq-AL"/>
        </w:rPr>
        <w:t xml:space="preserve"> vendi tashmë është në prag të zgjedhjeve parlamentare.</w:t>
      </w:r>
      <w:r w:rsidRPr="003C0812">
        <w:rPr>
          <w:rFonts w:ascii="Times New Roman" w:hAnsi="Times New Roman"/>
          <w:sz w:val="24"/>
          <w:szCs w:val="24"/>
          <w:lang w:val="sq-AL"/>
        </w:rPr>
        <w:t xml:space="preserve">” </w:t>
      </w:r>
      <w:r w:rsidRPr="003C0812">
        <w:rPr>
          <w:rFonts w:ascii="Times New Roman" w:hAnsi="Times New Roman"/>
          <w:i/>
          <w:sz w:val="24"/>
          <w:szCs w:val="24"/>
          <w:lang w:val="sq-AL"/>
        </w:rPr>
        <w:t>(prg. 6</w:t>
      </w:r>
      <w:r>
        <w:rPr>
          <w:rFonts w:ascii="Times New Roman" w:hAnsi="Times New Roman"/>
          <w:i/>
          <w:sz w:val="24"/>
          <w:szCs w:val="24"/>
          <w:lang w:val="sq-AL"/>
        </w:rPr>
        <w:t>9</w:t>
      </w:r>
      <w:r w:rsidRPr="003C0812">
        <w:rPr>
          <w:rFonts w:ascii="Times New Roman" w:hAnsi="Times New Roman"/>
          <w:i/>
          <w:sz w:val="24"/>
          <w:szCs w:val="24"/>
          <w:lang w:val="sq-AL"/>
        </w:rPr>
        <w:t xml:space="preserve"> i vendimit).</w:t>
      </w:r>
      <w:r w:rsidRPr="003C0812">
        <w:rPr>
          <w:rFonts w:ascii="Times New Roman" w:hAnsi="Times New Roman"/>
          <w:sz w:val="24"/>
          <w:szCs w:val="24"/>
          <w:lang w:val="sq-AL"/>
        </w:rPr>
        <w:t xml:space="preserve">  </w:t>
      </w:r>
    </w:p>
    <w:p w:rsidR="00CB7B24" w:rsidRPr="003C0812" w:rsidRDefault="00CB7B24" w:rsidP="00CB7B24">
      <w:pPr>
        <w:spacing w:after="0" w:line="360" w:lineRule="auto"/>
        <w:ind w:firstLine="720"/>
        <w:jc w:val="both"/>
        <w:rPr>
          <w:rFonts w:ascii="Times New Roman" w:hAnsi="Times New Roman"/>
          <w:sz w:val="24"/>
          <w:szCs w:val="24"/>
          <w:lang w:val="sq-AL"/>
        </w:rPr>
      </w:pPr>
      <w:r>
        <w:rPr>
          <w:rFonts w:ascii="Times New Roman" w:hAnsi="Times New Roman"/>
          <w:sz w:val="24"/>
          <w:szCs w:val="24"/>
          <w:lang w:val="sq-AL"/>
        </w:rPr>
        <w:t>3</w:t>
      </w:r>
      <w:r w:rsidRPr="003C0812">
        <w:rPr>
          <w:rFonts w:ascii="Times New Roman" w:hAnsi="Times New Roman"/>
          <w:sz w:val="24"/>
          <w:szCs w:val="24"/>
          <w:lang w:val="sq-AL"/>
        </w:rPr>
        <w:t xml:space="preserve">. Në thelb, shumica ka arritur në konkluzionin e shfuqizimit të </w:t>
      </w:r>
      <w:r>
        <w:rPr>
          <w:rFonts w:ascii="Times New Roman" w:hAnsi="Times New Roman"/>
          <w:sz w:val="24"/>
          <w:szCs w:val="24"/>
          <w:lang w:val="sq-AL"/>
        </w:rPr>
        <w:t>u</w:t>
      </w:r>
      <w:r w:rsidRPr="003C0812">
        <w:rPr>
          <w:rFonts w:ascii="Times New Roman" w:hAnsi="Times New Roman"/>
          <w:sz w:val="24"/>
          <w:szCs w:val="24"/>
          <w:lang w:val="sq-AL"/>
        </w:rPr>
        <w:t>rdhrit  nr.</w:t>
      </w:r>
      <w:r>
        <w:rPr>
          <w:rFonts w:ascii="Times New Roman" w:hAnsi="Times New Roman"/>
          <w:sz w:val="24"/>
          <w:szCs w:val="24"/>
          <w:lang w:val="sq-AL"/>
        </w:rPr>
        <w:t xml:space="preserve"> </w:t>
      </w:r>
      <w:r w:rsidRPr="003C0812">
        <w:rPr>
          <w:rFonts w:ascii="Times New Roman" w:hAnsi="Times New Roman"/>
          <w:sz w:val="24"/>
          <w:szCs w:val="24"/>
          <w:lang w:val="sq-AL"/>
        </w:rPr>
        <w:t>633/2020, vetëm për pjesën “deri në një urdhër të dytë”, pasi akti i kundërshtuar nuk respekton kriterin e proporcionalitetit, sipas nenit 17 të Kushtetutës, për shkak të mosparashikimit të një afati të përcaktuar për kohëzgjatjen e masave kufizuese  (</w:t>
      </w:r>
      <w:r w:rsidRPr="003C0812">
        <w:rPr>
          <w:rFonts w:ascii="Times New Roman" w:hAnsi="Times New Roman"/>
          <w:i/>
          <w:sz w:val="24"/>
          <w:szCs w:val="24"/>
          <w:lang w:val="sq-AL"/>
        </w:rPr>
        <w:t>prg.</w:t>
      </w:r>
      <w:r>
        <w:rPr>
          <w:rFonts w:ascii="Times New Roman" w:hAnsi="Times New Roman"/>
          <w:i/>
          <w:sz w:val="24"/>
          <w:szCs w:val="24"/>
          <w:lang w:val="sq-AL"/>
        </w:rPr>
        <w:t>70</w:t>
      </w:r>
      <w:r w:rsidRPr="003C0812">
        <w:rPr>
          <w:rFonts w:ascii="Times New Roman" w:hAnsi="Times New Roman"/>
          <w:i/>
          <w:sz w:val="24"/>
          <w:szCs w:val="24"/>
          <w:lang w:val="sq-AL"/>
        </w:rPr>
        <w:t xml:space="preserve"> i vendimit).</w:t>
      </w:r>
      <w:r w:rsidRPr="003C0812">
        <w:rPr>
          <w:rFonts w:ascii="Times New Roman" w:hAnsi="Times New Roman"/>
          <w:sz w:val="24"/>
          <w:szCs w:val="24"/>
          <w:lang w:val="sq-AL"/>
        </w:rPr>
        <w:t xml:space="preserve"> Po kështu</w:t>
      </w:r>
      <w:r>
        <w:rPr>
          <w:rFonts w:ascii="Times New Roman" w:hAnsi="Times New Roman"/>
          <w:sz w:val="24"/>
          <w:szCs w:val="24"/>
          <w:lang w:val="sq-AL"/>
        </w:rPr>
        <w:t>,</w:t>
      </w:r>
      <w:r w:rsidRPr="003C0812">
        <w:rPr>
          <w:rFonts w:ascii="Times New Roman" w:hAnsi="Times New Roman"/>
          <w:sz w:val="24"/>
          <w:szCs w:val="24"/>
          <w:lang w:val="sq-AL"/>
        </w:rPr>
        <w:t xml:space="preserve"> ajo ka urdhëruar detyrimin e organit kompetent të rishikojë kohëzgjatjen e kufizimeve, brenda një jave nga shpallja e këtij vendimi (</w:t>
      </w:r>
      <w:r w:rsidRPr="003C0812">
        <w:rPr>
          <w:rFonts w:ascii="Times New Roman" w:hAnsi="Times New Roman"/>
          <w:i/>
          <w:sz w:val="24"/>
          <w:szCs w:val="24"/>
          <w:lang w:val="sq-AL"/>
        </w:rPr>
        <w:t>p</w:t>
      </w:r>
      <w:r>
        <w:rPr>
          <w:rFonts w:ascii="Times New Roman" w:hAnsi="Times New Roman"/>
          <w:i/>
          <w:sz w:val="24"/>
          <w:szCs w:val="24"/>
          <w:lang w:val="sq-AL"/>
        </w:rPr>
        <w:t xml:space="preserve">jesa e tretë </w:t>
      </w:r>
      <w:r w:rsidRPr="003C0812">
        <w:rPr>
          <w:rFonts w:ascii="Times New Roman" w:hAnsi="Times New Roman"/>
          <w:i/>
          <w:sz w:val="24"/>
          <w:szCs w:val="24"/>
          <w:lang w:val="sq-AL"/>
        </w:rPr>
        <w:t xml:space="preserve"> e dispozitivit të vendimit</w:t>
      </w:r>
      <w:r w:rsidRPr="003C0812">
        <w:rPr>
          <w:rFonts w:ascii="Times New Roman" w:hAnsi="Times New Roman"/>
          <w:sz w:val="24"/>
          <w:szCs w:val="24"/>
          <w:lang w:val="sq-AL"/>
        </w:rPr>
        <w:t>).</w:t>
      </w:r>
    </w:p>
    <w:p w:rsidR="00CB7B24" w:rsidRPr="003C0812" w:rsidRDefault="00CB7B24" w:rsidP="00CB7B24">
      <w:pPr>
        <w:spacing w:after="0" w:line="360" w:lineRule="auto"/>
        <w:ind w:firstLine="720"/>
        <w:jc w:val="both"/>
        <w:rPr>
          <w:rFonts w:ascii="Times New Roman" w:eastAsia="Times New Roman" w:hAnsi="Times New Roman"/>
          <w:sz w:val="24"/>
          <w:szCs w:val="24"/>
          <w:lang w:val="sq-AL"/>
        </w:rPr>
      </w:pPr>
      <w:r>
        <w:rPr>
          <w:rFonts w:ascii="Times New Roman" w:eastAsia="Times New Roman" w:hAnsi="Times New Roman"/>
          <w:sz w:val="24"/>
          <w:szCs w:val="24"/>
          <w:lang w:val="sq-AL"/>
        </w:rPr>
        <w:t>4</w:t>
      </w:r>
      <w:r w:rsidRPr="003C0812">
        <w:rPr>
          <w:rFonts w:ascii="Times New Roman" w:eastAsia="Times New Roman" w:hAnsi="Times New Roman"/>
          <w:sz w:val="24"/>
          <w:szCs w:val="24"/>
          <w:lang w:val="sq-AL"/>
        </w:rPr>
        <w:t>. Ne, gjyqtarët në pakicë, në mënyrë të përmbledhur</w:t>
      </w:r>
      <w:r>
        <w:rPr>
          <w:rFonts w:ascii="Times New Roman" w:eastAsia="Times New Roman" w:hAnsi="Times New Roman"/>
          <w:sz w:val="24"/>
          <w:szCs w:val="24"/>
          <w:lang w:val="sq-AL"/>
        </w:rPr>
        <w:t>,</w:t>
      </w:r>
      <w:r w:rsidRPr="003C0812">
        <w:rPr>
          <w:rFonts w:ascii="Times New Roman" w:eastAsia="Times New Roman" w:hAnsi="Times New Roman"/>
          <w:sz w:val="24"/>
          <w:szCs w:val="24"/>
          <w:lang w:val="sq-AL"/>
        </w:rPr>
        <w:t xml:space="preserve"> vlerësojmë:</w:t>
      </w:r>
    </w:p>
    <w:p w:rsidR="00CB7B24" w:rsidRPr="003C0812" w:rsidRDefault="00CB7B24" w:rsidP="00CB7B24">
      <w:pPr>
        <w:spacing w:after="0" w:line="360" w:lineRule="auto"/>
        <w:ind w:left="1350" w:hanging="540"/>
        <w:jc w:val="both"/>
        <w:rPr>
          <w:rFonts w:ascii="Times New Roman" w:eastAsia="Times New Roman" w:hAnsi="Times New Roman"/>
          <w:sz w:val="24"/>
          <w:szCs w:val="24"/>
          <w:lang w:val="sq-AL"/>
        </w:rPr>
      </w:pPr>
      <w:r>
        <w:rPr>
          <w:rFonts w:ascii="Times New Roman" w:eastAsia="Times New Roman" w:hAnsi="Times New Roman"/>
          <w:sz w:val="24"/>
          <w:szCs w:val="24"/>
          <w:lang w:val="sq-AL"/>
        </w:rPr>
        <w:t>4</w:t>
      </w:r>
      <w:r w:rsidRPr="003C0812">
        <w:rPr>
          <w:rFonts w:ascii="Times New Roman" w:eastAsia="Times New Roman" w:hAnsi="Times New Roman"/>
          <w:sz w:val="24"/>
          <w:szCs w:val="24"/>
          <w:lang w:val="sq-AL"/>
        </w:rPr>
        <w:t xml:space="preserve">.1. Urdhri nr.633/2020, objekt kundërshtimi, e plotëson kriterin kushtetues të proporcionalitetit në vështrim të nenit 17 të Kushtetutës, edhe duke përfshirë shprehjen “deri në një urdhër të dytë”, pasi </w:t>
      </w:r>
      <w:r>
        <w:rPr>
          <w:rFonts w:ascii="Times New Roman" w:eastAsia="Times New Roman" w:hAnsi="Times New Roman"/>
          <w:sz w:val="24"/>
          <w:szCs w:val="24"/>
          <w:lang w:val="sq-AL"/>
        </w:rPr>
        <w:t>a</w:t>
      </w:r>
      <w:r w:rsidRPr="003C0812">
        <w:rPr>
          <w:rFonts w:ascii="Times New Roman" w:eastAsia="Times New Roman" w:hAnsi="Times New Roman"/>
          <w:sz w:val="24"/>
          <w:szCs w:val="24"/>
          <w:lang w:val="sq-AL"/>
        </w:rPr>
        <w:t xml:space="preserve">i e ka në përmbajtje periodicitetin e rivlerësimit dhe rishikimit të kufizimeve nga </w:t>
      </w:r>
      <w:r>
        <w:rPr>
          <w:rFonts w:ascii="Times New Roman" w:eastAsia="Times New Roman" w:hAnsi="Times New Roman"/>
          <w:sz w:val="24"/>
          <w:szCs w:val="24"/>
          <w:lang w:val="sq-AL"/>
        </w:rPr>
        <w:t>m</w:t>
      </w:r>
      <w:r w:rsidRPr="003C0812">
        <w:rPr>
          <w:rFonts w:ascii="Times New Roman" w:eastAsia="Times New Roman" w:hAnsi="Times New Roman"/>
          <w:sz w:val="24"/>
          <w:szCs w:val="24"/>
          <w:lang w:val="sq-AL"/>
        </w:rPr>
        <w:t>inistri i Shëndetësisë</w:t>
      </w:r>
      <w:r w:rsidRPr="003C0812">
        <w:rPr>
          <w:rFonts w:ascii="Times New Roman" w:hAnsi="Times New Roman"/>
          <w:bCs/>
          <w:sz w:val="24"/>
          <w:szCs w:val="24"/>
          <w:lang w:val="sq-AL"/>
        </w:rPr>
        <w:t xml:space="preserve"> dhe Mbrojtjes Sociale (në vijim “</w:t>
      </w:r>
      <w:r>
        <w:rPr>
          <w:rFonts w:ascii="Times New Roman" w:hAnsi="Times New Roman"/>
          <w:bCs/>
          <w:sz w:val="24"/>
          <w:szCs w:val="24"/>
          <w:lang w:val="sq-AL"/>
        </w:rPr>
        <w:t>m</w:t>
      </w:r>
      <w:r w:rsidRPr="003C0812">
        <w:rPr>
          <w:rFonts w:ascii="Times New Roman" w:hAnsi="Times New Roman"/>
          <w:bCs/>
          <w:sz w:val="24"/>
          <w:szCs w:val="24"/>
          <w:lang w:val="sq-AL"/>
        </w:rPr>
        <w:t xml:space="preserve">inistri i Shëndetësisë”) dhe nuk mund </w:t>
      </w:r>
      <w:r w:rsidRPr="003C0812">
        <w:rPr>
          <w:rFonts w:ascii="Times New Roman" w:eastAsia="Times New Roman" w:hAnsi="Times New Roman"/>
          <w:sz w:val="24"/>
          <w:szCs w:val="24"/>
          <w:lang w:val="sq-AL"/>
        </w:rPr>
        <w:t>të lexohet i shkëputur vetëm në kuptimin gramatikor dhe gjuhësor të mospasjes afat specifik në terma konkret</w:t>
      </w:r>
      <w:r>
        <w:rPr>
          <w:rFonts w:ascii="Times New Roman" w:eastAsia="Times New Roman" w:hAnsi="Times New Roman"/>
          <w:sz w:val="24"/>
          <w:szCs w:val="24"/>
          <w:lang w:val="sq-AL"/>
        </w:rPr>
        <w:t>ë</w:t>
      </w:r>
      <w:r w:rsidRPr="003C0812">
        <w:rPr>
          <w:rFonts w:ascii="Times New Roman" w:eastAsia="Times New Roman" w:hAnsi="Times New Roman"/>
          <w:sz w:val="24"/>
          <w:szCs w:val="24"/>
          <w:lang w:val="sq-AL"/>
        </w:rPr>
        <w:t xml:space="preserve">. </w:t>
      </w:r>
    </w:p>
    <w:p w:rsidR="00CB7B24" w:rsidRPr="003C0812" w:rsidRDefault="00CB7B24" w:rsidP="00CB7B24">
      <w:pPr>
        <w:spacing w:after="0" w:line="360" w:lineRule="auto"/>
        <w:ind w:left="1350" w:hanging="540"/>
        <w:jc w:val="both"/>
        <w:rPr>
          <w:rFonts w:ascii="Times New Roman" w:eastAsia="Times New Roman" w:hAnsi="Times New Roman"/>
          <w:sz w:val="24"/>
          <w:szCs w:val="24"/>
          <w:lang w:val="sq-AL"/>
        </w:rPr>
      </w:pPr>
      <w:r>
        <w:rPr>
          <w:rFonts w:ascii="Times New Roman" w:eastAsia="Times New Roman" w:hAnsi="Times New Roman"/>
          <w:sz w:val="24"/>
          <w:szCs w:val="24"/>
          <w:lang w:val="sq-AL"/>
        </w:rPr>
        <w:t>4</w:t>
      </w:r>
      <w:r w:rsidRPr="003C0812">
        <w:rPr>
          <w:rFonts w:ascii="Times New Roman" w:eastAsia="Times New Roman" w:hAnsi="Times New Roman"/>
          <w:sz w:val="24"/>
          <w:szCs w:val="24"/>
          <w:lang w:val="sq-AL"/>
        </w:rPr>
        <w:t xml:space="preserve">.2. E gjithë procedura administrative, në fazat para dhe gjatë nxjerrjes së urdhrit nr.633/2020, shoqërohet nga procesi i vlerësimit paraprak dhe periodik </w:t>
      </w:r>
      <w:r>
        <w:rPr>
          <w:rFonts w:ascii="Times New Roman" w:eastAsia="Times New Roman" w:hAnsi="Times New Roman"/>
          <w:sz w:val="24"/>
          <w:szCs w:val="24"/>
          <w:lang w:val="sq-AL"/>
        </w:rPr>
        <w:t>i</w:t>
      </w:r>
      <w:r w:rsidRPr="003C0812">
        <w:rPr>
          <w:rFonts w:ascii="Times New Roman" w:eastAsia="Times New Roman" w:hAnsi="Times New Roman"/>
          <w:sz w:val="24"/>
          <w:szCs w:val="24"/>
          <w:lang w:val="sq-AL"/>
        </w:rPr>
        <w:t xml:space="preserve"> gjendjes faktike të pandemisë në vend nga Komiteti i Përkohshëm Teknik përpara se, si rezultat përfundimtar i kësaj procedure</w:t>
      </w:r>
      <w:r>
        <w:rPr>
          <w:rFonts w:ascii="Times New Roman" w:eastAsia="Times New Roman" w:hAnsi="Times New Roman"/>
          <w:sz w:val="24"/>
          <w:szCs w:val="24"/>
          <w:lang w:val="sq-AL"/>
        </w:rPr>
        <w:t>,</w:t>
      </w:r>
      <w:r w:rsidRPr="003C0812">
        <w:rPr>
          <w:rFonts w:ascii="Times New Roman" w:eastAsia="Times New Roman" w:hAnsi="Times New Roman"/>
          <w:sz w:val="24"/>
          <w:szCs w:val="24"/>
          <w:lang w:val="sq-AL"/>
        </w:rPr>
        <w:t xml:space="preserve"> të </w:t>
      </w:r>
      <w:r w:rsidRPr="00750540">
        <w:rPr>
          <w:rFonts w:ascii="Times New Roman" w:eastAsia="Times New Roman" w:hAnsi="Times New Roman"/>
          <w:sz w:val="24"/>
          <w:szCs w:val="24"/>
          <w:lang w:val="sq-AL"/>
        </w:rPr>
        <w:t>shprehet me urdhrin përkatës ministri i Shëndetësisë, bazua</w:t>
      </w:r>
      <w:r w:rsidRPr="003C0812">
        <w:rPr>
          <w:rFonts w:ascii="Times New Roman" w:eastAsia="Times New Roman" w:hAnsi="Times New Roman"/>
          <w:sz w:val="24"/>
          <w:szCs w:val="24"/>
          <w:lang w:val="sq-AL"/>
        </w:rPr>
        <w:t xml:space="preserve">r në nenin 102/4 të Kushtetutës. </w:t>
      </w:r>
    </w:p>
    <w:p w:rsidR="00CB7B24" w:rsidRPr="003C0812" w:rsidRDefault="00CB7B24" w:rsidP="00CB7B24">
      <w:pPr>
        <w:spacing w:after="0" w:line="360" w:lineRule="auto"/>
        <w:ind w:left="1350" w:hanging="540"/>
        <w:jc w:val="both"/>
        <w:rPr>
          <w:rFonts w:ascii="Times New Roman" w:eastAsia="Times New Roman" w:hAnsi="Times New Roman"/>
          <w:sz w:val="24"/>
          <w:szCs w:val="24"/>
          <w:lang w:val="sq-AL"/>
        </w:rPr>
      </w:pPr>
      <w:r>
        <w:rPr>
          <w:rFonts w:ascii="Times New Roman" w:eastAsia="Times New Roman" w:hAnsi="Times New Roman"/>
          <w:sz w:val="24"/>
          <w:szCs w:val="24"/>
          <w:lang w:val="sq-AL"/>
        </w:rPr>
        <w:t>4</w:t>
      </w:r>
      <w:r w:rsidRPr="003C0812">
        <w:rPr>
          <w:rFonts w:ascii="Times New Roman" w:eastAsia="Times New Roman" w:hAnsi="Times New Roman"/>
          <w:sz w:val="24"/>
          <w:szCs w:val="24"/>
          <w:lang w:val="sq-AL"/>
        </w:rPr>
        <w:t xml:space="preserve">.3. Kohëzgjatja e kufizimeve të tubimeve dhe mbledhjeve partiake deri në 10 </w:t>
      </w:r>
      <w:r>
        <w:rPr>
          <w:rFonts w:ascii="Times New Roman" w:eastAsia="Times New Roman" w:hAnsi="Times New Roman"/>
          <w:sz w:val="24"/>
          <w:szCs w:val="24"/>
          <w:lang w:val="sq-AL"/>
        </w:rPr>
        <w:t>persona</w:t>
      </w:r>
      <w:r w:rsidRPr="003C0812">
        <w:rPr>
          <w:rFonts w:ascii="Times New Roman" w:eastAsia="Times New Roman" w:hAnsi="Times New Roman"/>
          <w:sz w:val="24"/>
          <w:szCs w:val="24"/>
          <w:lang w:val="sq-AL"/>
        </w:rPr>
        <w:t xml:space="preserve">, para fillimit të fushatës zgjedhore, plotëson testin e domosdoshmërisë dhe të përshtatshmërisë së masës kufizuese, pa cenuar thelbin e së drejtës, në raport me qëllimin e synuar, parandalimin e përhapjes së infeksionit nga COVID -19 dhe ruajtjen e shëndetit dhe jetës së njerëzve. </w:t>
      </w:r>
    </w:p>
    <w:p w:rsidR="00CB7B24" w:rsidRPr="003C0812" w:rsidRDefault="00CB7B24" w:rsidP="00CB7B24">
      <w:pPr>
        <w:spacing w:after="0" w:line="360" w:lineRule="auto"/>
        <w:ind w:left="1350" w:hanging="540"/>
        <w:jc w:val="both"/>
        <w:rPr>
          <w:rFonts w:ascii="Times New Roman" w:eastAsia="Times New Roman" w:hAnsi="Times New Roman"/>
          <w:sz w:val="24"/>
          <w:szCs w:val="24"/>
          <w:lang w:val="sq-AL"/>
        </w:rPr>
      </w:pPr>
      <w:r>
        <w:rPr>
          <w:rFonts w:ascii="Times New Roman" w:eastAsia="Times New Roman" w:hAnsi="Times New Roman"/>
          <w:sz w:val="24"/>
          <w:szCs w:val="24"/>
          <w:lang w:val="sq-AL"/>
        </w:rPr>
        <w:t>4</w:t>
      </w:r>
      <w:r w:rsidRPr="003C0812">
        <w:rPr>
          <w:rFonts w:ascii="Times New Roman" w:eastAsia="Times New Roman" w:hAnsi="Times New Roman"/>
          <w:sz w:val="24"/>
          <w:szCs w:val="24"/>
          <w:lang w:val="sq-AL"/>
        </w:rPr>
        <w:t>.4 Para kësaj gjykate u provua se ky kufizim është i domosdoshëm për arritjen e qëllimit, pra parandalimin e përhapjes së infeksionit, si dhe mbrojtjen e shëndetit të njerëzve</w:t>
      </w:r>
      <w:r>
        <w:rPr>
          <w:rFonts w:ascii="Times New Roman" w:eastAsia="Times New Roman" w:hAnsi="Times New Roman"/>
          <w:sz w:val="24"/>
          <w:szCs w:val="24"/>
          <w:lang w:val="sq-AL"/>
        </w:rPr>
        <w:t>.</w:t>
      </w:r>
      <w:r w:rsidRPr="003C0812">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N</w:t>
      </w:r>
      <w:r w:rsidRPr="003C0812">
        <w:rPr>
          <w:rFonts w:ascii="Times New Roman" w:eastAsia="Times New Roman" w:hAnsi="Times New Roman"/>
          <w:sz w:val="24"/>
          <w:szCs w:val="24"/>
          <w:lang w:val="sq-AL"/>
        </w:rPr>
        <w:t>dërkohë nuk u provua se mjeti i përzgjedhur për kufizimin</w:t>
      </w:r>
      <w:r>
        <w:rPr>
          <w:rFonts w:ascii="Times New Roman" w:eastAsia="Times New Roman" w:hAnsi="Times New Roman"/>
          <w:sz w:val="24"/>
          <w:szCs w:val="24"/>
          <w:lang w:val="sq-AL"/>
        </w:rPr>
        <w:t xml:space="preserve"> e lirisë së tubimit</w:t>
      </w:r>
      <w:r w:rsidRPr="003C0812">
        <w:rPr>
          <w:rFonts w:ascii="Times New Roman" w:eastAsia="Times New Roman" w:hAnsi="Times New Roman"/>
          <w:sz w:val="24"/>
          <w:szCs w:val="24"/>
          <w:lang w:val="sq-AL"/>
        </w:rPr>
        <w:t xml:space="preserve"> është më i ashpri </w:t>
      </w:r>
      <w:r>
        <w:rPr>
          <w:rFonts w:ascii="Times New Roman" w:eastAsia="Times New Roman" w:hAnsi="Times New Roman"/>
          <w:sz w:val="24"/>
          <w:szCs w:val="24"/>
          <w:lang w:val="sq-AL"/>
        </w:rPr>
        <w:t xml:space="preserve">për arritjen e </w:t>
      </w:r>
      <w:r w:rsidRPr="003C0812">
        <w:rPr>
          <w:rFonts w:ascii="Times New Roman" w:eastAsia="Times New Roman" w:hAnsi="Times New Roman"/>
          <w:sz w:val="24"/>
          <w:szCs w:val="24"/>
          <w:lang w:val="sq-AL"/>
        </w:rPr>
        <w:t>qëllimi</w:t>
      </w:r>
      <w:r>
        <w:rPr>
          <w:rFonts w:ascii="Times New Roman" w:eastAsia="Times New Roman" w:hAnsi="Times New Roman"/>
          <w:sz w:val="24"/>
          <w:szCs w:val="24"/>
          <w:lang w:val="sq-AL"/>
        </w:rPr>
        <w:t>t</w:t>
      </w:r>
      <w:r w:rsidRPr="003C0812">
        <w:rPr>
          <w:rFonts w:ascii="Times New Roman" w:eastAsia="Times New Roman" w:hAnsi="Times New Roman"/>
          <w:sz w:val="24"/>
          <w:szCs w:val="24"/>
          <w:lang w:val="sq-AL"/>
        </w:rPr>
        <w:t>.</w:t>
      </w:r>
    </w:p>
    <w:p w:rsidR="00CB7B24" w:rsidRPr="003C0812" w:rsidRDefault="00CB7B24" w:rsidP="00CB7B24">
      <w:pPr>
        <w:spacing w:after="0" w:line="360" w:lineRule="auto"/>
        <w:ind w:firstLine="72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5. </w:t>
      </w:r>
      <w:r w:rsidRPr="003C0812">
        <w:rPr>
          <w:rFonts w:ascii="Times New Roman" w:eastAsia="Times New Roman" w:hAnsi="Times New Roman"/>
          <w:sz w:val="24"/>
          <w:szCs w:val="24"/>
          <w:lang w:val="sq-AL"/>
        </w:rPr>
        <w:t>Më konkretisht, argumentet e detajuara për këtë qëndrim do t’i paraqesim për sa vijon:</w:t>
      </w:r>
    </w:p>
    <w:p w:rsidR="00CB7B24" w:rsidRPr="003C0812" w:rsidRDefault="00CB7B24" w:rsidP="00CB7B24">
      <w:pPr>
        <w:spacing w:after="0" w:line="360" w:lineRule="auto"/>
        <w:ind w:firstLine="720"/>
        <w:jc w:val="both"/>
        <w:rPr>
          <w:rFonts w:ascii="Times New Roman" w:eastAsia="Times New Roman" w:hAnsi="Times New Roman"/>
          <w:sz w:val="24"/>
          <w:szCs w:val="24"/>
          <w:lang w:val="sq-AL"/>
        </w:rPr>
      </w:pPr>
    </w:p>
    <w:p w:rsidR="00CB7B24" w:rsidRPr="003C0812" w:rsidRDefault="00CB7B24" w:rsidP="00CB7B24">
      <w:pPr>
        <w:spacing w:after="0" w:line="360" w:lineRule="auto"/>
        <w:ind w:firstLine="720"/>
        <w:jc w:val="both"/>
        <w:rPr>
          <w:rFonts w:ascii="Times New Roman" w:eastAsia="Times New Roman" w:hAnsi="Times New Roman"/>
          <w:sz w:val="24"/>
          <w:szCs w:val="24"/>
          <w:lang w:val="sq-AL"/>
        </w:rPr>
      </w:pPr>
      <w:r w:rsidRPr="003C0812">
        <w:rPr>
          <w:rFonts w:ascii="Times New Roman" w:eastAsia="Times New Roman" w:hAnsi="Times New Roman"/>
          <w:sz w:val="24"/>
          <w:szCs w:val="24"/>
          <w:lang w:val="sq-AL"/>
        </w:rPr>
        <w:t xml:space="preserve">A. </w:t>
      </w:r>
      <w:r>
        <w:rPr>
          <w:rFonts w:ascii="Times New Roman" w:eastAsia="Times New Roman" w:hAnsi="Times New Roman"/>
          <w:i/>
          <w:sz w:val="24"/>
          <w:szCs w:val="24"/>
          <w:lang w:val="sq-AL"/>
        </w:rPr>
        <w:t>Për</w:t>
      </w:r>
      <w:r w:rsidRPr="003C0812">
        <w:rPr>
          <w:rFonts w:ascii="Times New Roman" w:eastAsia="Times New Roman" w:hAnsi="Times New Roman"/>
          <w:i/>
          <w:sz w:val="24"/>
          <w:szCs w:val="24"/>
          <w:lang w:val="sq-AL"/>
        </w:rPr>
        <w:t xml:space="preserve"> përmbajtjen e </w:t>
      </w:r>
      <w:r>
        <w:rPr>
          <w:rFonts w:ascii="Times New Roman" w:eastAsia="Times New Roman" w:hAnsi="Times New Roman"/>
          <w:i/>
          <w:sz w:val="24"/>
          <w:szCs w:val="24"/>
          <w:lang w:val="sq-AL"/>
        </w:rPr>
        <w:t>u</w:t>
      </w:r>
      <w:r w:rsidRPr="003C0812">
        <w:rPr>
          <w:rFonts w:ascii="Times New Roman" w:eastAsia="Times New Roman" w:hAnsi="Times New Roman"/>
          <w:i/>
          <w:sz w:val="24"/>
          <w:szCs w:val="24"/>
          <w:lang w:val="sq-AL"/>
        </w:rPr>
        <w:t>rdhrit nr.633/2020</w:t>
      </w:r>
      <w:r w:rsidRPr="003C0812">
        <w:rPr>
          <w:rFonts w:ascii="Times New Roman" w:eastAsia="Times New Roman" w:hAnsi="Times New Roman"/>
          <w:sz w:val="24"/>
          <w:szCs w:val="24"/>
          <w:lang w:val="sq-AL"/>
        </w:rPr>
        <w:t xml:space="preserve">  </w:t>
      </w:r>
    </w:p>
    <w:p w:rsidR="00CB7B24" w:rsidRPr="003C0812" w:rsidRDefault="00CB7B24" w:rsidP="00CB7B24">
      <w:pPr>
        <w:spacing w:after="0" w:line="360" w:lineRule="auto"/>
        <w:ind w:firstLine="720"/>
        <w:jc w:val="both"/>
        <w:rPr>
          <w:rFonts w:ascii="Times New Roman" w:hAnsi="Times New Roman"/>
          <w:sz w:val="24"/>
          <w:szCs w:val="24"/>
          <w:lang w:val="sq-AL"/>
        </w:rPr>
      </w:pPr>
      <w:r w:rsidRPr="003C0812">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6</w:t>
      </w:r>
      <w:r w:rsidRPr="003C0812">
        <w:rPr>
          <w:rFonts w:ascii="Times New Roman" w:eastAsia="Times New Roman" w:hAnsi="Times New Roman"/>
          <w:sz w:val="24"/>
          <w:szCs w:val="24"/>
          <w:lang w:val="sq-AL"/>
        </w:rPr>
        <w:t xml:space="preserve">. </w:t>
      </w:r>
      <w:r w:rsidRPr="003C0812">
        <w:rPr>
          <w:rFonts w:ascii="Times New Roman" w:hAnsi="Times New Roman"/>
          <w:sz w:val="24"/>
          <w:szCs w:val="24"/>
          <w:lang w:val="sq-AL"/>
        </w:rPr>
        <w:t>Kërkuesja</w:t>
      </w:r>
      <w:r>
        <w:rPr>
          <w:rFonts w:ascii="Times New Roman" w:hAnsi="Times New Roman"/>
          <w:sz w:val="24"/>
          <w:szCs w:val="24"/>
          <w:lang w:val="sq-AL"/>
        </w:rPr>
        <w:t>,</w:t>
      </w:r>
      <w:r w:rsidRPr="003C0812">
        <w:rPr>
          <w:rFonts w:ascii="Times New Roman" w:hAnsi="Times New Roman"/>
          <w:sz w:val="24"/>
          <w:szCs w:val="24"/>
          <w:lang w:val="sq-AL"/>
        </w:rPr>
        <w:t xml:space="preserve"> si në kërkesë</w:t>
      </w:r>
      <w:r>
        <w:rPr>
          <w:rFonts w:ascii="Times New Roman" w:hAnsi="Times New Roman"/>
          <w:sz w:val="24"/>
          <w:szCs w:val="24"/>
          <w:lang w:val="sq-AL"/>
        </w:rPr>
        <w:t>,</w:t>
      </w:r>
      <w:r w:rsidRPr="003C0812">
        <w:rPr>
          <w:rFonts w:ascii="Times New Roman" w:hAnsi="Times New Roman"/>
          <w:sz w:val="24"/>
          <w:szCs w:val="24"/>
          <w:lang w:val="sq-AL"/>
        </w:rPr>
        <w:t xml:space="preserve"> ashtu </w:t>
      </w:r>
      <w:r>
        <w:rPr>
          <w:rFonts w:ascii="Times New Roman" w:hAnsi="Times New Roman"/>
          <w:sz w:val="24"/>
          <w:szCs w:val="24"/>
          <w:lang w:val="sq-AL"/>
        </w:rPr>
        <w:t>e</w:t>
      </w:r>
      <w:r w:rsidRPr="003C0812">
        <w:rPr>
          <w:rFonts w:ascii="Times New Roman" w:hAnsi="Times New Roman"/>
          <w:sz w:val="24"/>
          <w:szCs w:val="24"/>
          <w:lang w:val="sq-AL"/>
        </w:rPr>
        <w:t>dhe në seancë gjyqësore, i është referuar vetëm kuptimit literal dhe gramatikor të aktit objekt kundërshtimi, duke pretenduar se ky akt ndalon në mënyrë totale tubimet dhe mbledhjet partiake, për të cilat numri maksimal prej 10 person</w:t>
      </w:r>
      <w:r>
        <w:rPr>
          <w:rFonts w:ascii="Times New Roman" w:hAnsi="Times New Roman"/>
          <w:sz w:val="24"/>
          <w:szCs w:val="24"/>
          <w:lang w:val="sq-AL"/>
        </w:rPr>
        <w:t>ash nuk aplikohet. Ndaj dhe ajo</w:t>
      </w:r>
      <w:r w:rsidRPr="003C0812">
        <w:rPr>
          <w:rFonts w:ascii="Times New Roman" w:hAnsi="Times New Roman"/>
          <w:sz w:val="24"/>
          <w:szCs w:val="24"/>
          <w:lang w:val="sq-AL"/>
        </w:rPr>
        <w:t xml:space="preserve"> parashtroi se nuk e ka ushtruar të drejtën e tubimit gjatë kësaj periudhe parazgjedhore. Ndërsa, subjekti i interesuar, Këshilli i Ministrave</w:t>
      </w:r>
      <w:r>
        <w:rPr>
          <w:rFonts w:ascii="Times New Roman" w:hAnsi="Times New Roman"/>
          <w:sz w:val="24"/>
          <w:szCs w:val="24"/>
          <w:lang w:val="sq-AL"/>
        </w:rPr>
        <w:t>,</w:t>
      </w:r>
      <w:r w:rsidRPr="003C0812">
        <w:rPr>
          <w:rFonts w:ascii="Times New Roman" w:hAnsi="Times New Roman"/>
          <w:sz w:val="24"/>
          <w:szCs w:val="24"/>
          <w:lang w:val="sq-AL"/>
        </w:rPr>
        <w:t xml:space="preserve"> ka pretenduar se bazuar në interpretimin </w:t>
      </w:r>
      <w:r>
        <w:rPr>
          <w:rFonts w:ascii="Times New Roman" w:hAnsi="Times New Roman"/>
          <w:sz w:val="24"/>
          <w:szCs w:val="24"/>
          <w:lang w:val="sq-AL"/>
        </w:rPr>
        <w:t xml:space="preserve">qëllimor </w:t>
      </w:r>
      <w:r w:rsidRPr="003C0812">
        <w:rPr>
          <w:rFonts w:ascii="Times New Roman" w:hAnsi="Times New Roman"/>
          <w:sz w:val="24"/>
          <w:szCs w:val="24"/>
          <w:lang w:val="sq-AL"/>
        </w:rPr>
        <w:t xml:space="preserve">të </w:t>
      </w:r>
      <w:r>
        <w:rPr>
          <w:rFonts w:ascii="Times New Roman" w:hAnsi="Times New Roman"/>
          <w:sz w:val="24"/>
          <w:szCs w:val="24"/>
          <w:lang w:val="sq-AL"/>
        </w:rPr>
        <w:t>u</w:t>
      </w:r>
      <w:r w:rsidRPr="003C0812">
        <w:rPr>
          <w:rFonts w:ascii="Times New Roman" w:hAnsi="Times New Roman"/>
          <w:sz w:val="24"/>
          <w:szCs w:val="24"/>
          <w:lang w:val="sq-AL"/>
        </w:rPr>
        <w:t xml:space="preserve">rdhrit, lejohen grumbullimet deri në 10 </w:t>
      </w:r>
      <w:r>
        <w:rPr>
          <w:rFonts w:ascii="Times New Roman" w:hAnsi="Times New Roman"/>
          <w:sz w:val="24"/>
          <w:szCs w:val="24"/>
          <w:lang w:val="sq-AL"/>
        </w:rPr>
        <w:t>persona</w:t>
      </w:r>
      <w:r w:rsidRPr="003C0812">
        <w:rPr>
          <w:rFonts w:ascii="Times New Roman" w:hAnsi="Times New Roman"/>
          <w:sz w:val="24"/>
          <w:szCs w:val="24"/>
          <w:lang w:val="sq-AL"/>
        </w:rPr>
        <w:t xml:space="preserve">, përfshirë </w:t>
      </w:r>
      <w:r>
        <w:rPr>
          <w:rFonts w:ascii="Times New Roman" w:hAnsi="Times New Roman"/>
          <w:sz w:val="24"/>
          <w:szCs w:val="24"/>
          <w:lang w:val="sq-AL"/>
        </w:rPr>
        <w:t>e</w:t>
      </w:r>
      <w:r w:rsidRPr="003C0812">
        <w:rPr>
          <w:rFonts w:ascii="Times New Roman" w:hAnsi="Times New Roman"/>
          <w:sz w:val="24"/>
          <w:szCs w:val="24"/>
          <w:lang w:val="sq-AL"/>
        </w:rPr>
        <w:t>dhe tubimet</w:t>
      </w:r>
      <w:r>
        <w:rPr>
          <w:rFonts w:ascii="Times New Roman" w:hAnsi="Times New Roman"/>
          <w:sz w:val="24"/>
          <w:szCs w:val="24"/>
          <w:lang w:val="sq-AL"/>
        </w:rPr>
        <w:t>,</w:t>
      </w:r>
      <w:r w:rsidRPr="003C0812">
        <w:rPr>
          <w:rFonts w:ascii="Times New Roman" w:hAnsi="Times New Roman"/>
          <w:sz w:val="24"/>
          <w:szCs w:val="24"/>
          <w:lang w:val="sq-AL"/>
        </w:rPr>
        <w:t xml:space="preserve"> </w:t>
      </w:r>
      <w:r>
        <w:rPr>
          <w:rFonts w:ascii="Times New Roman" w:hAnsi="Times New Roman"/>
          <w:sz w:val="24"/>
          <w:szCs w:val="24"/>
          <w:lang w:val="sq-AL"/>
        </w:rPr>
        <w:t>e</w:t>
      </w:r>
      <w:r w:rsidRPr="003C0812">
        <w:rPr>
          <w:rFonts w:ascii="Times New Roman" w:hAnsi="Times New Roman"/>
          <w:sz w:val="24"/>
          <w:szCs w:val="24"/>
          <w:lang w:val="sq-AL"/>
        </w:rPr>
        <w:t xml:space="preserve">dhe mbledhjet partiake. Nëse kërkuesja do t’i ishte drejtuar Ministrisë së Shëndetësisë, do të kishte marrë përgjigje </w:t>
      </w:r>
      <w:r>
        <w:rPr>
          <w:rFonts w:ascii="Times New Roman" w:hAnsi="Times New Roman"/>
          <w:sz w:val="24"/>
          <w:szCs w:val="24"/>
          <w:lang w:val="sq-AL"/>
        </w:rPr>
        <w:t>për kuptimin e urdhrit</w:t>
      </w:r>
      <w:r w:rsidRPr="003C0812">
        <w:rPr>
          <w:rFonts w:ascii="Times New Roman" w:hAnsi="Times New Roman"/>
          <w:sz w:val="24"/>
          <w:szCs w:val="24"/>
          <w:lang w:val="sq-AL"/>
        </w:rPr>
        <w:t xml:space="preserve"> objekt gjykimi.</w:t>
      </w:r>
    </w:p>
    <w:p w:rsidR="00CB7B24" w:rsidRPr="0015324E" w:rsidRDefault="00CB7B24" w:rsidP="00CB7B24">
      <w:pPr>
        <w:spacing w:after="0" w:line="360" w:lineRule="auto"/>
        <w:ind w:firstLine="720"/>
        <w:jc w:val="both"/>
        <w:rPr>
          <w:rFonts w:ascii="Times New Roman" w:hAnsi="Times New Roman"/>
          <w:sz w:val="24"/>
          <w:szCs w:val="24"/>
          <w:lang w:val="sq-AL"/>
        </w:rPr>
      </w:pPr>
      <w:r>
        <w:rPr>
          <w:rFonts w:ascii="Times New Roman" w:hAnsi="Times New Roman"/>
          <w:sz w:val="24"/>
          <w:szCs w:val="24"/>
          <w:lang w:val="sq-AL"/>
        </w:rPr>
        <w:t>7</w:t>
      </w:r>
      <w:r w:rsidRPr="0015324E">
        <w:rPr>
          <w:rFonts w:ascii="Times New Roman" w:hAnsi="Times New Roman"/>
          <w:sz w:val="24"/>
          <w:szCs w:val="24"/>
          <w:lang w:val="sq-AL"/>
        </w:rPr>
        <w:t xml:space="preserve">. Në vështrim të standardeve të kësaj gjykate, kur kjo e fundit ndodhet para mundësisë së interpretimit të një akti normativ, në më shumë se një mënyrë dhe vetëm njëra prej këtyre interpretimeve është në pajtim me Kushtetutën, zgjedh këtë të fundit. Kjo metodë kërkon efektet kushtetuese të rezultateve të ndryshme dhe përzgjedh rezultatin që është në pajtim me vlerat kushtetuese, duke marrë parasysh këtu të drejtat themelore të individëve. </w:t>
      </w:r>
      <w:r w:rsidRPr="0015324E">
        <w:rPr>
          <w:rFonts w:ascii="Times New Roman" w:eastAsia="Times New Roman" w:hAnsi="Times New Roman"/>
          <w:bCs/>
          <w:kern w:val="28"/>
          <w:sz w:val="24"/>
          <w:szCs w:val="24"/>
          <w:lang w:val="sq-AL"/>
        </w:rPr>
        <w:t>Gjykata niset nga premisa që një akt normativ duhet të interpretohet në kuptimin që lejon zbatimin e tij, jo në atë që e përjashton këtë zbatim (</w:t>
      </w:r>
      <w:r w:rsidRPr="0015324E">
        <w:rPr>
          <w:rFonts w:ascii="Times New Roman" w:eastAsia="Times New Roman" w:hAnsi="Times New Roman"/>
          <w:bCs/>
          <w:i/>
          <w:kern w:val="28"/>
          <w:sz w:val="24"/>
          <w:szCs w:val="24"/>
          <w:lang w:val="sq-AL"/>
        </w:rPr>
        <w:t>actus interpretandus est potius ut valeat quam ut pereat</w:t>
      </w:r>
      <w:r w:rsidRPr="0015324E">
        <w:rPr>
          <w:rFonts w:ascii="Times New Roman" w:eastAsia="Times New Roman" w:hAnsi="Times New Roman"/>
          <w:bCs/>
          <w:kern w:val="28"/>
          <w:sz w:val="24"/>
          <w:szCs w:val="24"/>
          <w:lang w:val="sq-AL"/>
        </w:rPr>
        <w:t xml:space="preserve">) </w:t>
      </w:r>
      <w:r w:rsidRPr="0015324E">
        <w:rPr>
          <w:rFonts w:ascii="Times New Roman" w:eastAsia="Times New Roman" w:hAnsi="Times New Roman"/>
          <w:bCs/>
          <w:i/>
          <w:kern w:val="28"/>
          <w:sz w:val="24"/>
          <w:szCs w:val="24"/>
          <w:lang w:val="sq-AL"/>
        </w:rPr>
        <w:t>(</w:t>
      </w:r>
      <w:r>
        <w:rPr>
          <w:rFonts w:ascii="Times New Roman" w:eastAsia="Times New Roman" w:hAnsi="Times New Roman"/>
          <w:bCs/>
          <w:i/>
          <w:kern w:val="28"/>
          <w:sz w:val="24"/>
          <w:szCs w:val="24"/>
          <w:lang w:val="sq-AL"/>
        </w:rPr>
        <w:t xml:space="preserve">shih </w:t>
      </w:r>
      <w:r w:rsidRPr="00DB3BEE">
        <w:rPr>
          <w:rFonts w:ascii="Times New Roman" w:eastAsia="Times New Roman" w:hAnsi="Times New Roman"/>
          <w:bCs/>
          <w:i/>
          <w:kern w:val="28"/>
          <w:sz w:val="24"/>
          <w:szCs w:val="24"/>
          <w:lang w:val="sq-AL"/>
        </w:rPr>
        <w:t>vendimet nr.7, datë 24.02.2016;</w:t>
      </w:r>
      <w:r w:rsidRPr="00DB3BEE">
        <w:rPr>
          <w:rFonts w:ascii="Times New Roman" w:hAnsi="Times New Roman"/>
          <w:i/>
          <w:iCs/>
          <w:sz w:val="24"/>
          <w:szCs w:val="24"/>
          <w:lang w:val="sq-AL"/>
        </w:rPr>
        <w:t xml:space="preserve"> nr.29, datë 31.05.2010 </w:t>
      </w:r>
      <w:r w:rsidRPr="00DB3BEE">
        <w:rPr>
          <w:rFonts w:ascii="Times New Roman" w:eastAsia="Times New Roman" w:hAnsi="Times New Roman"/>
          <w:bCs/>
          <w:i/>
          <w:kern w:val="28"/>
          <w:sz w:val="24"/>
          <w:szCs w:val="24"/>
          <w:lang w:val="sq-AL"/>
        </w:rPr>
        <w:t>të Gjykatës Kushtetuese).</w:t>
      </w:r>
      <w:r w:rsidRPr="0015324E">
        <w:rPr>
          <w:rFonts w:ascii="Times New Roman" w:eastAsia="Times New Roman" w:hAnsi="Times New Roman"/>
          <w:bCs/>
          <w:i/>
          <w:kern w:val="28"/>
          <w:sz w:val="24"/>
          <w:szCs w:val="24"/>
          <w:lang w:val="sq-AL"/>
        </w:rPr>
        <w:t xml:space="preserve"> </w:t>
      </w:r>
    </w:p>
    <w:p w:rsidR="00CB7B24" w:rsidRPr="0015324E" w:rsidRDefault="00CB7B24" w:rsidP="00CB7B24">
      <w:pPr>
        <w:spacing w:after="0" w:line="360" w:lineRule="auto"/>
        <w:ind w:firstLine="720"/>
        <w:jc w:val="both"/>
        <w:rPr>
          <w:rFonts w:ascii="Times New Roman" w:hAnsi="Times New Roman"/>
          <w:sz w:val="24"/>
          <w:szCs w:val="24"/>
          <w:lang w:val="sq-AL"/>
        </w:rPr>
      </w:pPr>
      <w:r>
        <w:rPr>
          <w:rFonts w:ascii="Times New Roman" w:hAnsi="Times New Roman"/>
          <w:sz w:val="24"/>
          <w:szCs w:val="24"/>
          <w:lang w:val="sq-AL"/>
        </w:rPr>
        <w:t>8</w:t>
      </w:r>
      <w:r w:rsidRPr="0015324E">
        <w:rPr>
          <w:rFonts w:ascii="Times New Roman" w:hAnsi="Times New Roman"/>
          <w:sz w:val="24"/>
          <w:szCs w:val="24"/>
          <w:lang w:val="sq-AL"/>
        </w:rPr>
        <w:t xml:space="preserve">. </w:t>
      </w:r>
      <w:r>
        <w:rPr>
          <w:rFonts w:ascii="Times New Roman" w:hAnsi="Times New Roman"/>
          <w:sz w:val="24"/>
          <w:szCs w:val="24"/>
          <w:lang w:val="sq-AL"/>
        </w:rPr>
        <w:t>Në pikën 1 u</w:t>
      </w:r>
      <w:r w:rsidRPr="0015324E">
        <w:rPr>
          <w:rFonts w:ascii="Times New Roman" w:hAnsi="Times New Roman"/>
          <w:sz w:val="24"/>
          <w:szCs w:val="24"/>
          <w:lang w:val="sq-AL"/>
        </w:rPr>
        <w:t xml:space="preserve">rdhri parashikon: </w:t>
      </w:r>
      <w:r w:rsidRPr="0015324E">
        <w:rPr>
          <w:rFonts w:ascii="Times New Roman" w:hAnsi="Times New Roman"/>
          <w:i/>
          <w:sz w:val="24"/>
          <w:szCs w:val="24"/>
          <w:lang w:val="sq-AL"/>
        </w:rPr>
        <w:t>“Të ndalohen grumbullimet me më shumë se 10 persona në vende të mbyllura apo të hapura, konferencat, tubimet, mbledhjet partiake, ceremonitë e festave, ceremonitë martesore dhe organizimet përtej familjare të ceremonive mortore, deri në një urdhër të dytë.”</w:t>
      </w:r>
      <w:r>
        <w:rPr>
          <w:rFonts w:ascii="Times New Roman" w:hAnsi="Times New Roman"/>
          <w:i/>
          <w:sz w:val="24"/>
          <w:szCs w:val="24"/>
          <w:lang w:val="sq-AL"/>
        </w:rPr>
        <w:t>.</w:t>
      </w:r>
    </w:p>
    <w:p w:rsidR="00CB7B24" w:rsidRPr="0015324E" w:rsidRDefault="00CB7B24" w:rsidP="00CB7B24">
      <w:pPr>
        <w:spacing w:after="0" w:line="360" w:lineRule="auto"/>
        <w:ind w:firstLine="720"/>
        <w:jc w:val="both"/>
        <w:rPr>
          <w:rFonts w:ascii="Times New Roman" w:hAnsi="Times New Roman"/>
          <w:sz w:val="24"/>
          <w:szCs w:val="24"/>
          <w:lang w:val="sq-AL"/>
        </w:rPr>
      </w:pPr>
      <w:r>
        <w:rPr>
          <w:rFonts w:ascii="Times New Roman" w:hAnsi="Times New Roman"/>
          <w:sz w:val="24"/>
          <w:szCs w:val="24"/>
          <w:lang w:val="sq-AL"/>
        </w:rPr>
        <w:t>9</w:t>
      </w:r>
      <w:r w:rsidRPr="0015324E">
        <w:rPr>
          <w:rFonts w:ascii="Times New Roman" w:hAnsi="Times New Roman"/>
          <w:sz w:val="24"/>
          <w:szCs w:val="24"/>
          <w:lang w:val="sq-AL"/>
        </w:rPr>
        <w:t xml:space="preserve">. Duke bërë një interpretim sistematik dhe jo vetëm gramatikor të aktit të kundërshtuar, konstatohet se pjesa e parë e fjalisë në pikës 1 të aktit përmban një ndalim të përgjithshëm “të grumbullimeve me më shumë se 10 persona”, të cilat nuk lidhen me një qëllim të caktuar, ndërsa në pjesën tjetër të fjalisë janë listuar disa aktivitete specifike që kanë një qëllim të caktuar. </w:t>
      </w:r>
      <w:r w:rsidRPr="00DB3BEE">
        <w:rPr>
          <w:rFonts w:ascii="Times New Roman" w:hAnsi="Times New Roman"/>
          <w:sz w:val="24"/>
          <w:szCs w:val="24"/>
          <w:lang w:val="sq-AL"/>
        </w:rPr>
        <w:t>Termi “tubim” përkufizohet nga ligji nr. 8773, datë 23.04.2001 “Për tubimet” dhe përfshin grumbullimet, manifestimet, mbledhjet dhe parakalimet me karakter paqësor dhe pa armë, në të cilat një grup personash shprehin kërkesat dhe pikëpamjet e tyre për probleme për të cilat janë të interesuar dhe përfshin edhe tubimet urgjente (neni 2, pika 5).</w:t>
      </w:r>
      <w:r w:rsidRPr="0015324E">
        <w:rPr>
          <w:rFonts w:ascii="Times New Roman" w:hAnsi="Times New Roman"/>
          <w:sz w:val="24"/>
          <w:szCs w:val="24"/>
          <w:lang w:val="sq-AL"/>
        </w:rPr>
        <w:t xml:space="preserve"> Edhe mbledhjet partiake nuk janë gjë tjetër veçse grumbullime personash që kanë një qëllim të caktuar</w:t>
      </w:r>
      <w:r>
        <w:rPr>
          <w:rFonts w:ascii="Times New Roman" w:hAnsi="Times New Roman"/>
          <w:sz w:val="24"/>
          <w:szCs w:val="24"/>
          <w:lang w:val="sq-AL"/>
        </w:rPr>
        <w:t>,</w:t>
      </w:r>
      <w:r w:rsidRPr="0015324E">
        <w:rPr>
          <w:rFonts w:ascii="Times New Roman" w:hAnsi="Times New Roman"/>
          <w:sz w:val="24"/>
          <w:szCs w:val="24"/>
          <w:lang w:val="sq-AL"/>
        </w:rPr>
        <w:t xml:space="preserve"> konkretisht qëllim politik. Si të tilla</w:t>
      </w:r>
      <w:r>
        <w:rPr>
          <w:rFonts w:ascii="Times New Roman" w:hAnsi="Times New Roman"/>
          <w:sz w:val="24"/>
          <w:szCs w:val="24"/>
          <w:lang w:val="sq-AL"/>
        </w:rPr>
        <w:t>,</w:t>
      </w:r>
      <w:r w:rsidRPr="0015324E">
        <w:rPr>
          <w:rFonts w:ascii="Times New Roman" w:hAnsi="Times New Roman"/>
          <w:sz w:val="24"/>
          <w:szCs w:val="24"/>
          <w:lang w:val="sq-AL"/>
        </w:rPr>
        <w:t xml:space="preserve"> ato bien në fushëveprimin e ndalimit të përgjithshëm të  “grumbullimeve me më shumë se 10 persona”, i cili ka një spektër më të gjerë aplikimi, që nuk ngushtohet nga qëllimi i  grumbullimit apo lloji i personave që marrin pjesë  në të.  </w:t>
      </w:r>
    </w:p>
    <w:p w:rsidR="00CB7B24" w:rsidRPr="0015324E" w:rsidRDefault="00CB7B24" w:rsidP="00CB7B24">
      <w:pPr>
        <w:spacing w:after="0" w:line="360" w:lineRule="auto"/>
        <w:ind w:firstLine="720"/>
        <w:jc w:val="both"/>
        <w:rPr>
          <w:rFonts w:ascii="Times New Roman" w:hAnsi="Times New Roman"/>
          <w:iCs/>
          <w:sz w:val="24"/>
          <w:szCs w:val="24"/>
          <w:lang w:val="sq-AL"/>
        </w:rPr>
      </w:pPr>
      <w:r>
        <w:rPr>
          <w:rFonts w:ascii="Times New Roman" w:hAnsi="Times New Roman"/>
          <w:sz w:val="24"/>
          <w:szCs w:val="24"/>
          <w:lang w:val="sq-AL"/>
        </w:rPr>
        <w:t>10</w:t>
      </w:r>
      <w:r w:rsidRPr="0015324E">
        <w:rPr>
          <w:rFonts w:ascii="Times New Roman" w:hAnsi="Times New Roman"/>
          <w:sz w:val="24"/>
          <w:szCs w:val="24"/>
          <w:lang w:val="sq-AL"/>
        </w:rPr>
        <w:t xml:space="preserve">. Pavarësisht paqartësive që mund të lindin nga interpretimi literal i tekstit të aktit, nisur nga </w:t>
      </w:r>
      <w:r w:rsidRPr="0015324E">
        <w:rPr>
          <w:rFonts w:ascii="Times New Roman" w:hAnsi="Times New Roman"/>
          <w:i/>
          <w:sz w:val="24"/>
          <w:szCs w:val="24"/>
          <w:lang w:val="sq-AL"/>
        </w:rPr>
        <w:t xml:space="preserve">ratio legis </w:t>
      </w:r>
      <w:r w:rsidRPr="0015324E">
        <w:rPr>
          <w:rFonts w:ascii="Times New Roman" w:hAnsi="Times New Roman"/>
          <w:sz w:val="24"/>
          <w:szCs w:val="24"/>
          <w:lang w:val="sq-AL"/>
        </w:rPr>
        <w:t xml:space="preserve">(ose qëllimi final i aktit normativ), </w:t>
      </w:r>
      <w:r w:rsidRPr="00DB3BEE">
        <w:rPr>
          <w:rFonts w:ascii="Times New Roman" w:hAnsi="Times New Roman"/>
          <w:sz w:val="24"/>
          <w:szCs w:val="24"/>
          <w:lang w:val="sq-AL"/>
        </w:rPr>
        <w:t>vlerësojmë</w:t>
      </w:r>
      <w:r w:rsidRPr="0015324E">
        <w:rPr>
          <w:rFonts w:ascii="Times New Roman" w:hAnsi="Times New Roman"/>
          <w:sz w:val="24"/>
          <w:szCs w:val="24"/>
          <w:lang w:val="sq-AL"/>
        </w:rPr>
        <w:t xml:space="preserve"> se qëllimi i urdhrit në fjalë është të vendosë ndalime për grumbullime me më shumë se 10 persona për të gjitha aktivitetet e listuara në pikën 1 të urdhrit, duke përfshirë tubimet dhe mbledhjet partiake, me qëllim ruajtjen e  shëndetit publik nga COVID-19. Pra, </w:t>
      </w:r>
      <w:r w:rsidRPr="0015324E">
        <w:rPr>
          <w:rFonts w:ascii="Times New Roman" w:hAnsi="Times New Roman"/>
          <w:iCs/>
          <w:sz w:val="24"/>
          <w:szCs w:val="24"/>
          <w:lang w:val="sq-AL"/>
        </w:rPr>
        <w:t xml:space="preserve">mesazhi normativ i tekstit të aktit është lejimi i çdo lloj grumbullimi, pavarësisht qëllimit (politik, argëtues, profesional </w:t>
      </w:r>
      <w:r>
        <w:rPr>
          <w:rFonts w:ascii="Times New Roman" w:hAnsi="Times New Roman"/>
          <w:iCs/>
          <w:sz w:val="24"/>
          <w:szCs w:val="24"/>
          <w:lang w:val="sq-AL"/>
        </w:rPr>
        <w:t>ose</w:t>
      </w:r>
      <w:r w:rsidRPr="0015324E">
        <w:rPr>
          <w:rFonts w:ascii="Times New Roman" w:hAnsi="Times New Roman"/>
          <w:iCs/>
          <w:sz w:val="24"/>
          <w:szCs w:val="24"/>
          <w:lang w:val="sq-AL"/>
        </w:rPr>
        <w:t xml:space="preserve"> familjar)</w:t>
      </w:r>
      <w:r>
        <w:rPr>
          <w:rFonts w:ascii="Times New Roman" w:hAnsi="Times New Roman"/>
          <w:iCs/>
          <w:sz w:val="24"/>
          <w:szCs w:val="24"/>
          <w:lang w:val="sq-AL"/>
        </w:rPr>
        <w:t>,</w:t>
      </w:r>
      <w:r w:rsidRPr="0015324E">
        <w:rPr>
          <w:rFonts w:ascii="Times New Roman" w:hAnsi="Times New Roman"/>
          <w:iCs/>
          <w:sz w:val="24"/>
          <w:szCs w:val="24"/>
          <w:lang w:val="sq-AL"/>
        </w:rPr>
        <w:t xml:space="preserve"> me kushtin që numri i personave të mbledhur të mos jetë më tepër se 10.  </w:t>
      </w:r>
    </w:p>
    <w:p w:rsidR="00CB7B24" w:rsidRPr="0015324E" w:rsidRDefault="00CB7B24" w:rsidP="00CB7B24">
      <w:pPr>
        <w:spacing w:after="0" w:line="360" w:lineRule="auto"/>
        <w:ind w:firstLine="720"/>
        <w:jc w:val="both"/>
        <w:rPr>
          <w:rFonts w:ascii="Times New Roman" w:hAnsi="Times New Roman"/>
          <w:sz w:val="24"/>
          <w:szCs w:val="24"/>
          <w:lang w:val="sq-AL"/>
        </w:rPr>
      </w:pPr>
      <w:r>
        <w:rPr>
          <w:rFonts w:ascii="Times New Roman" w:hAnsi="Times New Roman"/>
          <w:iCs/>
          <w:sz w:val="24"/>
          <w:szCs w:val="24"/>
          <w:lang w:val="sq-AL"/>
        </w:rPr>
        <w:t>11</w:t>
      </w:r>
      <w:r w:rsidRPr="0015324E">
        <w:rPr>
          <w:rFonts w:ascii="Times New Roman" w:hAnsi="Times New Roman"/>
          <w:iCs/>
          <w:sz w:val="24"/>
          <w:szCs w:val="24"/>
          <w:lang w:val="sq-AL"/>
        </w:rPr>
        <w:t xml:space="preserve">. Kjo analizë vjen në këndvështrim të respektimit të </w:t>
      </w:r>
      <w:r w:rsidRPr="0015324E">
        <w:rPr>
          <w:rFonts w:ascii="Times New Roman" w:hAnsi="Times New Roman"/>
          <w:sz w:val="24"/>
          <w:szCs w:val="24"/>
          <w:lang w:val="sq-AL"/>
        </w:rPr>
        <w:t>s</w:t>
      </w:r>
      <w:r w:rsidRPr="0015324E">
        <w:rPr>
          <w:rFonts w:ascii="Times New Roman" w:eastAsia="Times New Roman" w:hAnsi="Times New Roman"/>
          <w:sz w:val="24"/>
          <w:szCs w:val="24"/>
          <w:lang w:val="sq-AL"/>
        </w:rPr>
        <w:t xml:space="preserve">tandardeve të vendosura nga Gjykata Kushtetuese, në rastet e zbatimit të teknikës së interpretimit pajtues, sipas së cilës, </w:t>
      </w:r>
      <w:r w:rsidRPr="0015324E">
        <w:rPr>
          <w:rFonts w:ascii="Times New Roman" w:hAnsi="Times New Roman"/>
          <w:sz w:val="24"/>
          <w:szCs w:val="24"/>
          <w:lang w:val="sq-AL"/>
        </w:rPr>
        <w:t>akti i kundërshtuar nuk cenon lirinë e tubimit, vetëm nëse interpretohet për sa është elaboruar më sipër.</w:t>
      </w:r>
    </w:p>
    <w:p w:rsidR="00CB7B24" w:rsidRPr="0015324E" w:rsidRDefault="00CB7B24" w:rsidP="00CB7B24">
      <w:pPr>
        <w:spacing w:after="0" w:line="360" w:lineRule="auto"/>
        <w:ind w:firstLine="720"/>
        <w:jc w:val="both"/>
        <w:rPr>
          <w:rFonts w:ascii="Times New Roman" w:hAnsi="Times New Roman"/>
          <w:sz w:val="24"/>
          <w:szCs w:val="24"/>
          <w:lang w:val="sq-AL"/>
        </w:rPr>
      </w:pPr>
      <w:r w:rsidRPr="0015324E">
        <w:rPr>
          <w:rFonts w:ascii="Times New Roman" w:hAnsi="Times New Roman"/>
          <w:sz w:val="24"/>
          <w:szCs w:val="24"/>
          <w:lang w:val="sq-AL"/>
        </w:rPr>
        <w:t>1</w:t>
      </w:r>
      <w:r>
        <w:rPr>
          <w:rFonts w:ascii="Times New Roman" w:hAnsi="Times New Roman"/>
          <w:sz w:val="24"/>
          <w:szCs w:val="24"/>
          <w:lang w:val="sq-AL"/>
        </w:rPr>
        <w:t>2</w:t>
      </w:r>
      <w:r w:rsidRPr="0015324E">
        <w:rPr>
          <w:rFonts w:ascii="Times New Roman" w:hAnsi="Times New Roman"/>
          <w:sz w:val="24"/>
          <w:szCs w:val="24"/>
          <w:lang w:val="sq-AL"/>
        </w:rPr>
        <w:t>. Po në këtë drejtim, duhet theksuar paraprakisht se kërkues</w:t>
      </w:r>
      <w:r>
        <w:rPr>
          <w:rFonts w:ascii="Times New Roman" w:hAnsi="Times New Roman"/>
          <w:sz w:val="24"/>
          <w:szCs w:val="24"/>
          <w:lang w:val="sq-AL"/>
        </w:rPr>
        <w:t>ja</w:t>
      </w:r>
      <w:r w:rsidRPr="0015324E">
        <w:rPr>
          <w:rFonts w:ascii="Times New Roman" w:hAnsi="Times New Roman"/>
          <w:sz w:val="24"/>
          <w:szCs w:val="24"/>
          <w:lang w:val="sq-AL"/>
        </w:rPr>
        <w:t xml:space="preserve"> nuk ka ezauruar rrugën administrative, duke iu drejtuar me kërkesë për interpretim Ministrisë së Shëndetësisë për paqartësitë dhe kuptimin e saktë të </w:t>
      </w:r>
      <w:r>
        <w:rPr>
          <w:rFonts w:ascii="Times New Roman" w:hAnsi="Times New Roman"/>
          <w:sz w:val="24"/>
          <w:szCs w:val="24"/>
          <w:lang w:val="sq-AL"/>
        </w:rPr>
        <w:t>u</w:t>
      </w:r>
      <w:r w:rsidRPr="0015324E">
        <w:rPr>
          <w:rFonts w:ascii="Times New Roman" w:hAnsi="Times New Roman"/>
          <w:sz w:val="24"/>
          <w:szCs w:val="24"/>
          <w:lang w:val="sq-AL"/>
        </w:rPr>
        <w:t xml:space="preserve">rdhrit. Kjo do të thotë se </w:t>
      </w:r>
      <w:r>
        <w:rPr>
          <w:rFonts w:ascii="Times New Roman" w:hAnsi="Times New Roman"/>
          <w:sz w:val="24"/>
          <w:szCs w:val="24"/>
          <w:lang w:val="sq-AL"/>
        </w:rPr>
        <w:t>ajo</w:t>
      </w:r>
      <w:r w:rsidRPr="0015324E">
        <w:rPr>
          <w:rFonts w:ascii="Times New Roman" w:hAnsi="Times New Roman"/>
          <w:sz w:val="24"/>
          <w:szCs w:val="24"/>
          <w:lang w:val="sq-AL"/>
        </w:rPr>
        <w:t xml:space="preserve"> nuk ka pasur qasje funksionaliste në kuptim të të drejtave dhe lirive të veta si subjekt politik. Nëse, do të kishte pa</w:t>
      </w:r>
      <w:r>
        <w:rPr>
          <w:rFonts w:ascii="Times New Roman" w:hAnsi="Times New Roman"/>
          <w:sz w:val="24"/>
          <w:szCs w:val="24"/>
          <w:lang w:val="sq-AL"/>
        </w:rPr>
        <w:t>s</w:t>
      </w:r>
      <w:r w:rsidRPr="0015324E">
        <w:rPr>
          <w:rFonts w:ascii="Times New Roman" w:hAnsi="Times New Roman"/>
          <w:sz w:val="24"/>
          <w:szCs w:val="24"/>
          <w:lang w:val="sq-AL"/>
        </w:rPr>
        <w:t xml:space="preserve">ur një qëndrim zyrtar nga Ministria e Shëndetësisë </w:t>
      </w:r>
      <w:r>
        <w:rPr>
          <w:rFonts w:ascii="Times New Roman" w:hAnsi="Times New Roman"/>
          <w:sz w:val="24"/>
          <w:szCs w:val="24"/>
          <w:lang w:val="sq-AL"/>
        </w:rPr>
        <w:t>për</w:t>
      </w:r>
      <w:r w:rsidRPr="0015324E">
        <w:rPr>
          <w:rFonts w:ascii="Times New Roman" w:hAnsi="Times New Roman"/>
          <w:sz w:val="24"/>
          <w:szCs w:val="24"/>
          <w:lang w:val="sq-AL"/>
        </w:rPr>
        <w:t xml:space="preserve"> lejimin e tubimeve dhe mbledhjeve partiake deri në 10 </w:t>
      </w:r>
      <w:r>
        <w:rPr>
          <w:rFonts w:ascii="Times New Roman" w:hAnsi="Times New Roman"/>
          <w:sz w:val="24"/>
          <w:szCs w:val="24"/>
          <w:lang w:val="sq-AL"/>
        </w:rPr>
        <w:t>persona</w:t>
      </w:r>
      <w:r w:rsidRPr="0015324E">
        <w:rPr>
          <w:rFonts w:ascii="Times New Roman" w:hAnsi="Times New Roman"/>
          <w:sz w:val="24"/>
          <w:szCs w:val="24"/>
          <w:lang w:val="sq-AL"/>
        </w:rPr>
        <w:t>, kërkuesja do të kishte ushtruar potencialisht gjatë kësaj periudhe parazgjedhore këtë të drejtë dhe liri politike, ose nëse kjo e drejtë do t’i mohohej, do të kishte mundësi që në këtë gjykim kushtetues të provonte d</w:t>
      </w:r>
      <w:r>
        <w:rPr>
          <w:rFonts w:ascii="Times New Roman" w:hAnsi="Times New Roman"/>
          <w:sz w:val="24"/>
          <w:szCs w:val="24"/>
          <w:lang w:val="sq-AL"/>
        </w:rPr>
        <w:t>ë</w:t>
      </w:r>
      <w:r w:rsidRPr="0015324E">
        <w:rPr>
          <w:rFonts w:ascii="Times New Roman" w:hAnsi="Times New Roman"/>
          <w:sz w:val="24"/>
          <w:szCs w:val="24"/>
          <w:lang w:val="sq-AL"/>
        </w:rPr>
        <w:t xml:space="preserve">min real të ardhur nga norma objekt kundërshtimi, si dhe një argument më tepër në drejtim të pretendimit të saj </w:t>
      </w:r>
      <w:r>
        <w:rPr>
          <w:rFonts w:ascii="Times New Roman" w:hAnsi="Times New Roman"/>
          <w:sz w:val="24"/>
          <w:szCs w:val="24"/>
          <w:lang w:val="sq-AL"/>
        </w:rPr>
        <w:t>për</w:t>
      </w:r>
      <w:r w:rsidRPr="0015324E">
        <w:rPr>
          <w:rFonts w:ascii="Times New Roman" w:hAnsi="Times New Roman"/>
          <w:sz w:val="24"/>
          <w:szCs w:val="24"/>
          <w:lang w:val="sq-AL"/>
        </w:rPr>
        <w:t xml:space="preserve"> kuptimin gramatikor të </w:t>
      </w:r>
      <w:r>
        <w:rPr>
          <w:rFonts w:ascii="Times New Roman" w:hAnsi="Times New Roman"/>
          <w:sz w:val="24"/>
          <w:szCs w:val="24"/>
          <w:lang w:val="sq-AL"/>
        </w:rPr>
        <w:t>u</w:t>
      </w:r>
      <w:r w:rsidRPr="0015324E">
        <w:rPr>
          <w:rFonts w:ascii="Times New Roman" w:hAnsi="Times New Roman"/>
          <w:sz w:val="24"/>
          <w:szCs w:val="24"/>
          <w:lang w:val="sq-AL"/>
        </w:rPr>
        <w:t>rdhrit</w:t>
      </w:r>
      <w:r>
        <w:rPr>
          <w:rFonts w:ascii="Times New Roman" w:hAnsi="Times New Roman"/>
          <w:sz w:val="24"/>
          <w:szCs w:val="24"/>
          <w:lang w:val="sq-AL"/>
        </w:rPr>
        <w:t>,</w:t>
      </w:r>
      <w:r w:rsidRPr="0015324E">
        <w:rPr>
          <w:rFonts w:ascii="Times New Roman" w:hAnsi="Times New Roman"/>
          <w:sz w:val="24"/>
          <w:szCs w:val="24"/>
          <w:lang w:val="sq-AL"/>
        </w:rPr>
        <w:t xml:space="preserve"> si dhe zbatimi</w:t>
      </w:r>
      <w:r>
        <w:rPr>
          <w:rFonts w:ascii="Times New Roman" w:hAnsi="Times New Roman"/>
          <w:sz w:val="24"/>
          <w:szCs w:val="24"/>
          <w:lang w:val="sq-AL"/>
        </w:rPr>
        <w:t>n</w:t>
      </w:r>
      <w:r w:rsidRPr="0015324E">
        <w:rPr>
          <w:rFonts w:ascii="Times New Roman" w:hAnsi="Times New Roman"/>
          <w:sz w:val="24"/>
          <w:szCs w:val="24"/>
          <w:lang w:val="sq-AL"/>
        </w:rPr>
        <w:t xml:space="preserve"> </w:t>
      </w:r>
      <w:r>
        <w:rPr>
          <w:rFonts w:ascii="Times New Roman" w:hAnsi="Times New Roman"/>
          <w:sz w:val="24"/>
          <w:szCs w:val="24"/>
          <w:lang w:val="sq-AL"/>
        </w:rPr>
        <w:t>e</w:t>
      </w:r>
      <w:r w:rsidRPr="0015324E">
        <w:rPr>
          <w:rFonts w:ascii="Times New Roman" w:hAnsi="Times New Roman"/>
          <w:sz w:val="24"/>
          <w:szCs w:val="24"/>
          <w:lang w:val="sq-AL"/>
        </w:rPr>
        <w:t xml:space="preserve"> </w:t>
      </w:r>
      <w:r>
        <w:rPr>
          <w:rFonts w:ascii="Times New Roman" w:hAnsi="Times New Roman"/>
          <w:sz w:val="24"/>
          <w:szCs w:val="24"/>
          <w:lang w:val="sq-AL"/>
        </w:rPr>
        <w:t>tij</w:t>
      </w:r>
      <w:r w:rsidRPr="0015324E">
        <w:rPr>
          <w:rFonts w:ascii="Times New Roman" w:hAnsi="Times New Roman"/>
          <w:sz w:val="24"/>
          <w:szCs w:val="24"/>
          <w:lang w:val="sq-AL"/>
        </w:rPr>
        <w:t xml:space="preserve"> në </w:t>
      </w:r>
      <w:r w:rsidRPr="00C81B4A">
        <w:rPr>
          <w:rFonts w:ascii="Times New Roman" w:hAnsi="Times New Roman"/>
          <w:sz w:val="24"/>
          <w:szCs w:val="24"/>
          <w:lang w:val="sq-AL"/>
        </w:rPr>
        <w:t>praktikë në këtë aspekt.</w:t>
      </w:r>
      <w:r w:rsidRPr="0015324E">
        <w:rPr>
          <w:rFonts w:ascii="Times New Roman" w:hAnsi="Times New Roman"/>
          <w:sz w:val="24"/>
          <w:szCs w:val="24"/>
          <w:lang w:val="sq-AL"/>
        </w:rPr>
        <w:t xml:space="preserve">  </w:t>
      </w:r>
    </w:p>
    <w:p w:rsidR="00CB7B24" w:rsidRPr="0015324E" w:rsidRDefault="00CB7B24" w:rsidP="00CB7B24">
      <w:pPr>
        <w:spacing w:after="0" w:line="360" w:lineRule="auto"/>
        <w:ind w:firstLine="720"/>
        <w:jc w:val="both"/>
        <w:rPr>
          <w:rFonts w:ascii="Times New Roman" w:hAnsi="Times New Roman"/>
          <w:sz w:val="24"/>
          <w:szCs w:val="24"/>
          <w:lang w:val="sq-AL"/>
        </w:rPr>
      </w:pPr>
      <w:r w:rsidRPr="0015324E">
        <w:rPr>
          <w:rFonts w:ascii="Times New Roman" w:hAnsi="Times New Roman"/>
          <w:sz w:val="24"/>
          <w:szCs w:val="24"/>
          <w:lang w:val="sq-AL"/>
        </w:rPr>
        <w:t xml:space="preserve"> 1</w:t>
      </w:r>
      <w:r>
        <w:rPr>
          <w:rFonts w:ascii="Times New Roman" w:hAnsi="Times New Roman"/>
          <w:sz w:val="24"/>
          <w:szCs w:val="24"/>
          <w:lang w:val="sq-AL"/>
        </w:rPr>
        <w:t>3</w:t>
      </w:r>
      <w:r w:rsidRPr="0015324E">
        <w:rPr>
          <w:rFonts w:ascii="Times New Roman" w:hAnsi="Times New Roman"/>
          <w:sz w:val="24"/>
          <w:szCs w:val="24"/>
          <w:lang w:val="sq-AL"/>
        </w:rPr>
        <w:t xml:space="preserve">. Duke mbajtur në konsideratë interpretimin pajtues të </w:t>
      </w:r>
      <w:r>
        <w:rPr>
          <w:rFonts w:ascii="Times New Roman" w:hAnsi="Times New Roman"/>
          <w:sz w:val="24"/>
          <w:szCs w:val="24"/>
          <w:lang w:val="sq-AL"/>
        </w:rPr>
        <w:t>u</w:t>
      </w:r>
      <w:r w:rsidRPr="0015324E">
        <w:rPr>
          <w:rFonts w:ascii="Times New Roman" w:hAnsi="Times New Roman"/>
          <w:sz w:val="24"/>
          <w:szCs w:val="24"/>
          <w:lang w:val="sq-AL"/>
        </w:rPr>
        <w:t xml:space="preserve">rdhrit, të analizuar sa më sipër, që e kishte detyrim edhe shumica ta elaboronte, për sa kohë që </w:t>
      </w:r>
      <w:r>
        <w:rPr>
          <w:rFonts w:ascii="Times New Roman" w:hAnsi="Times New Roman"/>
          <w:sz w:val="24"/>
          <w:szCs w:val="24"/>
          <w:lang w:val="sq-AL"/>
        </w:rPr>
        <w:t>ai</w:t>
      </w:r>
      <w:r w:rsidRPr="0015324E">
        <w:rPr>
          <w:rFonts w:ascii="Times New Roman" w:hAnsi="Times New Roman"/>
          <w:sz w:val="24"/>
          <w:szCs w:val="24"/>
          <w:lang w:val="sq-AL"/>
        </w:rPr>
        <w:t xml:space="preserve"> kishte paqartësi në përmbajtje dhe mundësi për më shumë se një mënyrë interpretimi, do </w:t>
      </w:r>
      <w:r>
        <w:rPr>
          <w:rFonts w:ascii="Times New Roman" w:hAnsi="Times New Roman"/>
          <w:sz w:val="24"/>
          <w:szCs w:val="24"/>
          <w:lang w:val="sq-AL"/>
        </w:rPr>
        <w:t>u</w:t>
      </w:r>
      <w:r w:rsidRPr="0015324E">
        <w:rPr>
          <w:rFonts w:ascii="Times New Roman" w:hAnsi="Times New Roman"/>
          <w:sz w:val="24"/>
          <w:szCs w:val="24"/>
          <w:lang w:val="sq-AL"/>
        </w:rPr>
        <w:t xml:space="preserve"> referohemi standardeve të proporcionalitetit, sipas nenit 17 të Kushtetutës, pasi kriterin e  kufizimeve “me ligj” dhe për “interes publik”, shumica e ka analizuar dhe ne jemi dakord.  </w:t>
      </w:r>
    </w:p>
    <w:p w:rsidR="00CB7B24" w:rsidRPr="0015324E" w:rsidRDefault="00CB7B24" w:rsidP="00CB7B24">
      <w:pPr>
        <w:spacing w:after="0" w:line="360" w:lineRule="auto"/>
        <w:ind w:firstLine="720"/>
        <w:jc w:val="both"/>
        <w:rPr>
          <w:rFonts w:ascii="Times New Roman" w:hAnsi="Times New Roman"/>
          <w:sz w:val="24"/>
          <w:szCs w:val="24"/>
          <w:lang w:val="sq-AL"/>
        </w:rPr>
      </w:pPr>
    </w:p>
    <w:p w:rsidR="00CB7B24" w:rsidRPr="0015324E" w:rsidRDefault="00CB7B24" w:rsidP="00CB7B24">
      <w:pPr>
        <w:spacing w:after="0" w:line="360" w:lineRule="auto"/>
        <w:ind w:firstLine="720"/>
        <w:jc w:val="both"/>
        <w:rPr>
          <w:rFonts w:ascii="Times New Roman" w:hAnsi="Times New Roman"/>
          <w:i/>
          <w:sz w:val="24"/>
          <w:szCs w:val="24"/>
          <w:lang w:val="sq-AL"/>
        </w:rPr>
      </w:pPr>
      <w:r w:rsidRPr="0015324E">
        <w:rPr>
          <w:rFonts w:ascii="Times New Roman" w:hAnsi="Times New Roman"/>
          <w:i/>
          <w:sz w:val="24"/>
          <w:szCs w:val="24"/>
          <w:lang w:val="sq-AL"/>
        </w:rPr>
        <w:t xml:space="preserve">B. </w:t>
      </w:r>
      <w:r>
        <w:rPr>
          <w:rFonts w:ascii="Times New Roman" w:hAnsi="Times New Roman"/>
          <w:i/>
          <w:sz w:val="24"/>
          <w:szCs w:val="24"/>
          <w:lang w:val="sq-AL"/>
        </w:rPr>
        <w:t>Për</w:t>
      </w:r>
      <w:r w:rsidRPr="0015324E">
        <w:rPr>
          <w:rFonts w:ascii="Times New Roman" w:hAnsi="Times New Roman"/>
          <w:i/>
          <w:sz w:val="24"/>
          <w:szCs w:val="24"/>
          <w:lang w:val="sq-AL"/>
        </w:rPr>
        <w:t xml:space="preserve"> pretendimin për cenimin e parimit të proporcionalitetit</w:t>
      </w:r>
    </w:p>
    <w:p w:rsidR="00CB7B24" w:rsidRPr="0015324E" w:rsidRDefault="00CB7B24" w:rsidP="00CB7B24">
      <w:pPr>
        <w:spacing w:after="0" w:line="360" w:lineRule="auto"/>
        <w:ind w:firstLine="720"/>
        <w:jc w:val="both"/>
        <w:rPr>
          <w:rFonts w:ascii="Times New Roman" w:eastAsia="Times New Roman" w:hAnsi="Times New Roman"/>
          <w:sz w:val="24"/>
          <w:szCs w:val="24"/>
          <w:lang w:val="sq-AL"/>
        </w:rPr>
      </w:pPr>
      <w:r w:rsidRPr="0015324E">
        <w:rPr>
          <w:rFonts w:ascii="Times New Roman" w:hAnsi="Times New Roman"/>
          <w:sz w:val="24"/>
          <w:szCs w:val="24"/>
          <w:lang w:val="sq-AL"/>
        </w:rPr>
        <w:t>1</w:t>
      </w:r>
      <w:r>
        <w:rPr>
          <w:rFonts w:ascii="Times New Roman" w:hAnsi="Times New Roman"/>
          <w:sz w:val="24"/>
          <w:szCs w:val="24"/>
          <w:lang w:val="sq-AL"/>
        </w:rPr>
        <w:t>4</w:t>
      </w:r>
      <w:r w:rsidRPr="0015324E">
        <w:rPr>
          <w:rFonts w:ascii="Times New Roman" w:hAnsi="Times New Roman"/>
          <w:sz w:val="24"/>
          <w:szCs w:val="24"/>
          <w:lang w:val="sq-AL"/>
        </w:rPr>
        <w:t xml:space="preserve">. </w:t>
      </w:r>
      <w:r w:rsidRPr="0015324E">
        <w:rPr>
          <w:rFonts w:ascii="Times New Roman" w:eastAsia="Arial Unicode MS" w:hAnsi="Times New Roman"/>
          <w:sz w:val="24"/>
          <w:szCs w:val="24"/>
          <w:lang w:val="sq-AL"/>
        </w:rPr>
        <w:t xml:space="preserve">Kërkuesja ka pretenduar se ndalimi i tubimeve nuk është mjeti më i përshtatshëm dhe i nevojshëm. </w:t>
      </w:r>
      <w:r w:rsidRPr="0015324E">
        <w:rPr>
          <w:rFonts w:ascii="Times New Roman" w:hAnsi="Times New Roman"/>
          <w:sz w:val="24"/>
          <w:szCs w:val="24"/>
          <w:lang w:val="sq-AL"/>
        </w:rPr>
        <w:t>Referuar kërkesës, por edhe seancës gjyqësore, ajo pretendon se tubimet politike, do të duhej të lejoheshin pa numër të specifikuar, duke respektuar rregullat e vendosjes së maskave dhe të distancimit fizik, dhe  kjo do të përbënte, sipas kërkueses, mjetin më të përshtatshëm dhe proporcional në rastin konkret për arritjen e qëllimit (parandalimin e  përhapjes së  COVID-19).  Po ashtu</w:t>
      </w:r>
      <w:r>
        <w:rPr>
          <w:rFonts w:ascii="Times New Roman" w:hAnsi="Times New Roman"/>
          <w:sz w:val="24"/>
          <w:szCs w:val="24"/>
          <w:lang w:val="sq-AL"/>
        </w:rPr>
        <w:t>,</w:t>
      </w:r>
      <w:r w:rsidRPr="0015324E">
        <w:rPr>
          <w:rFonts w:ascii="Times New Roman" w:hAnsi="Times New Roman"/>
          <w:sz w:val="24"/>
          <w:szCs w:val="24"/>
          <w:lang w:val="sq-AL"/>
        </w:rPr>
        <w:t xml:space="preserve"> sipas kërkueses, </w:t>
      </w:r>
      <w:r w:rsidRPr="0015324E">
        <w:rPr>
          <w:rFonts w:ascii="Times New Roman" w:eastAsia="Times New Roman" w:hAnsi="Times New Roman"/>
          <w:sz w:val="24"/>
          <w:szCs w:val="24"/>
          <w:lang w:val="sq-AL"/>
        </w:rPr>
        <w:t xml:space="preserve">mospasja e një afati për  rishikim para fushatës parazgjedhore, në pjesën e ndalimeve të grumbullimeve, e bën urdhrin antikushtetues. </w:t>
      </w:r>
    </w:p>
    <w:p w:rsidR="00CB7B24" w:rsidRPr="0015324E" w:rsidRDefault="00CB7B24" w:rsidP="00CB7B24">
      <w:pPr>
        <w:spacing w:after="0" w:line="360" w:lineRule="auto"/>
        <w:ind w:firstLine="720"/>
        <w:jc w:val="both"/>
        <w:rPr>
          <w:rFonts w:ascii="Times New Roman" w:hAnsi="Times New Roman"/>
          <w:i/>
          <w:sz w:val="24"/>
          <w:szCs w:val="24"/>
          <w:lang w:val="sq-AL"/>
        </w:rPr>
      </w:pPr>
      <w:r w:rsidRPr="0015324E">
        <w:rPr>
          <w:rFonts w:ascii="Times New Roman" w:eastAsia="Times New Roman" w:hAnsi="Times New Roman"/>
          <w:sz w:val="24"/>
          <w:szCs w:val="24"/>
          <w:lang w:val="sq-AL"/>
        </w:rPr>
        <w:t>1</w:t>
      </w:r>
      <w:r>
        <w:rPr>
          <w:rFonts w:ascii="Times New Roman" w:eastAsia="Times New Roman" w:hAnsi="Times New Roman"/>
          <w:sz w:val="24"/>
          <w:szCs w:val="24"/>
          <w:lang w:val="sq-AL"/>
        </w:rPr>
        <w:t>5</w:t>
      </w:r>
      <w:r w:rsidRPr="0015324E">
        <w:rPr>
          <w:rFonts w:ascii="Times New Roman" w:eastAsia="Times New Roman" w:hAnsi="Times New Roman"/>
          <w:sz w:val="24"/>
          <w:szCs w:val="24"/>
          <w:lang w:val="sq-AL"/>
        </w:rPr>
        <w:t xml:space="preserve">. </w:t>
      </w:r>
      <w:r w:rsidRPr="0015324E">
        <w:rPr>
          <w:rFonts w:ascii="Times New Roman" w:eastAsia="Arial Unicode MS" w:hAnsi="Times New Roman"/>
          <w:sz w:val="24"/>
          <w:szCs w:val="24"/>
          <w:lang w:val="sq-AL"/>
        </w:rPr>
        <w:t xml:space="preserve">Në këtë drejtim, </w:t>
      </w:r>
      <w:r w:rsidRPr="0015324E">
        <w:rPr>
          <w:rFonts w:ascii="Times New Roman" w:hAnsi="Times New Roman"/>
          <w:sz w:val="24"/>
          <w:szCs w:val="24"/>
          <w:lang w:val="sq-AL"/>
        </w:rPr>
        <w:t xml:space="preserve">edhe subjekti i interesuar, Këshilli i Ministrave, ka prapësuar se urdhri nr. 633/2020, ka dalë si rezultat i shtimit të rasteve të të prekurve dhe viktimave nga COVID-19. Po sipas subjektit të interesuar, natyra e këtij virusi është e tillë që e bën të pamundur  identifikimin e jetës </w:t>
      </w:r>
      <w:r>
        <w:rPr>
          <w:rFonts w:ascii="Times New Roman" w:hAnsi="Times New Roman"/>
          <w:sz w:val="24"/>
          <w:szCs w:val="24"/>
          <w:lang w:val="sq-AL"/>
        </w:rPr>
        <w:t>ose</w:t>
      </w:r>
      <w:r w:rsidRPr="0015324E">
        <w:rPr>
          <w:rFonts w:ascii="Times New Roman" w:hAnsi="Times New Roman"/>
          <w:sz w:val="24"/>
          <w:szCs w:val="24"/>
          <w:lang w:val="sq-AL"/>
        </w:rPr>
        <w:t xml:space="preserve"> jetëve që janë në rrezik dhe gjithë popullata mund të infektohej në masë të paparashikuar</w:t>
      </w:r>
      <w:r>
        <w:rPr>
          <w:rFonts w:ascii="Times New Roman" w:hAnsi="Times New Roman"/>
          <w:sz w:val="24"/>
          <w:szCs w:val="24"/>
          <w:lang w:val="sq-AL"/>
        </w:rPr>
        <w:t>,</w:t>
      </w:r>
      <w:r w:rsidRPr="0015324E">
        <w:rPr>
          <w:rFonts w:ascii="Times New Roman" w:hAnsi="Times New Roman"/>
          <w:sz w:val="24"/>
          <w:szCs w:val="24"/>
          <w:lang w:val="sq-AL"/>
        </w:rPr>
        <w:t xml:space="preserve"> në qoftë se do të lejohej  grumbullimi i pakontrolluar i njerëzve në vende publike, në aktivitete të ndryshme politike </w:t>
      </w:r>
      <w:r>
        <w:rPr>
          <w:rFonts w:ascii="Times New Roman" w:hAnsi="Times New Roman"/>
          <w:sz w:val="24"/>
          <w:szCs w:val="24"/>
          <w:lang w:val="sq-AL"/>
        </w:rPr>
        <w:t>ose</w:t>
      </w:r>
      <w:r w:rsidRPr="0015324E">
        <w:rPr>
          <w:rFonts w:ascii="Times New Roman" w:hAnsi="Times New Roman"/>
          <w:sz w:val="24"/>
          <w:szCs w:val="24"/>
          <w:lang w:val="sq-AL"/>
        </w:rPr>
        <w:t xml:space="preserve"> shoqërore.</w:t>
      </w:r>
    </w:p>
    <w:p w:rsidR="00CB7B24" w:rsidRPr="0015324E" w:rsidRDefault="00CB7B24" w:rsidP="00CB7B24">
      <w:pPr>
        <w:spacing w:after="0" w:line="360" w:lineRule="auto"/>
        <w:ind w:firstLine="900"/>
        <w:jc w:val="both"/>
        <w:rPr>
          <w:rFonts w:ascii="Times New Roman" w:hAnsi="Times New Roman"/>
          <w:sz w:val="24"/>
          <w:szCs w:val="24"/>
          <w:lang w:val="sq-AL"/>
        </w:rPr>
      </w:pPr>
      <w:r w:rsidRPr="0015324E">
        <w:rPr>
          <w:rFonts w:ascii="Times New Roman" w:hAnsi="Times New Roman"/>
          <w:sz w:val="24"/>
          <w:szCs w:val="24"/>
          <w:lang w:val="sq-AL"/>
        </w:rPr>
        <w:t>1</w:t>
      </w:r>
      <w:r>
        <w:rPr>
          <w:rFonts w:ascii="Times New Roman" w:hAnsi="Times New Roman"/>
          <w:sz w:val="24"/>
          <w:szCs w:val="24"/>
          <w:lang w:val="sq-AL"/>
        </w:rPr>
        <w:t>6</w:t>
      </w:r>
      <w:r w:rsidRPr="0015324E">
        <w:rPr>
          <w:rFonts w:ascii="Times New Roman" w:hAnsi="Times New Roman"/>
          <w:sz w:val="24"/>
          <w:szCs w:val="24"/>
          <w:lang w:val="sq-AL"/>
        </w:rPr>
        <w:t xml:space="preserve">. </w:t>
      </w:r>
      <w:r w:rsidRPr="0015324E">
        <w:rPr>
          <w:rFonts w:ascii="Times New Roman" w:hAnsi="Times New Roman"/>
          <w:color w:val="000000"/>
          <w:sz w:val="24"/>
          <w:szCs w:val="24"/>
          <w:lang w:val="sq-AL"/>
        </w:rPr>
        <w:t xml:space="preserve">Lidhur me kufizimet e të drejtave themelore dhe testin e proporcionalitetit, </w:t>
      </w:r>
      <w:r>
        <w:rPr>
          <w:rFonts w:ascii="Times New Roman" w:hAnsi="Times New Roman"/>
          <w:color w:val="000000"/>
          <w:sz w:val="24"/>
          <w:szCs w:val="24"/>
          <w:lang w:val="sq-AL"/>
        </w:rPr>
        <w:t>Gjykata</w:t>
      </w:r>
      <w:r w:rsidRPr="0015324E">
        <w:rPr>
          <w:rFonts w:ascii="Times New Roman" w:hAnsi="Times New Roman"/>
          <w:color w:val="000000"/>
          <w:sz w:val="24"/>
          <w:szCs w:val="24"/>
          <w:lang w:val="sq-AL"/>
        </w:rPr>
        <w:t xml:space="preserve">  ka theksuar se, </w:t>
      </w:r>
      <w:r w:rsidRPr="0015324E">
        <w:rPr>
          <w:rFonts w:ascii="Times New Roman" w:hAnsi="Times New Roman"/>
          <w:sz w:val="24"/>
          <w:szCs w:val="24"/>
          <w:lang w:val="sq-AL"/>
        </w:rPr>
        <w:t xml:space="preserve"> në zbatim të nenit 17 të Kushtetutës, kriteret për të vlerësuar nëse një kufizim do të konsiderohej në përputhje me standardet e parimit të proporcionalitetit, janë: (i) objektivi i ligjvënësit është mjaftueshëm i rëndësishëm për të justifikuar kufizimin e së drejtës; (ii) masat e marra janë të lidhura në mënyrë të arsyeshme me objektivin- ato nuk mund të jenë arbitrare, të padrejta ose të bazuara mbi vlerësime alogjike; (iii) mjetet e përdorura nuk janë më të ashpra se sa për të arritur objektivin e kërkuar - sa më të mëdha efektet e dëmshme të masës së përzgjedhur, aq më tepër objektivi për t’u arritur duhet të jetë i rëndësishëm, në mënyrë që masa të justifikohet si e nevojshme” (</w:t>
      </w:r>
      <w:r w:rsidRPr="0015324E">
        <w:rPr>
          <w:rFonts w:ascii="Times New Roman" w:hAnsi="Times New Roman"/>
          <w:i/>
          <w:sz w:val="24"/>
          <w:szCs w:val="24"/>
          <w:lang w:val="sq-AL"/>
        </w:rPr>
        <w:t>shih</w:t>
      </w:r>
      <w:r w:rsidRPr="0015324E">
        <w:rPr>
          <w:rFonts w:ascii="Times New Roman" w:hAnsi="Times New Roman"/>
          <w:sz w:val="24"/>
          <w:szCs w:val="24"/>
          <w:lang w:val="sq-AL"/>
        </w:rPr>
        <w:t xml:space="preserve"> </w:t>
      </w:r>
      <w:r w:rsidRPr="0015324E">
        <w:rPr>
          <w:rFonts w:ascii="Times New Roman" w:hAnsi="Times New Roman"/>
          <w:i/>
          <w:sz w:val="24"/>
          <w:szCs w:val="24"/>
          <w:lang w:val="sq-AL"/>
        </w:rPr>
        <w:t>vendimet nr.52, datë 05.12.2012; nr.7, datë 16.02.2015 të  Gjykatës Kushtetuese</w:t>
      </w:r>
      <w:r w:rsidRPr="0015324E">
        <w:rPr>
          <w:rFonts w:ascii="Times New Roman" w:hAnsi="Times New Roman"/>
          <w:sz w:val="24"/>
          <w:szCs w:val="24"/>
          <w:lang w:val="sq-AL"/>
        </w:rPr>
        <w:t>). Balanca mes së drejtës së kufizuar dhe interesit publik nuk është gjë tjetër veçse</w:t>
      </w:r>
      <w:r w:rsidRPr="0015324E">
        <w:rPr>
          <w:rFonts w:ascii="Times New Roman" w:hAnsi="Times New Roman"/>
          <w:i/>
          <w:sz w:val="24"/>
          <w:szCs w:val="24"/>
          <w:lang w:val="sq-AL"/>
        </w:rPr>
        <w:t xml:space="preserve"> </w:t>
      </w:r>
      <w:r w:rsidRPr="0015324E">
        <w:rPr>
          <w:rFonts w:ascii="Times New Roman" w:hAnsi="Times New Roman"/>
          <w:sz w:val="24"/>
          <w:szCs w:val="24"/>
          <w:lang w:val="sq-AL"/>
        </w:rPr>
        <w:t>gjetja e pikës së</w:t>
      </w:r>
      <w:r w:rsidRPr="0015324E">
        <w:rPr>
          <w:rFonts w:ascii="Times New Roman" w:hAnsi="Times New Roman"/>
          <w:i/>
          <w:sz w:val="24"/>
          <w:szCs w:val="24"/>
          <w:lang w:val="sq-AL"/>
        </w:rPr>
        <w:t xml:space="preserve"> </w:t>
      </w:r>
      <w:r w:rsidRPr="0015324E">
        <w:rPr>
          <w:rFonts w:ascii="Times New Roman" w:hAnsi="Times New Roman"/>
          <w:sz w:val="24"/>
          <w:szCs w:val="24"/>
          <w:lang w:val="sq-AL"/>
        </w:rPr>
        <w:t>ekuilibrit midis së drejtës së shtetit për të siguruar rendin publik e shoqëror</w:t>
      </w:r>
      <w:r>
        <w:rPr>
          <w:rFonts w:ascii="Times New Roman" w:hAnsi="Times New Roman"/>
          <w:sz w:val="24"/>
          <w:szCs w:val="24"/>
          <w:lang w:val="sq-AL"/>
        </w:rPr>
        <w:t xml:space="preserve"> dhe shëndetin publik</w:t>
      </w:r>
      <w:r w:rsidRPr="0015324E">
        <w:rPr>
          <w:rFonts w:ascii="Times New Roman" w:hAnsi="Times New Roman"/>
          <w:sz w:val="24"/>
          <w:szCs w:val="24"/>
          <w:lang w:val="sq-AL"/>
        </w:rPr>
        <w:t>, nga njëra anë, dhe mbrojtjes së të drejtave dhe lirive të individit, nga ana tjetër (</w:t>
      </w:r>
      <w:r w:rsidRPr="0015324E">
        <w:rPr>
          <w:rFonts w:ascii="Times New Roman" w:hAnsi="Times New Roman"/>
          <w:i/>
          <w:sz w:val="24"/>
          <w:szCs w:val="24"/>
          <w:lang w:val="sq-AL"/>
        </w:rPr>
        <w:t xml:space="preserve">shih vendimet nr.47, datë 27.06.2012, nr.7, datë 16.02.2015 </w:t>
      </w:r>
      <w:r w:rsidRPr="0015324E">
        <w:rPr>
          <w:rFonts w:ascii="Times New Roman" w:hAnsi="Times New Roman"/>
          <w:bCs/>
          <w:i/>
          <w:sz w:val="24"/>
          <w:szCs w:val="24"/>
          <w:lang w:val="sq-AL"/>
        </w:rPr>
        <w:t xml:space="preserve"> </w:t>
      </w:r>
      <w:r w:rsidRPr="0015324E">
        <w:rPr>
          <w:rFonts w:ascii="Times New Roman" w:hAnsi="Times New Roman"/>
          <w:i/>
          <w:sz w:val="24"/>
          <w:szCs w:val="24"/>
          <w:lang w:val="sq-AL"/>
        </w:rPr>
        <w:t>të Gjykatës Kushtetuese</w:t>
      </w:r>
      <w:r w:rsidRPr="0015324E">
        <w:rPr>
          <w:rFonts w:ascii="Times New Roman" w:hAnsi="Times New Roman"/>
          <w:sz w:val="24"/>
          <w:szCs w:val="24"/>
          <w:lang w:val="sq-AL"/>
        </w:rPr>
        <w:t xml:space="preserve">). </w:t>
      </w:r>
    </w:p>
    <w:p w:rsidR="00CB7B24" w:rsidRPr="0015324E" w:rsidRDefault="00CB7B24" w:rsidP="00CB7B24">
      <w:pPr>
        <w:spacing w:after="0" w:line="360" w:lineRule="auto"/>
        <w:ind w:firstLine="900"/>
        <w:jc w:val="both"/>
        <w:rPr>
          <w:rFonts w:ascii="Times New Roman" w:hAnsi="Times New Roman"/>
          <w:sz w:val="24"/>
          <w:szCs w:val="24"/>
          <w:lang w:val="sq-AL"/>
        </w:rPr>
      </w:pPr>
      <w:r w:rsidRPr="0015324E">
        <w:rPr>
          <w:rFonts w:ascii="Times New Roman" w:hAnsi="Times New Roman"/>
          <w:sz w:val="24"/>
          <w:szCs w:val="24"/>
          <w:lang w:val="sq-AL"/>
        </w:rPr>
        <w:t>1</w:t>
      </w:r>
      <w:r>
        <w:rPr>
          <w:rFonts w:ascii="Times New Roman" w:hAnsi="Times New Roman"/>
          <w:sz w:val="24"/>
          <w:szCs w:val="24"/>
          <w:lang w:val="sq-AL"/>
        </w:rPr>
        <w:t>7</w:t>
      </w:r>
      <w:r w:rsidRPr="0015324E">
        <w:rPr>
          <w:rFonts w:ascii="Times New Roman" w:hAnsi="Times New Roman"/>
          <w:sz w:val="24"/>
          <w:szCs w:val="24"/>
          <w:lang w:val="sq-AL"/>
        </w:rPr>
        <w:t>. Në përputhje me parimin e proporcionalitetit ë</w:t>
      </w:r>
      <w:r w:rsidRPr="0015324E">
        <w:rPr>
          <w:rFonts w:ascii="Times New Roman" w:hAnsi="Times New Roman"/>
          <w:bCs/>
          <w:sz w:val="24"/>
          <w:szCs w:val="24"/>
          <w:lang w:val="sq-AL"/>
        </w:rPr>
        <w:t xml:space="preserve">shtë thelbësore të theksohet se </w:t>
      </w:r>
      <w:r w:rsidRPr="0015324E">
        <w:rPr>
          <w:rFonts w:ascii="Times New Roman" w:hAnsi="Times New Roman"/>
          <w:sz w:val="24"/>
          <w:szCs w:val="24"/>
          <w:lang w:val="sq-AL"/>
        </w:rPr>
        <w:t xml:space="preserve">nuk i takon Gjykatës të përcaktojë nëse mjeti i përzgjedhur është mënyra më e përshtatshme, më e arsyeshme ose e duhura, por roli i saj është të kontrollojë nëse përmbajtja e vetë dispozitës normative është e pajtueshme me të drejtat, liritë dhe parimet themelore kushtetuese </w:t>
      </w:r>
      <w:r w:rsidRPr="0015324E">
        <w:rPr>
          <w:rFonts w:ascii="Times New Roman" w:hAnsi="Times New Roman"/>
          <w:i/>
          <w:sz w:val="24"/>
          <w:szCs w:val="24"/>
          <w:lang w:val="sq-AL"/>
        </w:rPr>
        <w:t xml:space="preserve">(shih </w:t>
      </w:r>
      <w:r w:rsidRPr="0015324E">
        <w:rPr>
          <w:rFonts w:ascii="Times New Roman" w:eastAsia="Arial Unicode MS" w:hAnsi="Times New Roman"/>
          <w:i/>
          <w:sz w:val="24"/>
          <w:szCs w:val="24"/>
          <w:lang w:val="sq-AL"/>
        </w:rPr>
        <w:t>vendimin nr. 55 datë 21.07.2015</w:t>
      </w:r>
      <w:r w:rsidRPr="0015324E">
        <w:rPr>
          <w:rFonts w:ascii="Times New Roman" w:hAnsi="Times New Roman"/>
          <w:i/>
          <w:sz w:val="24"/>
          <w:szCs w:val="24"/>
          <w:lang w:val="sq-AL"/>
        </w:rPr>
        <w:t xml:space="preserve"> të Gjykatës Kushtetuese).</w:t>
      </w:r>
      <w:r w:rsidRPr="0015324E">
        <w:rPr>
          <w:rFonts w:ascii="Times New Roman" w:hAnsi="Times New Roman"/>
          <w:sz w:val="24"/>
          <w:szCs w:val="24"/>
          <w:lang w:val="sq-AL"/>
        </w:rPr>
        <w:t xml:space="preserve">  </w:t>
      </w:r>
    </w:p>
    <w:p w:rsidR="00CB7B24" w:rsidRPr="0015324E" w:rsidRDefault="00CB7B24" w:rsidP="00CB7B24">
      <w:pPr>
        <w:tabs>
          <w:tab w:val="left" w:pos="851"/>
        </w:tabs>
        <w:spacing w:after="0" w:line="360" w:lineRule="auto"/>
        <w:ind w:firstLine="567"/>
        <w:contextualSpacing/>
        <w:jc w:val="both"/>
        <w:rPr>
          <w:rFonts w:ascii="Times New Roman" w:hAnsi="Times New Roman"/>
          <w:bCs/>
          <w:sz w:val="24"/>
          <w:szCs w:val="24"/>
          <w:lang w:val="sq-AL"/>
        </w:rPr>
      </w:pPr>
      <w:r w:rsidRPr="0015324E">
        <w:rPr>
          <w:rFonts w:ascii="Times New Roman" w:hAnsi="Times New Roman"/>
          <w:sz w:val="24"/>
          <w:szCs w:val="24"/>
          <w:lang w:val="sq-AL"/>
        </w:rPr>
        <w:t xml:space="preserve">     1</w:t>
      </w:r>
      <w:r>
        <w:rPr>
          <w:rFonts w:ascii="Times New Roman" w:hAnsi="Times New Roman"/>
          <w:sz w:val="24"/>
          <w:szCs w:val="24"/>
          <w:lang w:val="sq-AL"/>
        </w:rPr>
        <w:t>8</w:t>
      </w:r>
      <w:r w:rsidRPr="0015324E">
        <w:rPr>
          <w:rFonts w:ascii="Times New Roman" w:hAnsi="Times New Roman"/>
          <w:sz w:val="24"/>
          <w:szCs w:val="24"/>
          <w:lang w:val="sq-AL"/>
        </w:rPr>
        <w:t xml:space="preserve">. Në vështrim të standardeve të sipërpërmendura, </w:t>
      </w:r>
      <w:r w:rsidRPr="0015324E">
        <w:rPr>
          <w:rFonts w:ascii="Times New Roman" w:hAnsi="Times New Roman"/>
          <w:bCs/>
          <w:sz w:val="24"/>
          <w:szCs w:val="24"/>
          <w:lang w:val="sq-AL"/>
        </w:rPr>
        <w:t xml:space="preserve">balancimi i të drejtave, është metoda kryesore që përdoret nga Gjykata, kur ndodhemi para “konfliktit të të drejtave” dhe në rastin konkret nga njëra anë qëndron e drejta e jetës dhe sigurisë së shëndetit publik,  ndërsa nga ana tjetër liria e tubimit. </w:t>
      </w:r>
    </w:p>
    <w:p w:rsidR="00CB7B24" w:rsidRPr="0015324E" w:rsidRDefault="00CB7B24" w:rsidP="00CB7B24">
      <w:pPr>
        <w:tabs>
          <w:tab w:val="left" w:pos="851"/>
        </w:tabs>
        <w:spacing w:after="0" w:line="360" w:lineRule="auto"/>
        <w:ind w:firstLine="567"/>
        <w:contextualSpacing/>
        <w:jc w:val="both"/>
        <w:rPr>
          <w:rFonts w:ascii="Times New Roman" w:hAnsi="Times New Roman"/>
          <w:sz w:val="24"/>
          <w:szCs w:val="24"/>
          <w:lang w:val="sq-AL"/>
        </w:rPr>
      </w:pPr>
      <w:r w:rsidRPr="0015324E">
        <w:rPr>
          <w:rFonts w:ascii="Times New Roman" w:hAnsi="Times New Roman"/>
          <w:bCs/>
          <w:sz w:val="24"/>
          <w:szCs w:val="24"/>
          <w:lang w:val="sq-AL"/>
        </w:rPr>
        <w:tab/>
        <w:t>1</w:t>
      </w:r>
      <w:r>
        <w:rPr>
          <w:rFonts w:ascii="Times New Roman" w:hAnsi="Times New Roman"/>
          <w:bCs/>
          <w:sz w:val="24"/>
          <w:szCs w:val="24"/>
          <w:lang w:val="sq-AL"/>
        </w:rPr>
        <w:t>9</w:t>
      </w:r>
      <w:r w:rsidRPr="0015324E">
        <w:rPr>
          <w:rFonts w:ascii="Times New Roman" w:hAnsi="Times New Roman"/>
          <w:bCs/>
          <w:sz w:val="24"/>
          <w:szCs w:val="24"/>
          <w:lang w:val="sq-AL"/>
        </w:rPr>
        <w:t xml:space="preserve">. </w:t>
      </w:r>
      <w:r>
        <w:rPr>
          <w:rFonts w:ascii="Times New Roman" w:hAnsi="Times New Roman"/>
          <w:bCs/>
          <w:sz w:val="24"/>
          <w:szCs w:val="24"/>
          <w:lang w:val="sq-AL"/>
        </w:rPr>
        <w:t>Për s</w:t>
      </w:r>
      <w:r w:rsidRPr="0015324E">
        <w:rPr>
          <w:rFonts w:ascii="Times New Roman" w:hAnsi="Times New Roman"/>
          <w:bCs/>
          <w:sz w:val="24"/>
          <w:szCs w:val="24"/>
          <w:lang w:val="sq-AL"/>
        </w:rPr>
        <w:t>a i përket të drejtës së jetës, kjo Gjykatë ka vlerësuar se</w:t>
      </w:r>
      <w:r w:rsidRPr="0015324E">
        <w:rPr>
          <w:rFonts w:ascii="Times New Roman" w:hAnsi="Times New Roman"/>
          <w:sz w:val="24"/>
          <w:szCs w:val="24"/>
          <w:lang w:val="sq-AL"/>
        </w:rPr>
        <w:t xml:space="preserve"> “Kushtetuta e Republikës së Shqipërisë në nenin 21 të saj parashikon se: “Jeta e personit mbrohet me ligj”. Kjo dispozitë shpreh në mënyrë të drejtpërdrejtë mbrojtjen e jetës njerëzore</w:t>
      </w:r>
      <w:r>
        <w:rPr>
          <w:rFonts w:ascii="Times New Roman" w:hAnsi="Times New Roman"/>
          <w:sz w:val="24"/>
          <w:szCs w:val="24"/>
          <w:lang w:val="sq-AL"/>
        </w:rPr>
        <w:t>,</w:t>
      </w:r>
      <w:r w:rsidRPr="0015324E">
        <w:rPr>
          <w:rFonts w:ascii="Times New Roman" w:hAnsi="Times New Roman"/>
          <w:sz w:val="24"/>
          <w:szCs w:val="24"/>
          <w:lang w:val="sq-AL"/>
        </w:rPr>
        <w:t xml:space="preserve"> e cila përbën një vlerë kushtetuese. Koncepti për jetën dhe dinjiteti</w:t>
      </w:r>
      <w:r>
        <w:rPr>
          <w:rFonts w:ascii="Times New Roman" w:hAnsi="Times New Roman"/>
          <w:sz w:val="24"/>
          <w:szCs w:val="24"/>
          <w:lang w:val="sq-AL"/>
        </w:rPr>
        <w:t>n</w:t>
      </w:r>
      <w:r w:rsidRPr="0015324E">
        <w:rPr>
          <w:rFonts w:ascii="Times New Roman" w:hAnsi="Times New Roman"/>
          <w:sz w:val="24"/>
          <w:szCs w:val="24"/>
          <w:lang w:val="sq-AL"/>
        </w:rPr>
        <w:t xml:space="preserve"> njerëzor paraqiten në dispozitat e Kushtetutës si vlera shumë të rëndësishme, të cilat konsiderohen si burimi nga i cili rrjedhin të gjitha të drejtat e tjera si të drejta themelore. (...) Thelbi i dispozitave kushtetuese është nxjerrja sa më në pah e atyre drejtimeve themelore që si orientim primar kanë respektimin e vlerës së jetës dhe të dinjitetit njerëzor. Vlera më superiore për shtetin është njeriu dhe jeta e tij. Kjo e drejtë qëndron në themel të të gjitha të drejtave dhe mohimi i saj sjell edhe eliminimin e të drejtave të tjera njerëzore. Jeta njerëzore</w:t>
      </w:r>
      <w:r>
        <w:rPr>
          <w:rFonts w:ascii="Times New Roman" w:hAnsi="Times New Roman"/>
          <w:sz w:val="24"/>
          <w:szCs w:val="24"/>
          <w:lang w:val="sq-AL"/>
        </w:rPr>
        <w:t>,</w:t>
      </w:r>
      <w:r w:rsidRPr="0015324E">
        <w:rPr>
          <w:rFonts w:ascii="Times New Roman" w:hAnsi="Times New Roman"/>
          <w:sz w:val="24"/>
          <w:szCs w:val="24"/>
          <w:lang w:val="sq-AL"/>
        </w:rPr>
        <w:t xml:space="preserve"> duke u konsideruar e tillë që nga fillimi i saj, bëhet një vlerë mbi të gjitha vlerat e tjera që mbrohet nga Kushtetuta. Ky është </w:t>
      </w:r>
      <w:r>
        <w:rPr>
          <w:rFonts w:ascii="Times New Roman" w:hAnsi="Times New Roman"/>
          <w:sz w:val="24"/>
          <w:szCs w:val="24"/>
          <w:lang w:val="sq-AL"/>
        </w:rPr>
        <w:t>e</w:t>
      </w:r>
      <w:r w:rsidRPr="0015324E">
        <w:rPr>
          <w:rFonts w:ascii="Times New Roman" w:hAnsi="Times New Roman"/>
          <w:sz w:val="24"/>
          <w:szCs w:val="24"/>
          <w:lang w:val="sq-AL"/>
        </w:rPr>
        <w:t>dhe qëllimi i Kushtetutës sonë, i cili del që në Preambulën e saj, si dhe në mjaft dispozita të tjera” (</w:t>
      </w:r>
      <w:r w:rsidRPr="0015324E">
        <w:rPr>
          <w:rFonts w:ascii="Times New Roman" w:hAnsi="Times New Roman"/>
          <w:i/>
          <w:sz w:val="24"/>
          <w:szCs w:val="24"/>
          <w:lang w:val="sq-AL"/>
        </w:rPr>
        <w:t>shih vendimin nr.65, datë 10.12.1999 të Gjykatës Kushtetuese</w:t>
      </w:r>
      <w:r w:rsidRPr="0015324E">
        <w:rPr>
          <w:rFonts w:ascii="Times New Roman" w:hAnsi="Times New Roman"/>
          <w:sz w:val="24"/>
          <w:szCs w:val="24"/>
          <w:lang w:val="sq-AL"/>
        </w:rPr>
        <w:t xml:space="preserve">). </w:t>
      </w:r>
    </w:p>
    <w:p w:rsidR="00CB7B24" w:rsidRPr="0015324E" w:rsidRDefault="00CB7B24" w:rsidP="00CB7B24">
      <w:pPr>
        <w:tabs>
          <w:tab w:val="left" w:pos="851"/>
        </w:tabs>
        <w:spacing w:after="0" w:line="360" w:lineRule="auto"/>
        <w:ind w:firstLine="567"/>
        <w:contextualSpacing/>
        <w:jc w:val="both"/>
        <w:rPr>
          <w:rFonts w:ascii="Times New Roman" w:hAnsi="Times New Roman"/>
          <w:sz w:val="24"/>
          <w:szCs w:val="24"/>
          <w:lang w:val="sq-AL"/>
        </w:rPr>
      </w:pPr>
      <w:r>
        <w:rPr>
          <w:rFonts w:ascii="Times New Roman" w:hAnsi="Times New Roman"/>
          <w:sz w:val="24"/>
          <w:szCs w:val="24"/>
          <w:lang w:val="sq-AL"/>
        </w:rPr>
        <w:t>20</w:t>
      </w:r>
      <w:r w:rsidRPr="0015324E">
        <w:rPr>
          <w:rFonts w:ascii="Times New Roman" w:hAnsi="Times New Roman"/>
          <w:sz w:val="24"/>
          <w:szCs w:val="24"/>
          <w:lang w:val="sq-AL"/>
        </w:rPr>
        <w:t xml:space="preserve">. </w:t>
      </w:r>
      <w:r>
        <w:rPr>
          <w:rFonts w:ascii="Times New Roman" w:hAnsi="Times New Roman"/>
          <w:sz w:val="24"/>
          <w:szCs w:val="24"/>
          <w:lang w:val="sq-AL"/>
        </w:rPr>
        <w:t>Për s</w:t>
      </w:r>
      <w:r w:rsidRPr="0015324E">
        <w:rPr>
          <w:rFonts w:ascii="Times New Roman" w:hAnsi="Times New Roman"/>
          <w:sz w:val="24"/>
          <w:szCs w:val="24"/>
          <w:lang w:val="sq-AL"/>
        </w:rPr>
        <w:t>a i përket lirisë së tubimit, Gjykata Kushtetuese nuk ka jurisprudencë të mëparshme, por GJEDNJ</w:t>
      </w:r>
      <w:r>
        <w:rPr>
          <w:rFonts w:ascii="Times New Roman" w:hAnsi="Times New Roman"/>
          <w:sz w:val="24"/>
          <w:szCs w:val="24"/>
          <w:lang w:val="sq-AL"/>
        </w:rPr>
        <w:t>-ja</w:t>
      </w:r>
      <w:r w:rsidRPr="0015324E">
        <w:rPr>
          <w:rFonts w:ascii="Times New Roman" w:hAnsi="Times New Roman"/>
          <w:sz w:val="24"/>
          <w:szCs w:val="24"/>
          <w:lang w:val="sq-AL"/>
        </w:rPr>
        <w:t xml:space="preserve"> si gjykatë me kompetenca ekskluzive, </w:t>
      </w:r>
      <w:r>
        <w:rPr>
          <w:rFonts w:ascii="Times New Roman" w:hAnsi="Times New Roman"/>
          <w:sz w:val="24"/>
          <w:szCs w:val="24"/>
          <w:lang w:val="sq-AL"/>
        </w:rPr>
        <w:t xml:space="preserve">për </w:t>
      </w:r>
      <w:r w:rsidRPr="0015324E">
        <w:rPr>
          <w:rFonts w:ascii="Times New Roman" w:hAnsi="Times New Roman"/>
          <w:sz w:val="24"/>
          <w:szCs w:val="24"/>
          <w:lang w:val="sq-AL"/>
        </w:rPr>
        <w:t>sa i përket nenit 17 të Kushtetutës, në sistemin tonë juridik, ka theksuar:</w:t>
      </w:r>
      <w:r w:rsidRPr="0015324E">
        <w:rPr>
          <w:rFonts w:ascii="Times New Roman" w:eastAsia="Times New Roman" w:hAnsi="Times New Roman"/>
          <w:sz w:val="24"/>
          <w:szCs w:val="24"/>
          <w:lang w:val="sq-AL" w:eastAsia="sq-AL"/>
        </w:rPr>
        <w:t xml:space="preserve"> </w:t>
      </w:r>
      <w:r>
        <w:rPr>
          <w:rFonts w:ascii="Times New Roman" w:eastAsia="Times New Roman" w:hAnsi="Times New Roman"/>
          <w:sz w:val="24"/>
          <w:szCs w:val="24"/>
          <w:lang w:val="sq-AL" w:eastAsia="sq-AL"/>
        </w:rPr>
        <w:t>“</w:t>
      </w:r>
      <w:r w:rsidRPr="0015324E">
        <w:rPr>
          <w:rFonts w:ascii="Times New Roman" w:hAnsi="Times New Roman"/>
          <w:sz w:val="24"/>
          <w:szCs w:val="24"/>
          <w:lang w:val="sq-AL"/>
        </w:rPr>
        <w:t xml:space="preserve">Një ndërhyrje në lirinë e tubimit paqësor do të përbëjë shkelje të nenit 11 nëse nuk është "parashikuar nga ligji", nuk ndjek një ose më shumë “qëllime legjitime” sipas paragrafit 2 të nenit 11 dhe nuk është </w:t>
      </w:r>
      <w:r>
        <w:rPr>
          <w:rFonts w:ascii="Times New Roman" w:hAnsi="Times New Roman"/>
          <w:sz w:val="24"/>
          <w:szCs w:val="24"/>
          <w:lang w:val="sq-AL"/>
        </w:rPr>
        <w:t>“</w:t>
      </w:r>
      <w:r w:rsidRPr="0015324E">
        <w:rPr>
          <w:rFonts w:ascii="Times New Roman" w:hAnsi="Times New Roman"/>
          <w:sz w:val="24"/>
          <w:szCs w:val="24"/>
          <w:lang w:val="sq-AL"/>
        </w:rPr>
        <w:t>i nevojshëm në një shoqëri demokratike</w:t>
      </w:r>
      <w:r>
        <w:rPr>
          <w:rFonts w:ascii="Times New Roman" w:hAnsi="Times New Roman"/>
          <w:sz w:val="24"/>
          <w:szCs w:val="24"/>
          <w:lang w:val="sq-AL"/>
        </w:rPr>
        <w:t>”</w:t>
      </w:r>
      <w:r w:rsidRPr="0015324E">
        <w:rPr>
          <w:rFonts w:ascii="Times New Roman" w:hAnsi="Times New Roman"/>
          <w:sz w:val="24"/>
          <w:szCs w:val="24"/>
          <w:lang w:val="sq-AL"/>
        </w:rPr>
        <w:t xml:space="preserve"> për të arritur qëllimin ose synimet në fjalë</w:t>
      </w:r>
      <w:r>
        <w:rPr>
          <w:rFonts w:ascii="Times New Roman" w:hAnsi="Times New Roman"/>
          <w:sz w:val="24"/>
          <w:szCs w:val="24"/>
          <w:lang w:val="sq-AL"/>
        </w:rPr>
        <w:t>”</w:t>
      </w:r>
      <w:r w:rsidRPr="0015324E">
        <w:rPr>
          <w:rFonts w:ascii="Times New Roman" w:hAnsi="Times New Roman"/>
          <w:sz w:val="24"/>
          <w:szCs w:val="24"/>
          <w:lang w:val="sq-AL"/>
        </w:rPr>
        <w:t xml:space="preserve"> </w:t>
      </w:r>
      <w:r w:rsidRPr="0015324E">
        <w:rPr>
          <w:rFonts w:ascii="Times New Roman" w:hAnsi="Times New Roman"/>
          <w:i/>
          <w:sz w:val="24"/>
          <w:szCs w:val="24"/>
          <w:lang w:val="sq-AL"/>
        </w:rPr>
        <w:t>(shih Vyerentsov kundër Ukrainës, kërkesa nr.20372/11, Aktgjykimi datë 11 korrik 2013</w:t>
      </w:r>
      <w:r>
        <w:rPr>
          <w:rFonts w:ascii="Times New Roman" w:hAnsi="Times New Roman"/>
          <w:i/>
          <w:sz w:val="24"/>
          <w:szCs w:val="24"/>
          <w:lang w:val="sq-AL"/>
        </w:rPr>
        <w:t>,</w:t>
      </w:r>
      <w:r w:rsidRPr="0015324E">
        <w:rPr>
          <w:rFonts w:ascii="Times New Roman" w:hAnsi="Times New Roman"/>
          <w:i/>
          <w:sz w:val="24"/>
          <w:szCs w:val="24"/>
          <w:lang w:val="sq-AL"/>
        </w:rPr>
        <w:t xml:space="preserve"> prg. 51).</w:t>
      </w:r>
      <w:r w:rsidRPr="0015324E">
        <w:rPr>
          <w:rFonts w:ascii="Times New Roman" w:hAnsi="Times New Roman"/>
          <w:sz w:val="24"/>
          <w:szCs w:val="24"/>
          <w:lang w:val="sq-AL"/>
        </w:rPr>
        <w:t xml:space="preserve"> Në disa raste GJEDNJ-ja i ka gjetur të mbështetura kufizimet mbi grumbullimet publike (si p.sh</w:t>
      </w:r>
      <w:r>
        <w:rPr>
          <w:rFonts w:ascii="Times New Roman" w:hAnsi="Times New Roman"/>
          <w:sz w:val="24"/>
          <w:szCs w:val="24"/>
          <w:lang w:val="sq-AL"/>
        </w:rPr>
        <w:t>.</w:t>
      </w:r>
      <w:r w:rsidRPr="0015324E">
        <w:rPr>
          <w:rFonts w:ascii="Times New Roman" w:hAnsi="Times New Roman"/>
          <w:sz w:val="24"/>
          <w:szCs w:val="24"/>
          <w:lang w:val="sq-AL"/>
        </w:rPr>
        <w:t xml:space="preserve"> kufizime të vendit ose numrit të pjesëmarrësve), ku qëllimi ishte mbrojtja e sigurisë publike ose ruajtja e rendit publik. Ajo nuk gjeti shkelje të nenit 11 të Konventës kur grumbullimi u shpërnda për të mbrojtur shëndetin dhe sigurinë e pjesëmarrësve </w:t>
      </w:r>
      <w:r w:rsidRPr="0015324E">
        <w:rPr>
          <w:rFonts w:ascii="Times New Roman" w:hAnsi="Times New Roman"/>
          <w:i/>
          <w:sz w:val="24"/>
          <w:szCs w:val="24"/>
          <w:lang w:val="sq-AL"/>
        </w:rPr>
        <w:t xml:space="preserve">(shih Chappell kundër Mbretërisë së Bashkuar, nr.12587/86, vendimi i datës 14 korrik 1987; Cisse kundër Francës, nr. 51346/99, vendimi i datës 9 prill 2002). </w:t>
      </w:r>
      <w:r w:rsidRPr="0015324E">
        <w:rPr>
          <w:rFonts w:ascii="Times New Roman" w:hAnsi="Times New Roman"/>
          <w:sz w:val="24"/>
          <w:szCs w:val="24"/>
          <w:lang w:val="sq-AL"/>
        </w:rPr>
        <w:t>Për të garantuar pajtueshmërinë me nenin 11 të KEDNJ</w:t>
      </w:r>
      <w:r>
        <w:rPr>
          <w:rFonts w:ascii="Times New Roman" w:hAnsi="Times New Roman"/>
          <w:sz w:val="24"/>
          <w:szCs w:val="24"/>
          <w:lang w:val="sq-AL"/>
        </w:rPr>
        <w:t>-së</w:t>
      </w:r>
      <w:r w:rsidRPr="0015324E">
        <w:rPr>
          <w:rFonts w:ascii="Times New Roman" w:hAnsi="Times New Roman"/>
          <w:sz w:val="24"/>
          <w:szCs w:val="24"/>
          <w:lang w:val="sq-AL"/>
        </w:rPr>
        <w:t>, çdo kufizim i  lirisë së tubimeve duhet të formulohet me terma sa më të qart</w:t>
      </w:r>
      <w:r>
        <w:rPr>
          <w:rFonts w:ascii="Times New Roman" w:hAnsi="Times New Roman"/>
          <w:sz w:val="24"/>
          <w:szCs w:val="24"/>
          <w:lang w:val="sq-AL"/>
        </w:rPr>
        <w:t>ë</w:t>
      </w:r>
      <w:r w:rsidRPr="0015324E">
        <w:rPr>
          <w:rFonts w:ascii="Times New Roman" w:hAnsi="Times New Roman"/>
          <w:sz w:val="24"/>
          <w:szCs w:val="24"/>
          <w:lang w:val="sq-AL"/>
        </w:rPr>
        <w:t xml:space="preserve"> brenda rrethanave, për shembull</w:t>
      </w:r>
      <w:r>
        <w:rPr>
          <w:rFonts w:ascii="Times New Roman" w:hAnsi="Times New Roman"/>
          <w:sz w:val="24"/>
          <w:szCs w:val="24"/>
          <w:lang w:val="sq-AL"/>
        </w:rPr>
        <w:t>,</w:t>
      </w:r>
      <w:r w:rsidRPr="0015324E">
        <w:rPr>
          <w:rFonts w:ascii="Times New Roman" w:hAnsi="Times New Roman"/>
          <w:sz w:val="24"/>
          <w:szCs w:val="24"/>
          <w:lang w:val="sq-AL"/>
        </w:rPr>
        <w:t xml:space="preserve"> duke specifikuar numrin e saktë të njerëzve që lejohet të takohen në të njëjtën kohë, për të zvogëluar rrezikun e ndërhyrjes arbitrare në të drejtën e organizimit</w:t>
      </w:r>
      <w:r w:rsidRPr="0015324E">
        <w:rPr>
          <w:rStyle w:val="FootnoteReference"/>
          <w:sz w:val="24"/>
          <w:szCs w:val="24"/>
          <w:lang w:val="sq-AL"/>
        </w:rPr>
        <w:footnoteReference w:id="1"/>
      </w:r>
      <w:r w:rsidRPr="0015324E">
        <w:rPr>
          <w:rFonts w:ascii="Times New Roman" w:hAnsi="Times New Roman"/>
          <w:sz w:val="24"/>
          <w:szCs w:val="24"/>
          <w:lang w:val="sq-AL"/>
        </w:rPr>
        <w:t xml:space="preserve">.  </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Pr>
          <w:rFonts w:ascii="Times New Roman" w:eastAsia="Times New Roman" w:hAnsi="Times New Roman"/>
          <w:sz w:val="24"/>
          <w:szCs w:val="24"/>
          <w:lang w:val="sq-AL" w:eastAsia="sq-AL"/>
        </w:rPr>
        <w:t>21</w:t>
      </w:r>
      <w:r w:rsidRPr="0015324E">
        <w:rPr>
          <w:rFonts w:ascii="Times New Roman" w:eastAsia="Times New Roman" w:hAnsi="Times New Roman"/>
          <w:sz w:val="24"/>
          <w:szCs w:val="24"/>
          <w:lang w:val="sq-AL" w:eastAsia="sq-AL"/>
        </w:rPr>
        <w:t xml:space="preserve">. Në rastin konkret, kufizimi i ushtrimit të lirisë së tubimit publik duhet të kalojë provën e proporcionalitetit, duhet të ketë një ekuilibër të drejtë midis </w:t>
      </w:r>
      <w:r>
        <w:rPr>
          <w:rFonts w:ascii="Times New Roman" w:eastAsia="Times New Roman" w:hAnsi="Times New Roman"/>
          <w:sz w:val="24"/>
          <w:szCs w:val="24"/>
          <w:lang w:val="sq-AL" w:eastAsia="sq-AL"/>
        </w:rPr>
        <w:t>s</w:t>
      </w:r>
      <w:r w:rsidRPr="0015324E">
        <w:rPr>
          <w:rFonts w:ascii="Times New Roman" w:eastAsia="Times New Roman" w:hAnsi="Times New Roman"/>
          <w:sz w:val="24"/>
          <w:szCs w:val="24"/>
          <w:lang w:val="sq-AL" w:eastAsia="sq-AL"/>
        </w:rPr>
        <w:t xml:space="preserve">ë drejtës së qytetarëve që ushtrojnë lirinë për t’u grumbulluar dhe për të tubuar në mënyrë paqësore, si dhe interesit publik të mbrojtjes së sigurisë së shëndetit dhe të jetës të njerëzve. </w:t>
      </w:r>
    </w:p>
    <w:p w:rsidR="00CB7B24" w:rsidRPr="0015324E" w:rsidRDefault="00CB7B24" w:rsidP="00CB7B24">
      <w:pPr>
        <w:tabs>
          <w:tab w:val="left" w:pos="851"/>
        </w:tabs>
        <w:spacing w:after="0" w:line="360" w:lineRule="auto"/>
        <w:ind w:firstLine="567"/>
        <w:contextualSpacing/>
        <w:jc w:val="both"/>
        <w:rPr>
          <w:rFonts w:ascii="Times New Roman" w:hAnsi="Times New Roman"/>
          <w:sz w:val="24"/>
          <w:szCs w:val="24"/>
          <w:lang w:val="sq-AL"/>
        </w:rPr>
      </w:pPr>
      <w:r w:rsidRPr="0015324E">
        <w:rPr>
          <w:rFonts w:ascii="Times New Roman" w:eastAsia="Times New Roman" w:hAnsi="Times New Roman"/>
          <w:sz w:val="24"/>
          <w:szCs w:val="24"/>
          <w:lang w:val="sq-AL" w:eastAsia="sq-AL"/>
        </w:rPr>
        <w:t>2</w:t>
      </w:r>
      <w:r>
        <w:rPr>
          <w:rFonts w:ascii="Times New Roman" w:eastAsia="Times New Roman" w:hAnsi="Times New Roman"/>
          <w:sz w:val="24"/>
          <w:szCs w:val="24"/>
          <w:lang w:val="sq-AL" w:eastAsia="sq-AL"/>
        </w:rPr>
        <w:t>2</w:t>
      </w:r>
      <w:r w:rsidRPr="0015324E">
        <w:rPr>
          <w:rFonts w:ascii="Times New Roman" w:eastAsia="Times New Roman" w:hAnsi="Times New Roman"/>
          <w:sz w:val="24"/>
          <w:szCs w:val="24"/>
          <w:lang w:val="sq-AL" w:eastAsia="sq-AL"/>
        </w:rPr>
        <w:t xml:space="preserve">. </w:t>
      </w:r>
      <w:r w:rsidRPr="0015324E">
        <w:rPr>
          <w:rFonts w:ascii="Times New Roman" w:hAnsi="Times New Roman"/>
          <w:sz w:val="24"/>
          <w:szCs w:val="24"/>
          <w:lang w:val="sq-AL"/>
        </w:rPr>
        <w:t>Në këndvështrim të testit të balancës së të drejtave, liria e tubimit, e cila garantohet nga neni 47 i Kushtetutës</w:t>
      </w:r>
      <w:r>
        <w:rPr>
          <w:rFonts w:ascii="Times New Roman" w:hAnsi="Times New Roman"/>
          <w:sz w:val="24"/>
          <w:szCs w:val="24"/>
          <w:lang w:val="sq-AL"/>
        </w:rPr>
        <w:t>,</w:t>
      </w:r>
      <w:r w:rsidRPr="0015324E">
        <w:rPr>
          <w:rFonts w:ascii="Times New Roman" w:hAnsi="Times New Roman"/>
          <w:sz w:val="24"/>
          <w:szCs w:val="24"/>
          <w:lang w:val="sq-AL"/>
        </w:rPr>
        <w:t xml:space="preserve"> qëndron më poshtë se e drejta e jetës së qytetarëve, e cila garantohet nga neni 21 i Kushtetutës. Mbrojtja e jetës përbën një vlerë kushtetuese dhe burimin e të gjitha të drejtave të tjera, si të drejta themelore </w:t>
      </w:r>
      <w:r w:rsidRPr="0015324E">
        <w:rPr>
          <w:rFonts w:ascii="Times New Roman" w:hAnsi="Times New Roman"/>
          <w:i/>
          <w:sz w:val="24"/>
          <w:szCs w:val="24"/>
          <w:lang w:val="sq-AL"/>
        </w:rPr>
        <w:t>(shih vendimin nr. 65, datë 10.12.1999 të Gjykatës Kushtetuese</w:t>
      </w:r>
      <w:r w:rsidRPr="0015324E">
        <w:rPr>
          <w:rFonts w:ascii="Times New Roman" w:hAnsi="Times New Roman"/>
          <w:sz w:val="24"/>
          <w:szCs w:val="24"/>
          <w:lang w:val="sq-AL"/>
        </w:rPr>
        <w:t xml:space="preserve">). </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hAnsi="Times New Roman"/>
          <w:sz w:val="24"/>
          <w:szCs w:val="24"/>
          <w:lang w:val="sq-AL"/>
        </w:rPr>
        <w:t>2</w:t>
      </w:r>
      <w:r>
        <w:rPr>
          <w:rFonts w:ascii="Times New Roman" w:hAnsi="Times New Roman"/>
          <w:sz w:val="24"/>
          <w:szCs w:val="24"/>
          <w:lang w:val="sq-AL"/>
        </w:rPr>
        <w:t>3</w:t>
      </w:r>
      <w:r w:rsidRPr="0015324E">
        <w:rPr>
          <w:rFonts w:ascii="Times New Roman" w:hAnsi="Times New Roman"/>
          <w:sz w:val="24"/>
          <w:szCs w:val="24"/>
          <w:lang w:val="sq-AL"/>
        </w:rPr>
        <w:t xml:space="preserve">. Edhe Gjykata Federale Gjermane  në disa raste, duke vlerësuar </w:t>
      </w:r>
      <w:r w:rsidRPr="0015324E">
        <w:rPr>
          <w:rFonts w:ascii="Times New Roman" w:hAnsi="Times New Roman"/>
          <w:i/>
          <w:sz w:val="24"/>
          <w:szCs w:val="24"/>
          <w:lang w:val="sq-AL"/>
        </w:rPr>
        <w:t>balancën e pasojave</w:t>
      </w:r>
      <w:r w:rsidRPr="0015324E">
        <w:rPr>
          <w:rFonts w:ascii="Times New Roman" w:hAnsi="Times New Roman"/>
          <w:sz w:val="24"/>
          <w:szCs w:val="24"/>
          <w:lang w:val="sq-AL"/>
        </w:rPr>
        <w:t xml:space="preserve">, </w:t>
      </w:r>
      <w:r>
        <w:rPr>
          <w:rFonts w:ascii="Times New Roman" w:hAnsi="Times New Roman"/>
          <w:sz w:val="24"/>
          <w:szCs w:val="24"/>
          <w:lang w:val="sq-AL"/>
        </w:rPr>
        <w:t xml:space="preserve">ka </w:t>
      </w:r>
      <w:r w:rsidRPr="0015324E">
        <w:rPr>
          <w:rFonts w:ascii="Times New Roman" w:hAnsi="Times New Roman"/>
          <w:sz w:val="24"/>
          <w:szCs w:val="24"/>
          <w:lang w:val="sq-AL"/>
        </w:rPr>
        <w:t>konstat</w:t>
      </w:r>
      <w:r>
        <w:rPr>
          <w:rFonts w:ascii="Times New Roman" w:hAnsi="Times New Roman"/>
          <w:sz w:val="24"/>
          <w:szCs w:val="24"/>
          <w:lang w:val="sq-AL"/>
        </w:rPr>
        <w:t>uar</w:t>
      </w:r>
      <w:r w:rsidRPr="0015324E">
        <w:rPr>
          <w:rFonts w:ascii="Times New Roman" w:hAnsi="Times New Roman"/>
          <w:sz w:val="24"/>
          <w:szCs w:val="24"/>
          <w:lang w:val="sq-AL"/>
        </w:rPr>
        <w:t xml:space="preserve"> se e drejta për të lejuar grumbullimin duhet të qëndro</w:t>
      </w:r>
      <w:r>
        <w:rPr>
          <w:rFonts w:ascii="Times New Roman" w:hAnsi="Times New Roman"/>
          <w:sz w:val="24"/>
          <w:szCs w:val="24"/>
          <w:lang w:val="sq-AL"/>
        </w:rPr>
        <w:t xml:space="preserve">jë </w:t>
      </w:r>
      <w:r w:rsidRPr="0015324E">
        <w:rPr>
          <w:rFonts w:ascii="Times New Roman" w:hAnsi="Times New Roman"/>
          <w:sz w:val="24"/>
          <w:szCs w:val="24"/>
          <w:lang w:val="sq-AL"/>
        </w:rPr>
        <w:t>më poshtë të drejtave të mbrojtura me Kushtetutë për sigurimin e mbrojtjen e jetës së qytetarëve</w:t>
      </w:r>
      <w:r w:rsidRPr="0015324E">
        <w:rPr>
          <w:rStyle w:val="FootnoteReference"/>
          <w:sz w:val="24"/>
          <w:szCs w:val="24"/>
          <w:lang w:val="sq-AL"/>
        </w:rPr>
        <w:footnoteReference w:id="2"/>
      </w:r>
      <w:r w:rsidRPr="0015324E">
        <w:rPr>
          <w:rFonts w:ascii="Times New Roman" w:hAnsi="Times New Roman"/>
          <w:sz w:val="24"/>
          <w:szCs w:val="24"/>
          <w:lang w:val="sq-AL"/>
        </w:rPr>
        <w:t xml:space="preserve">.  Konkretisht, po citojmë disa nga vendimet e kësaj gjykate: “Qëllimi i urdhrit për ndalimin e grumbullimeve është mbrojtja e jetës dhe integritetit fizik, për të cilat shteti në parim ka detyrim t’i mbrojë sipas nenit 2, paragrafi 2, pika 1 e </w:t>
      </w:r>
      <w:r>
        <w:rPr>
          <w:rFonts w:ascii="Times New Roman" w:hAnsi="Times New Roman"/>
          <w:sz w:val="24"/>
          <w:szCs w:val="24"/>
          <w:lang w:val="sq-AL"/>
        </w:rPr>
        <w:t>l</w:t>
      </w:r>
      <w:r w:rsidRPr="0015324E">
        <w:rPr>
          <w:rFonts w:ascii="Times New Roman" w:hAnsi="Times New Roman"/>
          <w:sz w:val="24"/>
          <w:szCs w:val="24"/>
          <w:lang w:val="sq-AL"/>
        </w:rPr>
        <w:t xml:space="preserve">igjit </w:t>
      </w:r>
      <w:r>
        <w:rPr>
          <w:rFonts w:ascii="Times New Roman" w:hAnsi="Times New Roman"/>
          <w:sz w:val="24"/>
          <w:szCs w:val="24"/>
          <w:lang w:val="sq-AL"/>
        </w:rPr>
        <w:t>t</w:t>
      </w:r>
      <w:r w:rsidRPr="0015324E">
        <w:rPr>
          <w:rFonts w:ascii="Times New Roman" w:hAnsi="Times New Roman"/>
          <w:sz w:val="24"/>
          <w:szCs w:val="24"/>
          <w:lang w:val="sq-AL"/>
        </w:rPr>
        <w:t>hemelor. Nëse, siç pretendon kërkuesi, një numër i madh njerëzish do të mblidheshin në një hapësirë të kufizuar</w:t>
      </w:r>
      <w:r>
        <w:rPr>
          <w:rFonts w:ascii="Times New Roman" w:hAnsi="Times New Roman"/>
          <w:sz w:val="24"/>
          <w:szCs w:val="24"/>
          <w:lang w:val="sq-AL"/>
        </w:rPr>
        <w:t>,</w:t>
      </w:r>
      <w:r w:rsidRPr="0015324E">
        <w:rPr>
          <w:rFonts w:ascii="Times New Roman" w:hAnsi="Times New Roman"/>
          <w:sz w:val="24"/>
          <w:szCs w:val="24"/>
          <w:lang w:val="sq-AL"/>
        </w:rPr>
        <w:t xml:space="preserve"> do të kishte një rrezik real për një përhapje të mëtejshme dhe të pakuptueshme të virusit, i cili duhet të shmanget veçanërisht për të mbrojtur kapacitetet e trajtimit mjekësor nga mbingarkesa. Kur krahasohen këto pasoja, interesi i kërkuesit për të mbajtur takimin e planifikuar qëndron më poshtë” (</w:t>
      </w:r>
      <w:r w:rsidRPr="0015324E">
        <w:rPr>
          <w:rFonts w:ascii="Times New Roman" w:hAnsi="Times New Roman"/>
          <w:i/>
          <w:sz w:val="24"/>
          <w:szCs w:val="24"/>
          <w:lang w:val="sq-AL"/>
        </w:rPr>
        <w:t>1 BvQ 29/20</w:t>
      </w:r>
      <w:r w:rsidRPr="0015324E">
        <w:rPr>
          <w:rFonts w:ascii="Times New Roman" w:hAnsi="Times New Roman"/>
          <w:sz w:val="24"/>
          <w:szCs w:val="24"/>
          <w:lang w:val="sq-AL"/>
        </w:rPr>
        <w:t>). “Kur krahasohen këto pasoja, interesi i kërkuesit për të mbajtur takimin e planifikuar me më shumë se 5,000 pjesëmarrës qëndron më poshtë. Ajo që është veçanërisht e rëndësishme këtu është që aplikanti në parim është i aftë të ushtrojë të drejtat e tij themelore. Ai mund ta mbajë mbledhjen në çfarëdo mënyre që dëshiron, si për nga koha</w:t>
      </w:r>
      <w:r>
        <w:rPr>
          <w:rFonts w:ascii="Times New Roman" w:hAnsi="Times New Roman"/>
          <w:sz w:val="24"/>
          <w:szCs w:val="24"/>
          <w:lang w:val="sq-AL"/>
        </w:rPr>
        <w:t>,</w:t>
      </w:r>
      <w:r w:rsidRPr="0015324E">
        <w:rPr>
          <w:rFonts w:ascii="Times New Roman" w:hAnsi="Times New Roman"/>
          <w:sz w:val="24"/>
          <w:szCs w:val="24"/>
          <w:lang w:val="sq-AL"/>
        </w:rPr>
        <w:t xml:space="preserve"> ashtu edhe nga vendi” (</w:t>
      </w:r>
      <w:r w:rsidRPr="0015324E">
        <w:rPr>
          <w:rFonts w:ascii="Times New Roman" w:hAnsi="Times New Roman"/>
          <w:i/>
          <w:sz w:val="24"/>
          <w:szCs w:val="24"/>
          <w:lang w:val="sq-AL"/>
        </w:rPr>
        <w:t>1 BvQ 63/20</w:t>
      </w:r>
      <w:r w:rsidRPr="0015324E">
        <w:rPr>
          <w:rFonts w:ascii="Times New Roman" w:hAnsi="Times New Roman"/>
          <w:sz w:val="24"/>
          <w:szCs w:val="24"/>
          <w:lang w:val="sq-AL"/>
        </w:rPr>
        <w:t>)</w:t>
      </w:r>
      <w:r>
        <w:rPr>
          <w:rFonts w:ascii="Times New Roman" w:hAnsi="Times New Roman"/>
          <w:sz w:val="24"/>
          <w:szCs w:val="24"/>
          <w:lang w:val="sq-AL"/>
        </w:rPr>
        <w:t>.</w:t>
      </w:r>
      <w:r w:rsidRPr="0015324E">
        <w:rPr>
          <w:rFonts w:ascii="Times New Roman" w:hAnsi="Times New Roman"/>
          <w:sz w:val="24"/>
          <w:szCs w:val="24"/>
          <w:lang w:val="sq-AL"/>
        </w:rPr>
        <w:t xml:space="preserve"> “Kur krahasohen pasojat e mundshme, interesi i kërkuesit për të zhvilluar mbledhjen e planifikuar duhet të shihet në lidhje me mbrojtjen e jetës dhe integritetit fizik, të cilin shteti është gjithashtu i detyruar të mbrojë sipas nenit 2, paragrafi 2, klauzola 1 e </w:t>
      </w:r>
      <w:r>
        <w:rPr>
          <w:rFonts w:ascii="Times New Roman" w:hAnsi="Times New Roman"/>
          <w:sz w:val="24"/>
          <w:szCs w:val="24"/>
          <w:lang w:val="sq-AL"/>
        </w:rPr>
        <w:t>l</w:t>
      </w:r>
      <w:r w:rsidRPr="0015324E">
        <w:rPr>
          <w:rFonts w:ascii="Times New Roman" w:hAnsi="Times New Roman"/>
          <w:sz w:val="24"/>
          <w:szCs w:val="24"/>
          <w:lang w:val="sq-AL"/>
        </w:rPr>
        <w:t xml:space="preserve">igjit </w:t>
      </w:r>
      <w:r>
        <w:rPr>
          <w:rFonts w:ascii="Times New Roman" w:hAnsi="Times New Roman"/>
          <w:sz w:val="24"/>
          <w:szCs w:val="24"/>
          <w:lang w:val="sq-AL"/>
        </w:rPr>
        <w:t>t</w:t>
      </w:r>
      <w:r w:rsidRPr="0015324E">
        <w:rPr>
          <w:rFonts w:ascii="Times New Roman" w:hAnsi="Times New Roman"/>
          <w:sz w:val="24"/>
          <w:szCs w:val="24"/>
          <w:lang w:val="sq-AL"/>
        </w:rPr>
        <w:t>hemelor” (</w:t>
      </w:r>
      <w:r w:rsidRPr="0015324E">
        <w:rPr>
          <w:rFonts w:ascii="Times New Roman" w:hAnsi="Times New Roman"/>
          <w:i/>
          <w:sz w:val="24"/>
          <w:szCs w:val="24"/>
          <w:lang w:val="sq-AL"/>
        </w:rPr>
        <w:t>1 BvR 1004/20</w:t>
      </w:r>
      <w:r w:rsidRPr="0015324E">
        <w:rPr>
          <w:rFonts w:ascii="Times New Roman" w:hAnsi="Times New Roman"/>
          <w:sz w:val="24"/>
          <w:szCs w:val="24"/>
          <w:lang w:val="sq-AL"/>
        </w:rPr>
        <w:t>).</w:t>
      </w:r>
    </w:p>
    <w:p w:rsidR="00CB7B24" w:rsidRPr="0015324E" w:rsidRDefault="00CB7B24" w:rsidP="00CB7B24">
      <w:pPr>
        <w:tabs>
          <w:tab w:val="left" w:pos="851"/>
        </w:tabs>
        <w:spacing w:after="0" w:line="360" w:lineRule="auto"/>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ab/>
        <w:t>2</w:t>
      </w:r>
      <w:r>
        <w:rPr>
          <w:rFonts w:ascii="Times New Roman" w:eastAsia="Times New Roman" w:hAnsi="Times New Roman"/>
          <w:sz w:val="24"/>
          <w:szCs w:val="24"/>
          <w:lang w:val="sq-AL" w:eastAsia="sq-AL"/>
        </w:rPr>
        <w:t>4</w:t>
      </w:r>
      <w:r w:rsidRPr="0015324E">
        <w:rPr>
          <w:rFonts w:ascii="Times New Roman" w:eastAsia="Times New Roman" w:hAnsi="Times New Roman"/>
          <w:sz w:val="24"/>
          <w:szCs w:val="24"/>
          <w:lang w:val="sq-AL" w:eastAsia="sq-AL"/>
        </w:rPr>
        <w:t xml:space="preserve">. Edhe në këndvështrim të jurisprudencës së mësipërme të Gjykatës Federale Gjermane, ku theksi i vihet </w:t>
      </w:r>
      <w:r w:rsidRPr="0015324E">
        <w:rPr>
          <w:rFonts w:ascii="Times New Roman" w:eastAsia="Times New Roman" w:hAnsi="Times New Roman"/>
          <w:i/>
          <w:sz w:val="24"/>
          <w:szCs w:val="24"/>
          <w:lang w:val="sq-AL" w:eastAsia="sq-AL"/>
        </w:rPr>
        <w:t>balancimit të pasojave</w:t>
      </w:r>
      <w:r w:rsidRPr="0015324E">
        <w:rPr>
          <w:rFonts w:ascii="Times New Roman" w:eastAsia="Times New Roman" w:hAnsi="Times New Roman"/>
          <w:sz w:val="24"/>
          <w:szCs w:val="24"/>
          <w:lang w:val="sq-AL" w:eastAsia="sq-AL"/>
        </w:rPr>
        <w:t xml:space="preserve">, vlerësojmë se situata e pandemisë paraqet probleme në këndvështrim të së drejtës së shëndetit dhe sigurisë së jetës jo vetëm në lidhje me ardhjen e pasojave të dëmshme, por për më tepër në drejtim të parandalimit të atyre pasojave që edhe shkencërisht nuk mund të parashikohen saktë se deri në çfarë përmase do të shfaqen. </w:t>
      </w:r>
      <w:r w:rsidRPr="0015324E">
        <w:rPr>
          <w:rFonts w:ascii="Times New Roman" w:hAnsi="Times New Roman"/>
          <w:sz w:val="24"/>
          <w:szCs w:val="24"/>
          <w:lang w:val="sq-AL"/>
        </w:rPr>
        <w:t xml:space="preserve">Duhet mbajtur në konsideratë se gjatë një tubimi pjesëmarrësit mund të mos i respektojnë rregullat e distancimit fizik, mund të kenë kontakt të afërt për një kohë të gjatë dhe mund të mos e mbajnë maskën gjatë gjithë kohës. Po kështu, nuk përjashtohet mundësia e kontaktit të pjesëmarrësve në tubimin elektoral me kalimtarë të rastit, çka mund të përbëjë një rrezik të shtuar infektimi dhe përhapje të pakontrolluar të virusit.  Ndërkohë që pjesëmarrësit në tubim kanë kontakte dhe me familjarët e tyre, që mund të mos kenë qenë pjesë e tubimit, duke e bërë të vështirë dhe të paparashikueshme menaxhimin e ardhjes së pasojave </w:t>
      </w:r>
      <w:r>
        <w:rPr>
          <w:rFonts w:ascii="Times New Roman" w:hAnsi="Times New Roman"/>
          <w:sz w:val="24"/>
          <w:szCs w:val="24"/>
          <w:lang w:val="sq-AL"/>
        </w:rPr>
        <w:t>për</w:t>
      </w:r>
      <w:r w:rsidRPr="0015324E">
        <w:rPr>
          <w:rFonts w:ascii="Times New Roman" w:hAnsi="Times New Roman"/>
          <w:sz w:val="24"/>
          <w:szCs w:val="24"/>
          <w:lang w:val="sq-AL"/>
        </w:rPr>
        <w:t xml:space="preserve"> shëndetin publik dhe sigurinë e jetës së njerëzve.</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2</w:t>
      </w:r>
      <w:r>
        <w:rPr>
          <w:rFonts w:ascii="Times New Roman" w:eastAsia="Times New Roman" w:hAnsi="Times New Roman"/>
          <w:sz w:val="24"/>
          <w:szCs w:val="24"/>
          <w:lang w:val="sq-AL" w:eastAsia="sq-AL"/>
        </w:rPr>
        <w:t>5</w:t>
      </w:r>
      <w:r w:rsidRPr="0015324E">
        <w:rPr>
          <w:rFonts w:ascii="Times New Roman" w:eastAsia="Times New Roman" w:hAnsi="Times New Roman"/>
          <w:sz w:val="24"/>
          <w:szCs w:val="24"/>
          <w:lang w:val="sq-AL" w:eastAsia="sq-AL"/>
        </w:rPr>
        <w:t xml:space="preserve">. Për sa më lart, </w:t>
      </w:r>
      <w:r w:rsidRPr="0015324E">
        <w:rPr>
          <w:rFonts w:ascii="Times New Roman" w:hAnsi="Times New Roman"/>
          <w:sz w:val="24"/>
          <w:szCs w:val="24"/>
          <w:lang w:val="sq-AL"/>
        </w:rPr>
        <w:t>e drejta themelore për jetën dhe integritetin fizik nënkupton</w:t>
      </w:r>
      <w:r>
        <w:rPr>
          <w:rFonts w:ascii="Times New Roman" w:hAnsi="Times New Roman"/>
          <w:sz w:val="24"/>
          <w:szCs w:val="24"/>
          <w:lang w:val="sq-AL"/>
        </w:rPr>
        <w:t>,</w:t>
      </w:r>
      <w:r w:rsidRPr="0015324E">
        <w:rPr>
          <w:rFonts w:ascii="Times New Roman" w:hAnsi="Times New Roman"/>
          <w:sz w:val="24"/>
          <w:szCs w:val="24"/>
          <w:lang w:val="sq-AL"/>
        </w:rPr>
        <w:t xml:space="preserve"> së pari, një detyrë të shtetit për të mbrojtur jetën e njerëzve dhe individin nga </w:t>
      </w:r>
      <w:r w:rsidRPr="00406928">
        <w:rPr>
          <w:rFonts w:ascii="Times New Roman" w:hAnsi="Times New Roman"/>
          <w:sz w:val="24"/>
          <w:szCs w:val="24"/>
          <w:lang w:val="sq-AL"/>
        </w:rPr>
        <w:t>pasoja si dëmtimet e shëndetit, apo humbja e jetës. Interesi publik i ruajtjes së shëndetit në rastin konkret e tejkalon interesin</w:t>
      </w:r>
      <w:r w:rsidRPr="0015324E">
        <w:rPr>
          <w:rFonts w:ascii="Times New Roman" w:hAnsi="Times New Roman"/>
          <w:sz w:val="24"/>
          <w:szCs w:val="24"/>
          <w:lang w:val="sq-AL"/>
        </w:rPr>
        <w:t xml:space="preserve"> e kërkueses për të mbajtur një tubim apo mbledhje partiake, pa numër të kufizuar njerëzish, duke ruajtur masat higjienike e distancat. Kufizimet përkatëse, para fushatës zgjedhore, reflektojnë një balancim të mjaftueshëm mes interesit publik</w:t>
      </w:r>
      <w:r>
        <w:rPr>
          <w:rFonts w:ascii="Times New Roman" w:hAnsi="Times New Roman"/>
          <w:sz w:val="24"/>
          <w:szCs w:val="24"/>
          <w:lang w:val="sq-AL"/>
        </w:rPr>
        <w:t>,</w:t>
      </w:r>
      <w:r w:rsidRPr="0015324E">
        <w:rPr>
          <w:rFonts w:ascii="Times New Roman" w:hAnsi="Times New Roman"/>
          <w:sz w:val="24"/>
          <w:szCs w:val="24"/>
          <w:lang w:val="sq-AL"/>
        </w:rPr>
        <w:t xml:space="preserve"> në njërën anë</w:t>
      </w:r>
      <w:r>
        <w:rPr>
          <w:rFonts w:ascii="Times New Roman" w:hAnsi="Times New Roman"/>
          <w:sz w:val="24"/>
          <w:szCs w:val="24"/>
          <w:lang w:val="sq-AL"/>
        </w:rPr>
        <w:t>,</w:t>
      </w:r>
      <w:r w:rsidRPr="0015324E">
        <w:rPr>
          <w:rFonts w:ascii="Times New Roman" w:hAnsi="Times New Roman"/>
          <w:sz w:val="24"/>
          <w:szCs w:val="24"/>
          <w:lang w:val="sq-AL"/>
        </w:rPr>
        <w:t xml:space="preserve"> dhe </w:t>
      </w:r>
      <w:r>
        <w:rPr>
          <w:rFonts w:ascii="Times New Roman" w:hAnsi="Times New Roman"/>
          <w:sz w:val="24"/>
          <w:szCs w:val="24"/>
          <w:lang w:val="sq-AL"/>
        </w:rPr>
        <w:t>s</w:t>
      </w:r>
      <w:r w:rsidRPr="0015324E">
        <w:rPr>
          <w:rFonts w:ascii="Times New Roman" w:hAnsi="Times New Roman"/>
          <w:sz w:val="24"/>
          <w:szCs w:val="24"/>
          <w:lang w:val="sq-AL"/>
        </w:rPr>
        <w:t>ë drejtës së kërkueses</w:t>
      </w:r>
      <w:r>
        <w:rPr>
          <w:rFonts w:ascii="Times New Roman" w:hAnsi="Times New Roman"/>
          <w:sz w:val="24"/>
          <w:szCs w:val="24"/>
          <w:lang w:val="sq-AL"/>
        </w:rPr>
        <w:t>,</w:t>
      </w:r>
      <w:r w:rsidRPr="0015324E">
        <w:rPr>
          <w:rFonts w:ascii="Times New Roman" w:hAnsi="Times New Roman"/>
          <w:sz w:val="24"/>
          <w:szCs w:val="24"/>
          <w:lang w:val="sq-AL"/>
        </w:rPr>
        <w:t xml:space="preserve"> nga ana tjetër. </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2</w:t>
      </w:r>
      <w:r>
        <w:rPr>
          <w:rFonts w:ascii="Times New Roman" w:eastAsia="Times New Roman" w:hAnsi="Times New Roman"/>
          <w:sz w:val="24"/>
          <w:szCs w:val="24"/>
          <w:lang w:val="sq-AL" w:eastAsia="sq-AL"/>
        </w:rPr>
        <w:t>6</w:t>
      </w:r>
      <w:r w:rsidRPr="0015324E">
        <w:rPr>
          <w:rFonts w:ascii="Times New Roman" w:eastAsia="Times New Roman" w:hAnsi="Times New Roman"/>
          <w:sz w:val="24"/>
          <w:szCs w:val="24"/>
          <w:lang w:val="sq-AL" w:eastAsia="sq-AL"/>
        </w:rPr>
        <w:t xml:space="preserve">. Masa e marrë nga </w:t>
      </w:r>
      <w:r>
        <w:rPr>
          <w:rFonts w:ascii="Times New Roman" w:eastAsia="Times New Roman" w:hAnsi="Times New Roman"/>
          <w:sz w:val="24"/>
          <w:szCs w:val="24"/>
          <w:lang w:val="sq-AL" w:eastAsia="sq-AL"/>
        </w:rPr>
        <w:t>m</w:t>
      </w:r>
      <w:r w:rsidRPr="0015324E">
        <w:rPr>
          <w:rFonts w:ascii="Times New Roman" w:eastAsia="Times New Roman" w:hAnsi="Times New Roman"/>
          <w:sz w:val="24"/>
          <w:szCs w:val="24"/>
          <w:lang w:val="sq-AL" w:eastAsia="sq-AL"/>
        </w:rPr>
        <w:t xml:space="preserve">inistri i Shëndetësisë është ndalimi i grumbullimeve, tubimeve dhe mbledhjeve partiake mbi 10 </w:t>
      </w:r>
      <w:r>
        <w:rPr>
          <w:rFonts w:ascii="Times New Roman" w:eastAsia="Times New Roman" w:hAnsi="Times New Roman"/>
          <w:sz w:val="24"/>
          <w:szCs w:val="24"/>
          <w:lang w:val="sq-AL" w:eastAsia="sq-AL"/>
        </w:rPr>
        <w:t>persona</w:t>
      </w:r>
      <w:r w:rsidRPr="0015324E">
        <w:rPr>
          <w:rFonts w:ascii="Times New Roman" w:eastAsia="Times New Roman" w:hAnsi="Times New Roman"/>
          <w:sz w:val="24"/>
          <w:szCs w:val="24"/>
          <w:lang w:val="sq-AL" w:eastAsia="sq-AL"/>
        </w:rPr>
        <w:t>, deri në një urdhër të dytë. Pyetja që shtrohet është</w:t>
      </w:r>
      <w:r>
        <w:rPr>
          <w:rFonts w:ascii="Times New Roman" w:eastAsia="Times New Roman" w:hAnsi="Times New Roman"/>
          <w:sz w:val="24"/>
          <w:szCs w:val="24"/>
          <w:lang w:val="sq-AL" w:eastAsia="sq-AL"/>
        </w:rPr>
        <w:t>:</w:t>
      </w:r>
      <w:r w:rsidRPr="0015324E">
        <w:rPr>
          <w:rFonts w:ascii="Times New Roman" w:eastAsia="Times New Roman" w:hAnsi="Times New Roman"/>
          <w:sz w:val="24"/>
          <w:szCs w:val="24"/>
          <w:lang w:val="sq-AL" w:eastAsia="sq-AL"/>
        </w:rPr>
        <w:t xml:space="preserve"> a e ka cenuar thelbin e tubimit kjo masë dhe a është ndërhyrja më e ashpër se sa qëllimi i vetë ndërhyrjes për të parandaluar përhapjen e sëmundjes</w:t>
      </w:r>
      <w:r>
        <w:rPr>
          <w:rFonts w:ascii="Times New Roman" w:eastAsia="Times New Roman" w:hAnsi="Times New Roman"/>
          <w:sz w:val="24"/>
          <w:szCs w:val="24"/>
          <w:lang w:val="sq-AL" w:eastAsia="sq-AL"/>
        </w:rPr>
        <w:t>,</w:t>
      </w:r>
      <w:r w:rsidRPr="0015324E">
        <w:rPr>
          <w:rFonts w:ascii="Times New Roman" w:eastAsia="Times New Roman" w:hAnsi="Times New Roman"/>
          <w:sz w:val="24"/>
          <w:szCs w:val="24"/>
          <w:lang w:val="sq-AL" w:eastAsia="sq-AL"/>
        </w:rPr>
        <w:t xml:space="preserve"> për shkak të grumbullimit të personave pavarësisht nga qëllimi, por përfshirë dhe qëllimet politike?</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2</w:t>
      </w:r>
      <w:r>
        <w:rPr>
          <w:rFonts w:ascii="Times New Roman" w:eastAsia="Times New Roman" w:hAnsi="Times New Roman"/>
          <w:sz w:val="24"/>
          <w:szCs w:val="24"/>
          <w:lang w:val="sq-AL" w:eastAsia="sq-AL"/>
        </w:rPr>
        <w:t>7</w:t>
      </w:r>
      <w:r w:rsidRPr="0015324E">
        <w:rPr>
          <w:rFonts w:ascii="Times New Roman" w:hAnsi="Times New Roman"/>
          <w:sz w:val="24"/>
          <w:szCs w:val="24"/>
          <w:lang w:val="sq-AL"/>
        </w:rPr>
        <w:t xml:space="preserve"> </w:t>
      </w:r>
      <w:r>
        <w:rPr>
          <w:rFonts w:ascii="Times New Roman" w:hAnsi="Times New Roman"/>
          <w:sz w:val="24"/>
          <w:szCs w:val="24"/>
          <w:lang w:val="sq-AL"/>
        </w:rPr>
        <w:t>P</w:t>
      </w:r>
      <w:r w:rsidRPr="0015324E">
        <w:rPr>
          <w:rFonts w:ascii="Times New Roman" w:hAnsi="Times New Roman"/>
          <w:sz w:val="24"/>
          <w:szCs w:val="24"/>
          <w:lang w:val="sq-AL"/>
        </w:rPr>
        <w:t xml:space="preserve">arametrat </w:t>
      </w:r>
      <w:r>
        <w:rPr>
          <w:rFonts w:ascii="Times New Roman" w:hAnsi="Times New Roman"/>
          <w:sz w:val="24"/>
          <w:szCs w:val="24"/>
          <w:lang w:val="sq-AL"/>
        </w:rPr>
        <w:t xml:space="preserve">kushtetues të masës </w:t>
      </w:r>
      <w:r w:rsidRPr="0015324E">
        <w:rPr>
          <w:rFonts w:ascii="Times New Roman" w:hAnsi="Times New Roman"/>
          <w:sz w:val="24"/>
          <w:szCs w:val="24"/>
          <w:lang w:val="sq-AL"/>
        </w:rPr>
        <w:t>ndërhyrës</w:t>
      </w:r>
      <w:r>
        <w:rPr>
          <w:rFonts w:ascii="Times New Roman" w:hAnsi="Times New Roman"/>
          <w:sz w:val="24"/>
          <w:szCs w:val="24"/>
          <w:lang w:val="sq-AL"/>
        </w:rPr>
        <w:t>e</w:t>
      </w:r>
      <w:r w:rsidRPr="0015324E">
        <w:rPr>
          <w:rFonts w:ascii="Times New Roman" w:hAnsi="Times New Roman"/>
          <w:sz w:val="24"/>
          <w:szCs w:val="24"/>
          <w:lang w:val="sq-AL"/>
        </w:rPr>
        <w:t>: (i) nevoja; (ii) domosdoshmëria</w:t>
      </w:r>
      <w:r>
        <w:rPr>
          <w:rFonts w:ascii="Times New Roman" w:hAnsi="Times New Roman"/>
          <w:sz w:val="24"/>
          <w:szCs w:val="24"/>
          <w:lang w:val="sq-AL"/>
        </w:rPr>
        <w:t>;</w:t>
      </w:r>
      <w:r w:rsidRPr="0015324E">
        <w:rPr>
          <w:rFonts w:ascii="Times New Roman" w:hAnsi="Times New Roman"/>
          <w:sz w:val="24"/>
          <w:szCs w:val="24"/>
          <w:lang w:val="sq-AL"/>
        </w:rPr>
        <w:t xml:space="preserve"> (iii) përshtatshmëria, do të elaborohen në vijim në vështrim të standardeve kushtetuese. </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2</w:t>
      </w:r>
      <w:r>
        <w:rPr>
          <w:rFonts w:ascii="Times New Roman" w:eastAsia="Times New Roman" w:hAnsi="Times New Roman"/>
          <w:sz w:val="24"/>
          <w:szCs w:val="24"/>
          <w:lang w:val="sq-AL" w:eastAsia="sq-AL"/>
        </w:rPr>
        <w:t>8</w:t>
      </w:r>
      <w:r w:rsidRPr="0015324E">
        <w:rPr>
          <w:rFonts w:ascii="Times New Roman" w:eastAsia="Times New Roman" w:hAnsi="Times New Roman"/>
          <w:sz w:val="24"/>
          <w:szCs w:val="24"/>
          <w:lang w:val="sq-AL" w:eastAsia="sq-AL"/>
        </w:rPr>
        <w:t>.</w:t>
      </w:r>
      <w:r w:rsidRPr="0015324E">
        <w:rPr>
          <w:rFonts w:ascii="Times New Roman" w:hAnsi="Times New Roman"/>
          <w:sz w:val="24"/>
          <w:szCs w:val="24"/>
          <w:lang w:val="sq-AL"/>
        </w:rPr>
        <w:t xml:space="preserve"> </w:t>
      </w:r>
      <w:r w:rsidRPr="0015324E">
        <w:rPr>
          <w:rFonts w:ascii="Times New Roman" w:hAnsi="Times New Roman"/>
          <w:i/>
          <w:sz w:val="24"/>
          <w:szCs w:val="24"/>
          <w:lang w:val="sq-AL"/>
        </w:rPr>
        <w:t>Nevoja</w:t>
      </w:r>
      <w:r w:rsidRPr="0015324E">
        <w:rPr>
          <w:rFonts w:ascii="Times New Roman" w:hAnsi="Times New Roman"/>
          <w:sz w:val="24"/>
          <w:szCs w:val="24"/>
          <w:lang w:val="sq-AL"/>
        </w:rPr>
        <w:t xml:space="preserve"> do të thotë se duhet të ketë një lidhje të arsyeshme mes kufizimit dhe gjendjes që ka ne</w:t>
      </w:r>
      <w:r>
        <w:rPr>
          <w:rFonts w:ascii="Times New Roman" w:hAnsi="Times New Roman"/>
          <w:sz w:val="24"/>
          <w:szCs w:val="24"/>
          <w:lang w:val="sq-AL"/>
        </w:rPr>
        <w:t>vojë për ndërhyrje. Nga kërkuesja</w:t>
      </w:r>
      <w:r w:rsidRPr="0015324E">
        <w:rPr>
          <w:rFonts w:ascii="Times New Roman" w:hAnsi="Times New Roman"/>
          <w:sz w:val="24"/>
          <w:szCs w:val="24"/>
          <w:lang w:val="sq-AL"/>
        </w:rPr>
        <w:t xml:space="preserve"> nuk është vënë në diskutim nevoja, i cili në kërkesë dhe në seancë gjyqësore pranon rëndësinë e situatës dhe nevojën e ndërhyrjes. Po ashtu</w:t>
      </w:r>
      <w:r>
        <w:rPr>
          <w:rFonts w:ascii="Times New Roman" w:hAnsi="Times New Roman"/>
          <w:sz w:val="24"/>
          <w:szCs w:val="24"/>
          <w:lang w:val="sq-AL"/>
        </w:rPr>
        <w:t>,</w:t>
      </w:r>
      <w:r w:rsidRPr="0015324E">
        <w:rPr>
          <w:rFonts w:ascii="Times New Roman" w:hAnsi="Times New Roman"/>
          <w:sz w:val="24"/>
          <w:szCs w:val="24"/>
          <w:lang w:val="sq-AL"/>
        </w:rPr>
        <w:t xml:space="preserve"> </w:t>
      </w:r>
      <w:r>
        <w:rPr>
          <w:rFonts w:ascii="Times New Roman" w:hAnsi="Times New Roman"/>
          <w:sz w:val="24"/>
          <w:szCs w:val="24"/>
          <w:lang w:val="sq-AL"/>
        </w:rPr>
        <w:t>e</w:t>
      </w:r>
      <w:r w:rsidRPr="0015324E">
        <w:rPr>
          <w:rFonts w:ascii="Times New Roman" w:hAnsi="Times New Roman"/>
          <w:sz w:val="24"/>
          <w:szCs w:val="24"/>
          <w:lang w:val="sq-AL"/>
        </w:rPr>
        <w:t xml:space="preserve">dhe subjekti i interesuar shpjegoi para Gjykatës gjendjen e vendit si rezultat i pandemisë dhe nevojën e ndërhyrjes. Në këto kushte, vlerësojmë se kufizimi i përgjigjet mjaftueshëm kriterit të nevojës për mbrojtjen e shëndetit publik në marrjen e masave kufizuese. </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2</w:t>
      </w:r>
      <w:r>
        <w:rPr>
          <w:rFonts w:ascii="Times New Roman" w:eastAsia="Times New Roman" w:hAnsi="Times New Roman"/>
          <w:sz w:val="24"/>
          <w:szCs w:val="24"/>
          <w:lang w:val="sq-AL" w:eastAsia="sq-AL"/>
        </w:rPr>
        <w:t>9</w:t>
      </w:r>
      <w:r w:rsidRPr="0015324E">
        <w:rPr>
          <w:rFonts w:ascii="Times New Roman" w:eastAsia="Times New Roman" w:hAnsi="Times New Roman"/>
          <w:sz w:val="24"/>
          <w:szCs w:val="24"/>
          <w:lang w:val="sq-AL" w:eastAsia="sq-AL"/>
        </w:rPr>
        <w:t xml:space="preserve">. </w:t>
      </w:r>
      <w:r w:rsidRPr="0015324E">
        <w:rPr>
          <w:rFonts w:ascii="Times New Roman" w:eastAsia="Times New Roman" w:hAnsi="Times New Roman"/>
          <w:i/>
          <w:sz w:val="24"/>
          <w:szCs w:val="24"/>
          <w:lang w:val="sq-AL" w:eastAsia="sq-AL"/>
        </w:rPr>
        <w:t>D</w:t>
      </w:r>
      <w:r w:rsidRPr="0015324E">
        <w:rPr>
          <w:rFonts w:ascii="Times New Roman" w:hAnsi="Times New Roman"/>
          <w:i/>
          <w:sz w:val="24"/>
          <w:szCs w:val="24"/>
          <w:lang w:val="sq-AL"/>
        </w:rPr>
        <w:t>omosdoshmëria</w:t>
      </w:r>
      <w:r w:rsidRPr="0015324E">
        <w:rPr>
          <w:rFonts w:ascii="Times New Roman" w:hAnsi="Times New Roman"/>
          <w:sz w:val="24"/>
          <w:szCs w:val="24"/>
          <w:lang w:val="sq-AL"/>
        </w:rPr>
        <w:t xml:space="preserve"> e masës ka lidhje me faktin se mjeti i ndërhyrjes duhet të jetë jo i ashpër dhe të dëmtojë të drejtën e kufizuar vetëm për aq sa të arrihet qëllimi, duke mos e shuar thelbin e së drejtës. Sipas kërkueses, mas</w:t>
      </w:r>
      <w:r>
        <w:rPr>
          <w:rFonts w:ascii="Times New Roman" w:hAnsi="Times New Roman"/>
          <w:sz w:val="24"/>
          <w:szCs w:val="24"/>
          <w:lang w:val="sq-AL"/>
        </w:rPr>
        <w:t>ë</w:t>
      </w:r>
      <w:r w:rsidRPr="0015324E">
        <w:rPr>
          <w:rFonts w:ascii="Times New Roman" w:hAnsi="Times New Roman"/>
          <w:sz w:val="24"/>
          <w:szCs w:val="24"/>
          <w:lang w:val="sq-AL"/>
        </w:rPr>
        <w:t xml:space="preserve"> më pak e ashpër do të ishte nëse urdhri do të lejonte çdo lloj grumbullimi, pa numër të caktuar, por duke ruajtur masat hi</w:t>
      </w:r>
      <w:r>
        <w:rPr>
          <w:rFonts w:ascii="Times New Roman" w:hAnsi="Times New Roman"/>
          <w:sz w:val="24"/>
          <w:szCs w:val="24"/>
          <w:lang w:val="sq-AL"/>
        </w:rPr>
        <w:t>g</w:t>
      </w:r>
      <w:r w:rsidRPr="0015324E">
        <w:rPr>
          <w:rFonts w:ascii="Times New Roman" w:hAnsi="Times New Roman"/>
          <w:sz w:val="24"/>
          <w:szCs w:val="24"/>
          <w:lang w:val="sq-AL"/>
        </w:rPr>
        <w:t>jienike dhe distancat (</w:t>
      </w:r>
      <w:r w:rsidRPr="0015324E">
        <w:rPr>
          <w:rFonts w:ascii="Times New Roman" w:hAnsi="Times New Roman"/>
          <w:i/>
          <w:sz w:val="24"/>
          <w:szCs w:val="24"/>
          <w:lang w:val="sq-AL"/>
        </w:rPr>
        <w:t>referuar pyetjeve dhe përgjigjeve specifike sipas procesverbalit të seancës së datës 02.03.2021</w:t>
      </w:r>
      <w:r w:rsidRPr="0015324E">
        <w:rPr>
          <w:rFonts w:ascii="Times New Roman" w:hAnsi="Times New Roman"/>
          <w:sz w:val="24"/>
          <w:szCs w:val="24"/>
          <w:lang w:val="sq-AL"/>
        </w:rPr>
        <w:t xml:space="preserve">). </w:t>
      </w:r>
    </w:p>
    <w:p w:rsidR="00CB7B24" w:rsidRPr="001B11E3"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Pr>
          <w:rFonts w:ascii="Times New Roman" w:eastAsia="Times New Roman" w:hAnsi="Times New Roman"/>
          <w:sz w:val="24"/>
          <w:szCs w:val="24"/>
          <w:lang w:val="sq-AL" w:eastAsia="sq-AL"/>
        </w:rPr>
        <w:t>30</w:t>
      </w:r>
      <w:r w:rsidRPr="0015324E">
        <w:rPr>
          <w:rFonts w:ascii="Times New Roman" w:eastAsia="Times New Roman" w:hAnsi="Times New Roman"/>
          <w:sz w:val="24"/>
          <w:szCs w:val="24"/>
          <w:lang w:val="sq-AL" w:eastAsia="sq-AL"/>
        </w:rPr>
        <w:t xml:space="preserve">. </w:t>
      </w:r>
      <w:r w:rsidRPr="0015324E">
        <w:rPr>
          <w:rFonts w:ascii="Times New Roman" w:hAnsi="Times New Roman"/>
          <w:sz w:val="24"/>
          <w:szCs w:val="24"/>
          <w:lang w:val="sq-AL"/>
        </w:rPr>
        <w:t xml:space="preserve">Shumica në këtë drejtim ka analizuar se </w:t>
      </w:r>
      <w:r w:rsidRPr="0015324E">
        <w:rPr>
          <w:rFonts w:ascii="Times New Roman" w:hAnsi="Times New Roman"/>
          <w:iCs/>
          <w:sz w:val="24"/>
          <w:szCs w:val="24"/>
          <w:lang w:val="sq-AL"/>
        </w:rPr>
        <w:t>“.....</w:t>
      </w:r>
      <w:r w:rsidRPr="0015324E">
        <w:rPr>
          <w:rFonts w:ascii="Times New Roman" w:hAnsi="Times New Roman"/>
          <w:sz w:val="24"/>
          <w:szCs w:val="24"/>
          <w:lang w:val="sq-AL"/>
        </w:rPr>
        <w:t>si rregull, çdo kufizim i të drejtave, në vetvete</w:t>
      </w:r>
      <w:r>
        <w:rPr>
          <w:rFonts w:ascii="Times New Roman" w:hAnsi="Times New Roman"/>
          <w:sz w:val="24"/>
          <w:szCs w:val="24"/>
          <w:lang w:val="sq-AL"/>
        </w:rPr>
        <w:t>,</w:t>
      </w:r>
      <w:r w:rsidRPr="0015324E">
        <w:rPr>
          <w:rFonts w:ascii="Times New Roman" w:hAnsi="Times New Roman"/>
          <w:sz w:val="24"/>
          <w:szCs w:val="24"/>
          <w:lang w:val="sq-AL"/>
        </w:rPr>
        <w:t xml:space="preserve"> duhet të ketë elementin e përkohshmërisë. Po ashtu, parimi i proporcionalitetit kërkon që sa më i madh të jetë kufizimi aq më i detajuar dhe bindës duhet të jetë justifikimi i tij. Në këtë këndvështrim, mënyrat alternative të ushtrimit të lirisë së shprehjes dhe të së drejtës së tubimit e justifikojnë konceptin e kufizimit të përkohshëm të tyre. Megjithatë, kur këto kufizime zgjasin pa afat, duke humbur karakteristikën e përkohshmërisë dhe për kohëzgjatjen e pacaktuar nuk jepet justifikim, ato shndërrohen në ndalim tërësor të kësaj të drejte, duke zbehur rolin që luajnë mënyrat </w:t>
      </w:r>
      <w:r w:rsidRPr="001B11E3">
        <w:rPr>
          <w:rFonts w:ascii="Times New Roman" w:hAnsi="Times New Roman"/>
          <w:sz w:val="24"/>
          <w:szCs w:val="24"/>
          <w:lang w:val="sq-AL"/>
        </w:rPr>
        <w:t>alternative.” (</w:t>
      </w:r>
      <w:r w:rsidRPr="001B11E3">
        <w:rPr>
          <w:rFonts w:ascii="Times New Roman" w:hAnsi="Times New Roman"/>
          <w:i/>
          <w:sz w:val="24"/>
          <w:szCs w:val="24"/>
          <w:lang w:val="sq-AL"/>
        </w:rPr>
        <w:t>prg.6</w:t>
      </w:r>
      <w:r>
        <w:rPr>
          <w:rFonts w:ascii="Times New Roman" w:hAnsi="Times New Roman"/>
          <w:i/>
          <w:sz w:val="24"/>
          <w:szCs w:val="24"/>
          <w:lang w:val="sq-AL"/>
        </w:rPr>
        <w:t>7</w:t>
      </w:r>
      <w:r w:rsidRPr="001B11E3">
        <w:rPr>
          <w:rFonts w:ascii="Times New Roman" w:hAnsi="Times New Roman"/>
          <w:i/>
          <w:sz w:val="24"/>
          <w:szCs w:val="24"/>
          <w:lang w:val="sq-AL"/>
        </w:rPr>
        <w:t xml:space="preserve"> i vendimit</w:t>
      </w:r>
      <w:r w:rsidRPr="001B11E3">
        <w:rPr>
          <w:rFonts w:ascii="Times New Roman" w:hAnsi="Times New Roman"/>
          <w:sz w:val="24"/>
          <w:szCs w:val="24"/>
          <w:lang w:val="sq-AL"/>
        </w:rPr>
        <w:t>).</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BC53EA">
        <w:rPr>
          <w:rFonts w:ascii="Times New Roman" w:eastAsia="Times New Roman" w:hAnsi="Times New Roman"/>
          <w:sz w:val="24"/>
          <w:szCs w:val="24"/>
          <w:lang w:val="sq-AL" w:eastAsia="sq-AL"/>
        </w:rPr>
        <w:t>31.</w:t>
      </w:r>
      <w:r w:rsidRPr="00BC53EA">
        <w:rPr>
          <w:rFonts w:ascii="Times New Roman" w:hAnsi="Times New Roman"/>
          <w:sz w:val="24"/>
          <w:szCs w:val="24"/>
          <w:lang w:val="sq-AL"/>
        </w:rPr>
        <w:t xml:space="preserve"> Pra, sipas </w:t>
      </w:r>
      <w:r w:rsidRPr="001B11E3">
        <w:rPr>
          <w:rFonts w:ascii="Times New Roman" w:hAnsi="Times New Roman"/>
          <w:sz w:val="24"/>
          <w:szCs w:val="24"/>
          <w:lang w:val="sq-AL"/>
        </w:rPr>
        <w:t>qëndrimit të shumicës, të</w:t>
      </w:r>
      <w:r w:rsidRPr="0015324E">
        <w:rPr>
          <w:rFonts w:ascii="Times New Roman" w:hAnsi="Times New Roman"/>
          <w:sz w:val="24"/>
          <w:szCs w:val="24"/>
          <w:lang w:val="sq-AL"/>
        </w:rPr>
        <w:t xml:space="preserve"> sipërcituar, mjeti i përzgjedhur, kufizimi pa afat dhe pa justifikim i kohëzgjatjes së pacaktuar të kufizimit të lirisë së tubimit, shndërrohet në ndalim tërësor të së drejtës së tubimit. </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3</w:t>
      </w:r>
      <w:r>
        <w:rPr>
          <w:rFonts w:ascii="Times New Roman" w:eastAsia="Times New Roman" w:hAnsi="Times New Roman"/>
          <w:sz w:val="24"/>
          <w:szCs w:val="24"/>
          <w:lang w:val="sq-AL" w:eastAsia="sq-AL"/>
        </w:rPr>
        <w:t>2</w:t>
      </w:r>
      <w:r w:rsidRPr="0015324E">
        <w:rPr>
          <w:rFonts w:ascii="Times New Roman" w:eastAsia="Times New Roman" w:hAnsi="Times New Roman"/>
          <w:sz w:val="24"/>
          <w:szCs w:val="24"/>
          <w:lang w:val="sq-AL" w:eastAsia="sq-AL"/>
        </w:rPr>
        <w:t xml:space="preserve">. </w:t>
      </w:r>
      <w:r w:rsidRPr="0015324E">
        <w:rPr>
          <w:rFonts w:ascii="Times New Roman" w:hAnsi="Times New Roman"/>
          <w:sz w:val="24"/>
          <w:szCs w:val="24"/>
          <w:lang w:val="sq-AL"/>
        </w:rPr>
        <w:t>Ne nuk jemi dakord me këtë qëndrim, pasi kohëzgjatj</w:t>
      </w:r>
      <w:r>
        <w:rPr>
          <w:rFonts w:ascii="Times New Roman" w:hAnsi="Times New Roman"/>
          <w:sz w:val="24"/>
          <w:szCs w:val="24"/>
          <w:lang w:val="sq-AL"/>
        </w:rPr>
        <w:t>a</w:t>
      </w:r>
      <w:r w:rsidRPr="0015324E">
        <w:rPr>
          <w:rFonts w:ascii="Times New Roman" w:hAnsi="Times New Roman"/>
          <w:sz w:val="24"/>
          <w:szCs w:val="24"/>
          <w:lang w:val="sq-AL"/>
        </w:rPr>
        <w:t xml:space="preserve"> e kufizimit në rastin konkret është mbi baza periodike dhe nuk mund të shndërrohet në ndalim tërësor të së drejtës, dhe as ta shuajë thelbin e së drejtës, për sa kohë që gjendja faktike e pandemisë verifikohet periodikisht nga Komiteti Teknik i Përkohshëm. Ministri i Shëndetësisë</w:t>
      </w:r>
      <w:r>
        <w:rPr>
          <w:rFonts w:ascii="Times New Roman" w:hAnsi="Times New Roman"/>
          <w:sz w:val="24"/>
          <w:szCs w:val="24"/>
          <w:lang w:val="sq-AL"/>
        </w:rPr>
        <w:t>,</w:t>
      </w:r>
      <w:r w:rsidRPr="0015324E">
        <w:rPr>
          <w:rFonts w:ascii="Times New Roman" w:hAnsi="Times New Roman"/>
          <w:sz w:val="24"/>
          <w:szCs w:val="24"/>
          <w:lang w:val="sq-AL"/>
        </w:rPr>
        <w:t xml:space="preserve"> bazuar në propozimet konkrete, ka të drejtë dhe mund të shfuqizojë tërësisht ose pjesërisht </w:t>
      </w:r>
      <w:r w:rsidRPr="001B11E3">
        <w:rPr>
          <w:rFonts w:ascii="Times New Roman" w:hAnsi="Times New Roman"/>
          <w:sz w:val="24"/>
          <w:szCs w:val="24"/>
          <w:lang w:val="sq-AL"/>
        </w:rPr>
        <w:t>urdhrin e tij,</w:t>
      </w:r>
      <w:r w:rsidRPr="0015324E">
        <w:rPr>
          <w:rFonts w:ascii="Times New Roman" w:hAnsi="Times New Roman"/>
          <w:sz w:val="24"/>
          <w:szCs w:val="24"/>
          <w:lang w:val="sq-AL"/>
        </w:rPr>
        <w:t xml:space="preserve"> po ashtu në mënyrë periodike. Grumbullimi i njerëzve, përmes tubimeve apo mbledhjeve partiake deri në 10 </w:t>
      </w:r>
      <w:r>
        <w:rPr>
          <w:rFonts w:ascii="Times New Roman" w:hAnsi="Times New Roman"/>
          <w:sz w:val="24"/>
          <w:szCs w:val="24"/>
          <w:lang w:val="sq-AL"/>
        </w:rPr>
        <w:t>persona,</w:t>
      </w:r>
      <w:r w:rsidRPr="0015324E">
        <w:rPr>
          <w:rFonts w:ascii="Times New Roman" w:hAnsi="Times New Roman"/>
          <w:sz w:val="24"/>
          <w:szCs w:val="24"/>
          <w:lang w:val="sq-AL"/>
        </w:rPr>
        <w:t xml:space="preserve"> vazhdon të qëndrojë në fuqi, derisa të dalë një urdhër i dytë. Ky kufizim ka filluar që kur urdhri ka hyrë në fuqi dhe e ka shoqëruar edhe fushatën parazgjedhore, por nuk do të thotë se do të shoqërojë edhe fushatën zgjedhore, ndaj dhe shumica ka kapërcyer dhe periudhën e vlerësimit që duhej të bënte në analizën e saj, në raport me të drejtën e tubimit</w:t>
      </w:r>
      <w:r>
        <w:rPr>
          <w:rFonts w:ascii="Times New Roman" w:hAnsi="Times New Roman"/>
          <w:sz w:val="24"/>
          <w:szCs w:val="24"/>
          <w:lang w:val="sq-AL"/>
        </w:rPr>
        <w:t>,</w:t>
      </w:r>
      <w:r w:rsidRPr="0015324E">
        <w:rPr>
          <w:rFonts w:ascii="Times New Roman" w:hAnsi="Times New Roman"/>
          <w:sz w:val="24"/>
          <w:szCs w:val="24"/>
          <w:lang w:val="sq-AL"/>
        </w:rPr>
        <w:t xml:space="preserve"> dhe të drejtën e informimit të zgjedhësve në fushatë zgjedhore (</w:t>
      </w:r>
      <w:r w:rsidRPr="0015324E">
        <w:rPr>
          <w:rFonts w:ascii="Times New Roman" w:hAnsi="Times New Roman"/>
          <w:i/>
          <w:sz w:val="24"/>
          <w:szCs w:val="24"/>
          <w:lang w:val="sq-AL"/>
        </w:rPr>
        <w:t>prg.</w:t>
      </w:r>
      <w:r>
        <w:rPr>
          <w:rFonts w:ascii="Times New Roman" w:hAnsi="Times New Roman"/>
          <w:i/>
          <w:sz w:val="24"/>
          <w:szCs w:val="24"/>
          <w:lang w:val="sq-AL"/>
        </w:rPr>
        <w:t>66</w:t>
      </w:r>
      <w:r w:rsidRPr="0015324E">
        <w:rPr>
          <w:rFonts w:ascii="Times New Roman" w:hAnsi="Times New Roman"/>
          <w:i/>
          <w:sz w:val="24"/>
          <w:szCs w:val="24"/>
          <w:lang w:val="sq-AL"/>
        </w:rPr>
        <w:t xml:space="preserve"> i vendimit</w:t>
      </w:r>
      <w:r w:rsidRPr="0015324E">
        <w:rPr>
          <w:rFonts w:ascii="Times New Roman" w:hAnsi="Times New Roman"/>
          <w:sz w:val="24"/>
          <w:szCs w:val="24"/>
          <w:lang w:val="sq-AL"/>
        </w:rPr>
        <w:t>)</w:t>
      </w:r>
      <w:r w:rsidRPr="0015324E">
        <w:rPr>
          <w:rFonts w:ascii="Times New Roman" w:eastAsia="Times New Roman" w:hAnsi="Times New Roman"/>
          <w:sz w:val="24"/>
          <w:szCs w:val="24"/>
          <w:lang w:val="sq-AL" w:eastAsia="sq-AL"/>
        </w:rPr>
        <w:t>. Gjatë gjykimit të çështjes, nuk kemi pasur të dhëna, deri në ditën e seancës gjyqësore, që këto masa kufizuese do të jenë po të njëjtat, do të shtrëngohen apo do të zgjerohen gjatë periudhës zgjedhore. (Kodi Zgjedhor, neni 77, fushata zgjedhore fillon 30 ditë para datës së zgjedhjeve).</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3</w:t>
      </w:r>
      <w:r>
        <w:rPr>
          <w:rFonts w:ascii="Times New Roman" w:eastAsia="Times New Roman" w:hAnsi="Times New Roman"/>
          <w:sz w:val="24"/>
          <w:szCs w:val="24"/>
          <w:lang w:val="sq-AL" w:eastAsia="sq-AL"/>
        </w:rPr>
        <w:t>3</w:t>
      </w:r>
      <w:r w:rsidRPr="0015324E">
        <w:rPr>
          <w:rFonts w:ascii="Times New Roman" w:eastAsia="Times New Roman" w:hAnsi="Times New Roman"/>
          <w:sz w:val="24"/>
          <w:szCs w:val="24"/>
          <w:lang w:val="sq-AL" w:eastAsia="sq-AL"/>
        </w:rPr>
        <w:t xml:space="preserve">. </w:t>
      </w:r>
      <w:r w:rsidRPr="0015324E">
        <w:rPr>
          <w:rFonts w:ascii="Times New Roman" w:hAnsi="Times New Roman"/>
          <w:sz w:val="24"/>
          <w:szCs w:val="24"/>
          <w:lang w:val="sq-AL"/>
        </w:rPr>
        <w:t>Neni 1 i ligjit nr.15/2016 parashikon qëllimin e tij për  mbrojtjen e popullatës nga infeksionet dhe sëmundjet infektive, duke përcaktuar rregullat dhe aktivitetet për zbulimin në kohë, evidentimin, parandalimin dhe kontrollin e tyre, për eliminimin dhe zhdukjen e sëmundshmërisë dhe të vdekshmërisë nga këto sëmundje.</w:t>
      </w:r>
      <w:r w:rsidRPr="0015324E">
        <w:rPr>
          <w:sz w:val="30"/>
          <w:szCs w:val="30"/>
          <w:lang w:val="sq-AL"/>
        </w:rPr>
        <w:t xml:space="preserve"> </w:t>
      </w:r>
      <w:r w:rsidRPr="0015324E">
        <w:rPr>
          <w:rFonts w:ascii="Times New Roman" w:hAnsi="Times New Roman"/>
          <w:sz w:val="24"/>
          <w:szCs w:val="24"/>
          <w:lang w:val="sq-AL"/>
        </w:rPr>
        <w:t xml:space="preserve">Neni 4 i ligjit nr.15/2016 parashikon parimet mbi të cilat udhëhiqen organet e parashikuara po në këtë ligj gjatë ushtrimit të detyrës dhe përgjegjësisë së mbrojtjes së shëndetit publik. </w:t>
      </w:r>
      <w:r>
        <w:rPr>
          <w:rFonts w:ascii="Times New Roman" w:hAnsi="Times New Roman"/>
          <w:sz w:val="24"/>
          <w:szCs w:val="24"/>
          <w:lang w:val="sq-AL"/>
        </w:rPr>
        <w:t>N</w:t>
      </w:r>
      <w:r w:rsidRPr="0015324E">
        <w:rPr>
          <w:rFonts w:ascii="Times New Roman" w:hAnsi="Times New Roman"/>
          <w:sz w:val="24"/>
          <w:szCs w:val="24"/>
          <w:lang w:val="sq-AL"/>
        </w:rPr>
        <w:t xml:space="preserve">ë këtë dispozitë parashikohet konkretisht se një nga qëllimet  e ligjit është </w:t>
      </w:r>
      <w:r>
        <w:rPr>
          <w:rFonts w:ascii="Times New Roman" w:hAnsi="Times New Roman"/>
          <w:sz w:val="24"/>
          <w:szCs w:val="24"/>
          <w:lang w:val="sq-AL"/>
        </w:rPr>
        <w:t>e</w:t>
      </w:r>
      <w:r w:rsidRPr="0015324E">
        <w:rPr>
          <w:rFonts w:ascii="Times New Roman" w:hAnsi="Times New Roman"/>
          <w:sz w:val="24"/>
          <w:szCs w:val="24"/>
          <w:lang w:val="sq-AL"/>
        </w:rPr>
        <w:t>dhe përpjekj</w:t>
      </w:r>
      <w:r>
        <w:rPr>
          <w:rFonts w:ascii="Times New Roman" w:hAnsi="Times New Roman"/>
          <w:sz w:val="24"/>
          <w:szCs w:val="24"/>
          <w:lang w:val="sq-AL"/>
        </w:rPr>
        <w:t>a</w:t>
      </w:r>
      <w:r w:rsidRPr="0015324E">
        <w:rPr>
          <w:rFonts w:ascii="Times New Roman" w:hAnsi="Times New Roman"/>
          <w:sz w:val="24"/>
          <w:szCs w:val="24"/>
          <w:lang w:val="sq-AL"/>
        </w:rPr>
        <w:t xml:space="preserve"> për kontrollin, eliminimin dhe zhdukjen e sëmundjeve infektive</w:t>
      </w:r>
      <w:r>
        <w:rPr>
          <w:rFonts w:ascii="Times New Roman" w:hAnsi="Times New Roman"/>
          <w:sz w:val="24"/>
          <w:szCs w:val="24"/>
          <w:lang w:val="sq-AL"/>
        </w:rPr>
        <w:t>.</w:t>
      </w:r>
      <w:r w:rsidRPr="0015324E">
        <w:rPr>
          <w:rFonts w:ascii="Times New Roman" w:hAnsi="Times New Roman"/>
          <w:sz w:val="24"/>
          <w:szCs w:val="24"/>
          <w:lang w:val="sq-AL"/>
        </w:rPr>
        <w:t xml:space="preserve"> (</w:t>
      </w:r>
      <w:r w:rsidRPr="0015324E">
        <w:rPr>
          <w:rFonts w:ascii="Times New Roman" w:hAnsi="Times New Roman"/>
          <w:i/>
          <w:sz w:val="24"/>
          <w:szCs w:val="24"/>
          <w:lang w:val="sq-AL"/>
        </w:rPr>
        <w:t>neni 4/g i ligjit</w:t>
      </w:r>
      <w:r w:rsidRPr="0015324E">
        <w:rPr>
          <w:rFonts w:ascii="Times New Roman" w:hAnsi="Times New Roman"/>
          <w:sz w:val="24"/>
          <w:szCs w:val="24"/>
          <w:lang w:val="sq-AL"/>
        </w:rPr>
        <w:t xml:space="preserve">). Ndërsa, neni 33 i po këtij ligji parashikon ngritjen e komiteteve me funksione këshillimore pranë </w:t>
      </w:r>
      <w:r>
        <w:rPr>
          <w:rFonts w:ascii="Times New Roman" w:hAnsi="Times New Roman"/>
          <w:sz w:val="24"/>
          <w:szCs w:val="24"/>
          <w:lang w:val="sq-AL"/>
        </w:rPr>
        <w:t>m</w:t>
      </w:r>
      <w:r w:rsidRPr="0015324E">
        <w:rPr>
          <w:rFonts w:ascii="Times New Roman" w:hAnsi="Times New Roman"/>
          <w:sz w:val="24"/>
          <w:szCs w:val="24"/>
          <w:lang w:val="sq-AL"/>
        </w:rPr>
        <w:t>inistrit të Shëndetësisë, me qëllim marrjen e ekspertizës së duhur dhe këshillimin në vendimmarrje</w:t>
      </w:r>
      <w:r>
        <w:rPr>
          <w:rFonts w:ascii="Times New Roman" w:hAnsi="Times New Roman"/>
          <w:sz w:val="24"/>
          <w:szCs w:val="24"/>
          <w:lang w:val="sq-AL"/>
        </w:rPr>
        <w:t>.</w:t>
      </w:r>
      <w:r w:rsidRPr="0015324E">
        <w:rPr>
          <w:rFonts w:ascii="Times New Roman" w:hAnsi="Times New Roman"/>
          <w:sz w:val="24"/>
          <w:szCs w:val="24"/>
          <w:lang w:val="sq-AL"/>
        </w:rPr>
        <w:t xml:space="preserve"> Me urdhrin nr.53, datë 31.01.2020 të </w:t>
      </w:r>
      <w:r>
        <w:rPr>
          <w:rFonts w:ascii="Times New Roman" w:hAnsi="Times New Roman"/>
          <w:sz w:val="24"/>
          <w:szCs w:val="24"/>
          <w:lang w:val="sq-AL"/>
        </w:rPr>
        <w:t>m</w:t>
      </w:r>
      <w:r w:rsidRPr="0015324E">
        <w:rPr>
          <w:rFonts w:ascii="Times New Roman" w:hAnsi="Times New Roman"/>
          <w:sz w:val="24"/>
          <w:szCs w:val="24"/>
          <w:lang w:val="sq-AL"/>
        </w:rPr>
        <w:t xml:space="preserve">inistrit të Shëndetësisë është ngritur </w:t>
      </w:r>
      <w:r>
        <w:rPr>
          <w:rFonts w:ascii="Times New Roman" w:hAnsi="Times New Roman"/>
          <w:sz w:val="24"/>
          <w:szCs w:val="24"/>
          <w:lang w:val="sq-AL"/>
        </w:rPr>
        <w:t>e</w:t>
      </w:r>
      <w:r w:rsidRPr="0015324E">
        <w:rPr>
          <w:rFonts w:ascii="Times New Roman" w:hAnsi="Times New Roman"/>
          <w:sz w:val="24"/>
          <w:szCs w:val="24"/>
          <w:lang w:val="sq-AL"/>
        </w:rPr>
        <w:t xml:space="preserve">dhe Komiteti i Përkohshëm Teknik për Infeksionin e Përhapur nga </w:t>
      </w:r>
      <w:r>
        <w:rPr>
          <w:rFonts w:ascii="Times New Roman" w:hAnsi="Times New Roman"/>
          <w:sz w:val="24"/>
          <w:szCs w:val="24"/>
          <w:lang w:val="sq-AL"/>
        </w:rPr>
        <w:t>Covid-19</w:t>
      </w:r>
      <w:r w:rsidRPr="0015324E">
        <w:rPr>
          <w:rFonts w:ascii="Times New Roman" w:hAnsi="Times New Roman"/>
          <w:sz w:val="24"/>
          <w:szCs w:val="24"/>
          <w:lang w:val="sq-AL"/>
        </w:rPr>
        <w:t>, i cili në shkronjën</w:t>
      </w:r>
      <w:r>
        <w:rPr>
          <w:rFonts w:ascii="Times New Roman" w:hAnsi="Times New Roman"/>
          <w:sz w:val="24"/>
          <w:szCs w:val="24"/>
          <w:lang w:val="sq-AL"/>
        </w:rPr>
        <w:t xml:space="preserve"> “</w:t>
      </w:r>
      <w:r w:rsidRPr="0015324E">
        <w:rPr>
          <w:rFonts w:ascii="Times New Roman" w:hAnsi="Times New Roman"/>
          <w:sz w:val="24"/>
          <w:szCs w:val="24"/>
          <w:lang w:val="sq-AL"/>
        </w:rPr>
        <w:t xml:space="preserve">f” parashikon: “Komiteti raporton te </w:t>
      </w:r>
      <w:r>
        <w:rPr>
          <w:rFonts w:ascii="Times New Roman" w:hAnsi="Times New Roman"/>
          <w:sz w:val="24"/>
          <w:szCs w:val="24"/>
          <w:lang w:val="sq-AL"/>
        </w:rPr>
        <w:t>m</w:t>
      </w:r>
      <w:r w:rsidRPr="0015324E">
        <w:rPr>
          <w:rFonts w:ascii="Times New Roman" w:hAnsi="Times New Roman"/>
          <w:sz w:val="24"/>
          <w:szCs w:val="24"/>
          <w:lang w:val="sq-AL"/>
        </w:rPr>
        <w:t xml:space="preserve">inistri për të gjitha çështjet, dokumentet dhe vendimet e marra në mbledhjet e </w:t>
      </w:r>
      <w:r>
        <w:rPr>
          <w:rFonts w:ascii="Times New Roman" w:hAnsi="Times New Roman"/>
          <w:sz w:val="24"/>
          <w:szCs w:val="24"/>
          <w:lang w:val="sq-AL"/>
        </w:rPr>
        <w:t>k</w:t>
      </w:r>
      <w:r w:rsidRPr="0015324E">
        <w:rPr>
          <w:rFonts w:ascii="Times New Roman" w:hAnsi="Times New Roman"/>
          <w:sz w:val="24"/>
          <w:szCs w:val="24"/>
          <w:lang w:val="sq-AL"/>
        </w:rPr>
        <w:t>omitetit”. Ndërsa në shkronj</w:t>
      </w:r>
      <w:r>
        <w:rPr>
          <w:rFonts w:ascii="Times New Roman" w:hAnsi="Times New Roman"/>
          <w:sz w:val="24"/>
          <w:szCs w:val="24"/>
          <w:lang w:val="sq-AL"/>
        </w:rPr>
        <w:t>at</w:t>
      </w:r>
      <w:r w:rsidRPr="0015324E">
        <w:rPr>
          <w:rFonts w:ascii="Times New Roman" w:hAnsi="Times New Roman"/>
          <w:sz w:val="24"/>
          <w:szCs w:val="24"/>
          <w:lang w:val="sq-AL"/>
        </w:rPr>
        <w:t xml:space="preserve">  “a” dhe “b” të pikës 4 të </w:t>
      </w:r>
      <w:r>
        <w:rPr>
          <w:rFonts w:ascii="Times New Roman" w:hAnsi="Times New Roman"/>
          <w:sz w:val="24"/>
          <w:szCs w:val="24"/>
          <w:lang w:val="sq-AL"/>
        </w:rPr>
        <w:t>u</w:t>
      </w:r>
      <w:r w:rsidRPr="0015324E">
        <w:rPr>
          <w:rFonts w:ascii="Times New Roman" w:hAnsi="Times New Roman"/>
          <w:sz w:val="24"/>
          <w:szCs w:val="24"/>
          <w:lang w:val="sq-AL"/>
        </w:rPr>
        <w:t xml:space="preserve">rdhrit parashikohet veprimtaria monitoruese dhe verifikuese e tij </w:t>
      </w:r>
      <w:r>
        <w:rPr>
          <w:rFonts w:ascii="Times New Roman" w:hAnsi="Times New Roman"/>
          <w:sz w:val="24"/>
          <w:szCs w:val="24"/>
          <w:lang w:val="sq-AL"/>
        </w:rPr>
        <w:t xml:space="preserve">për </w:t>
      </w:r>
      <w:r w:rsidRPr="0015324E">
        <w:rPr>
          <w:rFonts w:ascii="Times New Roman" w:hAnsi="Times New Roman"/>
          <w:sz w:val="24"/>
          <w:szCs w:val="24"/>
          <w:lang w:val="sq-AL"/>
        </w:rPr>
        <w:t xml:space="preserve">sa </w:t>
      </w:r>
      <w:r>
        <w:rPr>
          <w:rFonts w:ascii="Times New Roman" w:hAnsi="Times New Roman"/>
          <w:sz w:val="24"/>
          <w:szCs w:val="24"/>
          <w:lang w:val="sq-AL"/>
        </w:rPr>
        <w:t>u</w:t>
      </w:r>
      <w:r w:rsidRPr="0015324E">
        <w:rPr>
          <w:rFonts w:ascii="Times New Roman" w:hAnsi="Times New Roman"/>
          <w:sz w:val="24"/>
          <w:szCs w:val="24"/>
          <w:lang w:val="sq-AL"/>
        </w:rPr>
        <w:t xml:space="preserve"> përket rasteve të mundshme të përhapjes së infeksionit të </w:t>
      </w:r>
      <w:r>
        <w:rPr>
          <w:rFonts w:ascii="Times New Roman" w:hAnsi="Times New Roman"/>
          <w:sz w:val="24"/>
          <w:szCs w:val="24"/>
          <w:lang w:val="sq-AL"/>
        </w:rPr>
        <w:t>Covid-19</w:t>
      </w:r>
      <w:r w:rsidRPr="0015324E">
        <w:rPr>
          <w:rFonts w:ascii="Times New Roman" w:hAnsi="Times New Roman"/>
          <w:sz w:val="24"/>
          <w:szCs w:val="24"/>
          <w:lang w:val="sq-AL"/>
        </w:rPr>
        <w:t>. Ky komitet  ka në përbërje shumicë anëtarësie me kualifikim mjekësor (</w:t>
      </w:r>
      <w:r w:rsidRPr="0015324E">
        <w:rPr>
          <w:rFonts w:ascii="Times New Roman" w:hAnsi="Times New Roman"/>
          <w:i/>
          <w:sz w:val="24"/>
          <w:szCs w:val="24"/>
          <w:lang w:val="sq-AL"/>
        </w:rPr>
        <w:t xml:space="preserve">pika 2 e </w:t>
      </w:r>
      <w:r>
        <w:rPr>
          <w:rFonts w:ascii="Times New Roman" w:hAnsi="Times New Roman"/>
          <w:i/>
          <w:sz w:val="24"/>
          <w:szCs w:val="24"/>
          <w:lang w:val="sq-AL"/>
        </w:rPr>
        <w:t>u</w:t>
      </w:r>
      <w:r w:rsidRPr="0015324E">
        <w:rPr>
          <w:rFonts w:ascii="Times New Roman" w:hAnsi="Times New Roman"/>
          <w:i/>
          <w:sz w:val="24"/>
          <w:szCs w:val="24"/>
          <w:lang w:val="sq-AL"/>
        </w:rPr>
        <w:t xml:space="preserve">rdhrit nr.53/2020 </w:t>
      </w:r>
      <w:r>
        <w:rPr>
          <w:rFonts w:ascii="Times New Roman" w:hAnsi="Times New Roman"/>
          <w:i/>
          <w:sz w:val="24"/>
          <w:szCs w:val="24"/>
          <w:lang w:val="sq-AL"/>
        </w:rPr>
        <w:t xml:space="preserve">për </w:t>
      </w:r>
      <w:r w:rsidRPr="0015324E">
        <w:rPr>
          <w:rFonts w:ascii="Times New Roman" w:hAnsi="Times New Roman"/>
          <w:i/>
          <w:sz w:val="24"/>
          <w:szCs w:val="24"/>
          <w:lang w:val="sq-AL"/>
        </w:rPr>
        <w:t xml:space="preserve">përbërjen e </w:t>
      </w:r>
      <w:r>
        <w:rPr>
          <w:rFonts w:ascii="Times New Roman" w:hAnsi="Times New Roman"/>
          <w:i/>
          <w:sz w:val="24"/>
          <w:szCs w:val="24"/>
          <w:lang w:val="sq-AL"/>
        </w:rPr>
        <w:t>k</w:t>
      </w:r>
      <w:r w:rsidRPr="0015324E">
        <w:rPr>
          <w:rFonts w:ascii="Times New Roman" w:hAnsi="Times New Roman"/>
          <w:i/>
          <w:sz w:val="24"/>
          <w:szCs w:val="24"/>
          <w:lang w:val="sq-AL"/>
        </w:rPr>
        <w:t xml:space="preserve">omitetit). </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3</w:t>
      </w:r>
      <w:r>
        <w:rPr>
          <w:rFonts w:ascii="Times New Roman" w:eastAsia="Times New Roman" w:hAnsi="Times New Roman"/>
          <w:sz w:val="24"/>
          <w:szCs w:val="24"/>
          <w:lang w:val="sq-AL" w:eastAsia="sq-AL"/>
        </w:rPr>
        <w:t>4</w:t>
      </w:r>
      <w:r w:rsidRPr="0015324E">
        <w:rPr>
          <w:rFonts w:ascii="Times New Roman" w:eastAsia="Times New Roman" w:hAnsi="Times New Roman"/>
          <w:sz w:val="24"/>
          <w:szCs w:val="24"/>
          <w:lang w:val="sq-AL" w:eastAsia="sq-AL"/>
        </w:rPr>
        <w:t xml:space="preserve">. </w:t>
      </w:r>
      <w:r w:rsidRPr="0015324E">
        <w:rPr>
          <w:rFonts w:ascii="Times New Roman" w:hAnsi="Times New Roman"/>
          <w:sz w:val="24"/>
          <w:szCs w:val="24"/>
          <w:lang w:val="sq-AL"/>
        </w:rPr>
        <w:t xml:space="preserve">Nga  </w:t>
      </w:r>
      <w:r w:rsidRPr="00E927F4">
        <w:rPr>
          <w:rFonts w:ascii="Times New Roman" w:hAnsi="Times New Roman"/>
          <w:sz w:val="24"/>
          <w:szCs w:val="24"/>
          <w:lang w:val="sq-AL"/>
        </w:rPr>
        <w:t>të dhënat</w:t>
      </w:r>
      <w:r w:rsidRPr="0015324E">
        <w:rPr>
          <w:rFonts w:ascii="Times New Roman" w:hAnsi="Times New Roman"/>
          <w:sz w:val="24"/>
          <w:szCs w:val="24"/>
          <w:lang w:val="sq-AL"/>
        </w:rPr>
        <w:t xml:space="preserve"> e çështjes rezulton se me vendimin nr.4856/1 të datës 16.11.2020, Komiteti  i Përkohshëm Teknik ka vendosur ndalimin totalisht të tubimeve dhe mbledhjeve parti</w:t>
      </w:r>
      <w:r w:rsidR="000319B7">
        <w:rPr>
          <w:rFonts w:ascii="Times New Roman" w:hAnsi="Times New Roman"/>
          <w:sz w:val="24"/>
          <w:szCs w:val="24"/>
          <w:lang w:val="sq-AL"/>
        </w:rPr>
        <w:t>a</w:t>
      </w:r>
      <w:r w:rsidRPr="0015324E">
        <w:rPr>
          <w:rFonts w:ascii="Times New Roman" w:hAnsi="Times New Roman"/>
          <w:sz w:val="24"/>
          <w:szCs w:val="24"/>
          <w:lang w:val="sq-AL"/>
        </w:rPr>
        <w:t xml:space="preserve">ke, në pikën 2 të tij. Ndërsa, urdhri i </w:t>
      </w:r>
      <w:r>
        <w:rPr>
          <w:rFonts w:ascii="Times New Roman" w:hAnsi="Times New Roman"/>
          <w:sz w:val="24"/>
          <w:szCs w:val="24"/>
          <w:lang w:val="sq-AL"/>
        </w:rPr>
        <w:t>m</w:t>
      </w:r>
      <w:r w:rsidRPr="0015324E">
        <w:rPr>
          <w:rFonts w:ascii="Times New Roman" w:hAnsi="Times New Roman"/>
          <w:sz w:val="24"/>
          <w:szCs w:val="24"/>
          <w:lang w:val="sq-AL"/>
        </w:rPr>
        <w:t xml:space="preserve">inistrit nr.633/2020, i mbështetur dhe i bazuar në këtë vendim, ka vendosur lejimin deri në 10 </w:t>
      </w:r>
      <w:r>
        <w:rPr>
          <w:rFonts w:ascii="Times New Roman" w:hAnsi="Times New Roman"/>
          <w:sz w:val="24"/>
          <w:szCs w:val="24"/>
          <w:lang w:val="sq-AL"/>
        </w:rPr>
        <w:t>persona</w:t>
      </w:r>
      <w:r w:rsidRPr="0015324E">
        <w:rPr>
          <w:rFonts w:ascii="Times New Roman" w:hAnsi="Times New Roman"/>
          <w:sz w:val="24"/>
          <w:szCs w:val="24"/>
          <w:lang w:val="sq-AL"/>
        </w:rPr>
        <w:t xml:space="preserve"> të çdo lloj grumbullimi në pikën 1 të tij, përfshirë </w:t>
      </w:r>
      <w:r>
        <w:rPr>
          <w:rFonts w:ascii="Times New Roman" w:hAnsi="Times New Roman"/>
          <w:sz w:val="24"/>
          <w:szCs w:val="24"/>
          <w:lang w:val="sq-AL"/>
        </w:rPr>
        <w:t>e</w:t>
      </w:r>
      <w:r w:rsidRPr="0015324E">
        <w:rPr>
          <w:rFonts w:ascii="Times New Roman" w:hAnsi="Times New Roman"/>
          <w:sz w:val="24"/>
          <w:szCs w:val="24"/>
          <w:lang w:val="sq-AL"/>
        </w:rPr>
        <w:t>dhe tubimet e mbledhjet partiake.</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3</w:t>
      </w:r>
      <w:r>
        <w:rPr>
          <w:rFonts w:ascii="Times New Roman" w:eastAsia="Times New Roman" w:hAnsi="Times New Roman"/>
          <w:sz w:val="24"/>
          <w:szCs w:val="24"/>
          <w:lang w:val="sq-AL" w:eastAsia="sq-AL"/>
        </w:rPr>
        <w:t>5</w:t>
      </w:r>
      <w:r w:rsidRPr="0015324E">
        <w:rPr>
          <w:rFonts w:ascii="Times New Roman" w:eastAsia="Times New Roman" w:hAnsi="Times New Roman"/>
          <w:sz w:val="24"/>
          <w:szCs w:val="24"/>
          <w:lang w:val="sq-AL" w:eastAsia="sq-AL"/>
        </w:rPr>
        <w:t xml:space="preserve">. </w:t>
      </w:r>
      <w:r w:rsidRPr="0015324E">
        <w:rPr>
          <w:rFonts w:ascii="Times New Roman" w:hAnsi="Times New Roman"/>
          <w:sz w:val="24"/>
          <w:szCs w:val="24"/>
          <w:lang w:val="sq-AL"/>
        </w:rPr>
        <w:t>Në vështrim të këtyre fakteve, rezulton se ka pasur mundësi edhe për masa më të ashpra</w:t>
      </w:r>
      <w:r>
        <w:rPr>
          <w:rFonts w:ascii="Times New Roman" w:hAnsi="Times New Roman"/>
          <w:sz w:val="24"/>
          <w:szCs w:val="24"/>
          <w:lang w:val="sq-AL"/>
        </w:rPr>
        <w:t>,</w:t>
      </w:r>
      <w:r w:rsidRPr="0015324E">
        <w:rPr>
          <w:rFonts w:ascii="Times New Roman" w:hAnsi="Times New Roman"/>
          <w:sz w:val="24"/>
          <w:szCs w:val="24"/>
          <w:lang w:val="sq-AL"/>
        </w:rPr>
        <w:t xml:space="preserve"> në kuptim të ekspertizës së dhënë nga </w:t>
      </w:r>
      <w:r>
        <w:rPr>
          <w:rFonts w:ascii="Times New Roman" w:hAnsi="Times New Roman"/>
          <w:sz w:val="24"/>
          <w:szCs w:val="24"/>
          <w:lang w:val="sq-AL"/>
        </w:rPr>
        <w:t xml:space="preserve"> K</w:t>
      </w:r>
      <w:r w:rsidRPr="0015324E">
        <w:rPr>
          <w:rFonts w:ascii="Times New Roman" w:hAnsi="Times New Roman"/>
          <w:sz w:val="24"/>
          <w:szCs w:val="24"/>
          <w:lang w:val="sq-AL"/>
        </w:rPr>
        <w:t xml:space="preserve">omiteti </w:t>
      </w:r>
      <w:r>
        <w:rPr>
          <w:rFonts w:ascii="Times New Roman" w:hAnsi="Times New Roman"/>
          <w:sz w:val="24"/>
          <w:szCs w:val="24"/>
          <w:lang w:val="sq-AL"/>
        </w:rPr>
        <w:t>T</w:t>
      </w:r>
      <w:r w:rsidRPr="0015324E">
        <w:rPr>
          <w:rFonts w:ascii="Times New Roman" w:hAnsi="Times New Roman"/>
          <w:sz w:val="24"/>
          <w:szCs w:val="24"/>
          <w:lang w:val="sq-AL"/>
        </w:rPr>
        <w:t>eknik, i cili qëllim parësor ka ruajtjen e jetës dhe shëndetit të njerëzve</w:t>
      </w:r>
      <w:r>
        <w:rPr>
          <w:rFonts w:ascii="Times New Roman" w:hAnsi="Times New Roman"/>
          <w:sz w:val="24"/>
          <w:szCs w:val="24"/>
          <w:lang w:val="sq-AL"/>
        </w:rPr>
        <w:t>, si</w:t>
      </w:r>
      <w:r w:rsidRPr="0015324E">
        <w:rPr>
          <w:rFonts w:ascii="Times New Roman" w:hAnsi="Times New Roman"/>
          <w:sz w:val="24"/>
          <w:szCs w:val="24"/>
          <w:lang w:val="sq-AL"/>
        </w:rPr>
        <w:t xml:space="preserve"> dhe frenimin e përhapjes së pandemisë,  që në vetvete mund të ngrinin probleme lidhur me cenimin e thelbit të  lirisë së tubimit, pra ndalimin tërësor të grumbullimeve, por që nga </w:t>
      </w:r>
      <w:r>
        <w:rPr>
          <w:rFonts w:ascii="Times New Roman" w:hAnsi="Times New Roman"/>
          <w:sz w:val="24"/>
          <w:szCs w:val="24"/>
          <w:lang w:val="sq-AL"/>
        </w:rPr>
        <w:t>m</w:t>
      </w:r>
      <w:r w:rsidRPr="0015324E">
        <w:rPr>
          <w:rFonts w:ascii="Times New Roman" w:hAnsi="Times New Roman"/>
          <w:sz w:val="24"/>
          <w:szCs w:val="24"/>
          <w:lang w:val="sq-AL"/>
        </w:rPr>
        <w:t xml:space="preserve">inistri i Shëndetësisë nuk janë përzgjedhur, sikundër rezulton në interpretim të diferencave mes propozimit të Komitetit Teknik dhe vendimmarrjes së </w:t>
      </w:r>
      <w:r>
        <w:rPr>
          <w:rFonts w:ascii="Times New Roman" w:hAnsi="Times New Roman"/>
          <w:sz w:val="24"/>
          <w:szCs w:val="24"/>
          <w:lang w:val="sq-AL"/>
        </w:rPr>
        <w:t>m</w:t>
      </w:r>
      <w:r w:rsidRPr="0015324E">
        <w:rPr>
          <w:rFonts w:ascii="Times New Roman" w:hAnsi="Times New Roman"/>
          <w:sz w:val="24"/>
          <w:szCs w:val="24"/>
          <w:lang w:val="sq-AL"/>
        </w:rPr>
        <w:t>inistrit të Shëndetësisë</w:t>
      </w:r>
      <w:r w:rsidRPr="008F4667">
        <w:rPr>
          <w:rFonts w:ascii="Times New Roman" w:hAnsi="Times New Roman"/>
          <w:sz w:val="24"/>
          <w:szCs w:val="24"/>
          <w:lang w:val="sq-AL"/>
        </w:rPr>
        <w:t>. Në këtë aspekt, vlerësojmë  se u</w:t>
      </w:r>
      <w:r w:rsidRPr="00432EEF">
        <w:rPr>
          <w:rFonts w:ascii="Times New Roman" w:hAnsi="Times New Roman"/>
          <w:sz w:val="24"/>
          <w:szCs w:val="24"/>
          <w:lang w:val="sq-AL"/>
        </w:rPr>
        <w:t>rdhri</w:t>
      </w:r>
      <w:r w:rsidRPr="0015324E">
        <w:rPr>
          <w:rFonts w:ascii="Times New Roman" w:hAnsi="Times New Roman"/>
          <w:sz w:val="24"/>
          <w:szCs w:val="24"/>
          <w:lang w:val="sq-AL"/>
        </w:rPr>
        <w:t xml:space="preserve"> ka për qëllim mbrojtjen e popullatës nga infeksionet, duke përcaktuar rregullat dhe aktivitetet e lejuara për evidentimin dhe parandalimin e infektimeve, marrjen e masave për eliminimin dhe zhdukjen e sëmundshmërisë dhe vdekshmërisë nga </w:t>
      </w:r>
      <w:r>
        <w:rPr>
          <w:rFonts w:ascii="Times New Roman" w:hAnsi="Times New Roman"/>
          <w:sz w:val="24"/>
          <w:szCs w:val="24"/>
          <w:lang w:val="sq-AL"/>
        </w:rPr>
        <w:t>COVID</w:t>
      </w:r>
      <w:r w:rsidRPr="0015324E">
        <w:rPr>
          <w:rFonts w:ascii="Times New Roman" w:hAnsi="Times New Roman"/>
          <w:sz w:val="24"/>
          <w:szCs w:val="24"/>
          <w:lang w:val="sq-AL"/>
        </w:rPr>
        <w:t xml:space="preserve">-19, ndaj  mes qëllimit që duhet realizuar  dhe mjetit të përzgjedhur nga </w:t>
      </w:r>
      <w:r>
        <w:rPr>
          <w:rFonts w:ascii="Times New Roman" w:hAnsi="Times New Roman"/>
          <w:sz w:val="24"/>
          <w:szCs w:val="24"/>
          <w:lang w:val="sq-AL"/>
        </w:rPr>
        <w:t>m</w:t>
      </w:r>
      <w:r w:rsidRPr="0015324E">
        <w:rPr>
          <w:rFonts w:ascii="Times New Roman" w:hAnsi="Times New Roman"/>
          <w:sz w:val="24"/>
          <w:szCs w:val="24"/>
          <w:lang w:val="sq-AL"/>
        </w:rPr>
        <w:t>inistri i Shëndetësisë nuk është cenuar thelbi i së drejtës</w:t>
      </w:r>
      <w:r>
        <w:rPr>
          <w:rFonts w:ascii="Times New Roman" w:hAnsi="Times New Roman"/>
          <w:sz w:val="24"/>
          <w:szCs w:val="24"/>
          <w:lang w:val="sq-AL"/>
        </w:rPr>
        <w:t>,</w:t>
      </w:r>
      <w:r w:rsidRPr="0015324E">
        <w:rPr>
          <w:rFonts w:ascii="Times New Roman" w:hAnsi="Times New Roman"/>
          <w:sz w:val="24"/>
          <w:szCs w:val="24"/>
          <w:lang w:val="sq-AL"/>
        </w:rPr>
        <w:t xml:space="preserve"> </w:t>
      </w:r>
      <w:r>
        <w:rPr>
          <w:rFonts w:ascii="Times New Roman" w:hAnsi="Times New Roman"/>
          <w:sz w:val="24"/>
          <w:szCs w:val="24"/>
          <w:lang w:val="sq-AL"/>
        </w:rPr>
        <w:t xml:space="preserve">që është </w:t>
      </w:r>
      <w:r w:rsidR="0077604B">
        <w:rPr>
          <w:rFonts w:ascii="Times New Roman" w:hAnsi="Times New Roman"/>
          <w:sz w:val="24"/>
          <w:szCs w:val="24"/>
          <w:lang w:val="sq-AL"/>
        </w:rPr>
        <w:t>e drejta dhe interesi</w:t>
      </w:r>
      <w:r>
        <w:rPr>
          <w:rFonts w:ascii="Times New Roman" w:hAnsi="Times New Roman"/>
          <w:sz w:val="24"/>
          <w:szCs w:val="24"/>
          <w:lang w:val="sq-AL"/>
        </w:rPr>
        <w:t xml:space="preserve"> i kërkueses për t’u mbledhur. </w:t>
      </w:r>
      <w:r w:rsidRPr="006F5306">
        <w:rPr>
          <w:rFonts w:ascii="Times New Roman" w:hAnsi="Times New Roman"/>
          <w:sz w:val="24"/>
          <w:szCs w:val="24"/>
          <w:lang w:val="sq-AL"/>
        </w:rPr>
        <w:t>Për rrjedhojë, çmojmë se mes mjetit të propozuar nga Komiteti Teknik, dhe mjetit të propozuar nga k</w:t>
      </w:r>
      <w:r w:rsidRPr="0015324E">
        <w:rPr>
          <w:rFonts w:ascii="Times New Roman" w:hAnsi="Times New Roman"/>
          <w:sz w:val="24"/>
          <w:szCs w:val="24"/>
          <w:lang w:val="sq-AL"/>
        </w:rPr>
        <w:t xml:space="preserve">ërkuesja, zgjedhja e masës së kufizimit nga </w:t>
      </w:r>
      <w:r>
        <w:rPr>
          <w:rFonts w:ascii="Times New Roman" w:hAnsi="Times New Roman"/>
          <w:sz w:val="24"/>
          <w:szCs w:val="24"/>
          <w:lang w:val="sq-AL"/>
        </w:rPr>
        <w:t>m</w:t>
      </w:r>
      <w:r w:rsidRPr="0015324E">
        <w:rPr>
          <w:rFonts w:ascii="Times New Roman" w:hAnsi="Times New Roman"/>
          <w:sz w:val="24"/>
          <w:szCs w:val="24"/>
          <w:lang w:val="sq-AL"/>
        </w:rPr>
        <w:t xml:space="preserve">inistri i Shëndetësisë nuk është më e ashpra, duke provuar në këtë gjykim, se ka zgjedhur një formë më pak strikte për t’iu përgjigjur qëllimit të kufizimit.   </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3</w:t>
      </w:r>
      <w:r>
        <w:rPr>
          <w:rFonts w:ascii="Times New Roman" w:eastAsia="Times New Roman" w:hAnsi="Times New Roman"/>
          <w:sz w:val="24"/>
          <w:szCs w:val="24"/>
          <w:lang w:val="sq-AL" w:eastAsia="sq-AL"/>
        </w:rPr>
        <w:t>6</w:t>
      </w:r>
      <w:r w:rsidRPr="0015324E">
        <w:rPr>
          <w:rFonts w:ascii="Times New Roman" w:eastAsia="Times New Roman" w:hAnsi="Times New Roman"/>
          <w:sz w:val="24"/>
          <w:szCs w:val="24"/>
          <w:lang w:val="sq-AL" w:eastAsia="sq-AL"/>
        </w:rPr>
        <w:t xml:space="preserve">. </w:t>
      </w:r>
      <w:r w:rsidRPr="0015324E">
        <w:rPr>
          <w:rFonts w:ascii="Times New Roman" w:hAnsi="Times New Roman"/>
          <w:bCs/>
          <w:sz w:val="24"/>
          <w:szCs w:val="24"/>
          <w:lang w:val="sq-AL"/>
        </w:rPr>
        <w:t>Përveç sa më lart, vlerësojmë se</w:t>
      </w:r>
      <w:r w:rsidRPr="0015324E">
        <w:rPr>
          <w:rFonts w:ascii="Times New Roman" w:hAnsi="Times New Roman"/>
          <w:sz w:val="24"/>
          <w:szCs w:val="24"/>
          <w:lang w:val="sq-AL"/>
        </w:rPr>
        <w:t xml:space="preserve"> kjo Gjykatë prezumon pajtueshmërinë e aktit normativ me Kushtetutën, derisa palët t’i provojnë asaj të kundërtën. Kjo do të thotë se lidhur me jokushtetutshmërinë e pretenduar duhet të parashtrohen argumente bindëse para Gjykatës Kushtetuese që të vlerësojë nëse zgjidhjet e aplikuara shkelin normat dhe vlerat kushtetuese (</w:t>
      </w:r>
      <w:r w:rsidRPr="0015324E">
        <w:rPr>
          <w:rFonts w:ascii="Times New Roman" w:hAnsi="Times New Roman"/>
          <w:i/>
          <w:sz w:val="24"/>
          <w:szCs w:val="24"/>
          <w:lang w:val="sq-AL"/>
        </w:rPr>
        <w:t>shih vendimet nr.16, datë 25.07.2008</w:t>
      </w:r>
      <w:r w:rsidRPr="0015324E">
        <w:rPr>
          <w:rFonts w:ascii="Times New Roman" w:hAnsi="Times New Roman"/>
          <w:sz w:val="24"/>
          <w:szCs w:val="24"/>
          <w:lang w:val="sq-AL"/>
        </w:rPr>
        <w:t xml:space="preserve">; </w:t>
      </w:r>
      <w:r w:rsidRPr="0015324E">
        <w:rPr>
          <w:rFonts w:ascii="Times New Roman" w:hAnsi="Times New Roman"/>
          <w:i/>
          <w:sz w:val="24"/>
          <w:szCs w:val="24"/>
          <w:lang w:val="sq-AL"/>
        </w:rPr>
        <w:t>12, datë 14.04.2010; nr.29, datë 31.05.2010 të Gjykatës Kushtetuese)</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sidRPr="0015324E">
        <w:rPr>
          <w:rFonts w:ascii="Times New Roman" w:eastAsia="Times New Roman" w:hAnsi="Times New Roman"/>
          <w:sz w:val="24"/>
          <w:szCs w:val="24"/>
          <w:lang w:val="sq-AL" w:eastAsia="sq-AL"/>
        </w:rPr>
        <w:t>3</w:t>
      </w:r>
      <w:r>
        <w:rPr>
          <w:rFonts w:ascii="Times New Roman" w:eastAsia="Times New Roman" w:hAnsi="Times New Roman"/>
          <w:sz w:val="24"/>
          <w:szCs w:val="24"/>
          <w:lang w:val="sq-AL" w:eastAsia="sq-AL"/>
        </w:rPr>
        <w:t>7</w:t>
      </w:r>
      <w:r w:rsidRPr="0015324E">
        <w:rPr>
          <w:rFonts w:ascii="Times New Roman" w:eastAsia="Times New Roman" w:hAnsi="Times New Roman"/>
          <w:sz w:val="24"/>
          <w:szCs w:val="24"/>
          <w:lang w:val="sq-AL" w:eastAsia="sq-AL"/>
        </w:rPr>
        <w:t xml:space="preserve">. </w:t>
      </w:r>
      <w:r>
        <w:rPr>
          <w:rFonts w:ascii="Times New Roman" w:hAnsi="Times New Roman"/>
          <w:sz w:val="24"/>
          <w:szCs w:val="24"/>
          <w:lang w:val="sq-AL"/>
        </w:rPr>
        <w:t xml:space="preserve">Në çështjen në gjykim vlerësojmë </w:t>
      </w:r>
      <w:r w:rsidRPr="0015324E">
        <w:rPr>
          <w:rFonts w:ascii="Times New Roman" w:hAnsi="Times New Roman"/>
          <w:sz w:val="24"/>
          <w:szCs w:val="24"/>
          <w:lang w:val="sq-AL"/>
        </w:rPr>
        <w:t xml:space="preserve">se kërkuesja nuk dha argumente se masat që ajo mund të marrë për parandalimin e COVID-19 gjatë zhvillimit të një tubimi elektoral me pjesëmarrje të pakufizuar, do të parandalojnë përhapjen e virusit dhe në këtë kontekst të argumentonte dhe ashpërsinë e mjetit të përzgjedhur për kufizimin nga </w:t>
      </w:r>
      <w:r>
        <w:rPr>
          <w:rFonts w:ascii="Times New Roman" w:hAnsi="Times New Roman"/>
          <w:sz w:val="24"/>
          <w:szCs w:val="24"/>
          <w:lang w:val="sq-AL"/>
        </w:rPr>
        <w:t>m</w:t>
      </w:r>
      <w:r w:rsidRPr="0015324E">
        <w:rPr>
          <w:rFonts w:ascii="Times New Roman" w:hAnsi="Times New Roman"/>
          <w:sz w:val="24"/>
          <w:szCs w:val="24"/>
          <w:lang w:val="sq-AL"/>
        </w:rPr>
        <w:t xml:space="preserve">inistri i Shëndetësisë. </w:t>
      </w:r>
    </w:p>
    <w:p w:rsidR="00CB7B24" w:rsidRPr="0015324E" w:rsidRDefault="00CB7B24" w:rsidP="00CB7B24">
      <w:pPr>
        <w:tabs>
          <w:tab w:val="left" w:pos="851"/>
        </w:tabs>
        <w:spacing w:after="0" w:line="360" w:lineRule="auto"/>
        <w:ind w:firstLine="567"/>
        <w:contextualSpacing/>
        <w:jc w:val="both"/>
        <w:rPr>
          <w:rFonts w:ascii="Times New Roman" w:hAnsi="Times New Roman"/>
          <w:sz w:val="24"/>
          <w:szCs w:val="24"/>
          <w:lang w:val="sq-AL"/>
        </w:rPr>
      </w:pPr>
      <w:r w:rsidRPr="0015324E">
        <w:rPr>
          <w:rFonts w:ascii="Times New Roman" w:eastAsia="Times New Roman" w:hAnsi="Times New Roman"/>
          <w:sz w:val="24"/>
          <w:szCs w:val="24"/>
          <w:lang w:val="sq-AL" w:eastAsia="sq-AL"/>
        </w:rPr>
        <w:t>3</w:t>
      </w:r>
      <w:r>
        <w:rPr>
          <w:rFonts w:ascii="Times New Roman" w:eastAsia="Times New Roman" w:hAnsi="Times New Roman"/>
          <w:sz w:val="24"/>
          <w:szCs w:val="24"/>
          <w:lang w:val="sq-AL" w:eastAsia="sq-AL"/>
        </w:rPr>
        <w:t>8</w:t>
      </w:r>
      <w:r w:rsidRPr="0015324E">
        <w:rPr>
          <w:rFonts w:ascii="Times New Roman" w:eastAsia="Times New Roman" w:hAnsi="Times New Roman"/>
          <w:sz w:val="24"/>
          <w:szCs w:val="24"/>
          <w:lang w:val="sq-AL" w:eastAsia="sq-AL"/>
        </w:rPr>
        <w:t xml:space="preserve">. </w:t>
      </w:r>
      <w:r w:rsidRPr="0015324E">
        <w:rPr>
          <w:rFonts w:ascii="Times New Roman" w:hAnsi="Times New Roman"/>
          <w:sz w:val="24"/>
          <w:szCs w:val="24"/>
          <w:lang w:val="sq-AL"/>
        </w:rPr>
        <w:t xml:space="preserve">Po ashtu, Gjykata nuk ka kompetencë të analizojë </w:t>
      </w:r>
      <w:r w:rsidRPr="00AC4B56">
        <w:rPr>
          <w:rFonts w:ascii="Times New Roman" w:hAnsi="Times New Roman"/>
          <w:sz w:val="24"/>
          <w:szCs w:val="24"/>
          <w:lang w:val="sq-AL"/>
        </w:rPr>
        <w:t>nëse masa e ndërhyrjes</w:t>
      </w:r>
      <w:r>
        <w:rPr>
          <w:rFonts w:ascii="Times New Roman" w:hAnsi="Times New Roman"/>
          <w:sz w:val="24"/>
          <w:szCs w:val="24"/>
          <w:lang w:val="sq-AL"/>
        </w:rPr>
        <w:t xml:space="preserve"> është më e drejta, më e duhura apo më e përshtatshmja</w:t>
      </w:r>
      <w:r w:rsidRPr="0015324E">
        <w:rPr>
          <w:rFonts w:ascii="Times New Roman" w:hAnsi="Times New Roman"/>
          <w:sz w:val="24"/>
          <w:szCs w:val="24"/>
          <w:lang w:val="sq-AL"/>
        </w:rPr>
        <w:t xml:space="preserve"> për arritjen e qëllimit të </w:t>
      </w:r>
      <w:r>
        <w:rPr>
          <w:rFonts w:ascii="Times New Roman" w:hAnsi="Times New Roman"/>
          <w:sz w:val="24"/>
          <w:szCs w:val="24"/>
          <w:lang w:val="sq-AL"/>
        </w:rPr>
        <w:t>u</w:t>
      </w:r>
      <w:r w:rsidRPr="0015324E">
        <w:rPr>
          <w:rFonts w:ascii="Times New Roman" w:hAnsi="Times New Roman"/>
          <w:sz w:val="24"/>
          <w:szCs w:val="24"/>
          <w:lang w:val="sq-AL"/>
        </w:rPr>
        <w:t xml:space="preserve">rdhrit objekt gjykimi. Pakica vlerëson se nga masa më e ashpër shtrënguese deri te masa më pak shtrënguese, është përzgjedhur një masë e arsyeshme dhe e lidhur mjaftueshëm me qëllimin e kufizimit. Detyrë e Gjykatës Kushtetuese është të vlerësojë nëse kufijtë e jashtëm të hapësirës vlerësuese të ekzekutivit janë kapërcyer ose jo në rastet e nxjerrjes së akteve normative nënligjore. Edhe </w:t>
      </w:r>
      <w:r w:rsidRPr="0015324E">
        <w:rPr>
          <w:rFonts w:ascii="Times New Roman" w:eastAsia="Times New Roman" w:hAnsi="Times New Roman"/>
          <w:sz w:val="24"/>
          <w:szCs w:val="24"/>
          <w:lang w:val="sq-AL" w:eastAsia="sq-AL"/>
        </w:rPr>
        <w:t xml:space="preserve">GJEDNJ-ja, </w:t>
      </w:r>
      <w:r>
        <w:rPr>
          <w:rFonts w:ascii="Times New Roman" w:eastAsia="Times New Roman" w:hAnsi="Times New Roman"/>
          <w:sz w:val="24"/>
          <w:szCs w:val="24"/>
          <w:lang w:val="sq-AL" w:eastAsia="sq-AL"/>
        </w:rPr>
        <w:t xml:space="preserve"> për </w:t>
      </w:r>
      <w:r w:rsidRPr="0015324E">
        <w:rPr>
          <w:rFonts w:ascii="Times New Roman" w:eastAsia="Times New Roman" w:hAnsi="Times New Roman"/>
          <w:sz w:val="24"/>
          <w:szCs w:val="24"/>
          <w:lang w:val="sq-AL" w:eastAsia="sq-AL"/>
        </w:rPr>
        <w:t xml:space="preserve">sa </w:t>
      </w:r>
      <w:r>
        <w:rPr>
          <w:rFonts w:ascii="Times New Roman" w:eastAsia="Times New Roman" w:hAnsi="Times New Roman"/>
          <w:sz w:val="24"/>
          <w:szCs w:val="24"/>
          <w:lang w:val="sq-AL" w:eastAsia="sq-AL"/>
        </w:rPr>
        <w:t>u</w:t>
      </w:r>
      <w:r w:rsidRPr="0015324E">
        <w:rPr>
          <w:rFonts w:ascii="Times New Roman" w:eastAsia="Times New Roman" w:hAnsi="Times New Roman"/>
          <w:sz w:val="24"/>
          <w:szCs w:val="24"/>
          <w:lang w:val="sq-AL" w:eastAsia="sq-AL"/>
        </w:rPr>
        <w:t xml:space="preserve"> përket masave kufizuese të të drejtave konventore për shtetet që duhet të kalojnë testin e proprocionalitetit, është shprehur se në disa raste hapësira e vlerësimit është e gjerë dhe në disa raste e ngushtë. </w:t>
      </w:r>
      <w:r>
        <w:rPr>
          <w:rFonts w:ascii="Times New Roman" w:eastAsia="Times New Roman" w:hAnsi="Times New Roman"/>
          <w:sz w:val="24"/>
          <w:szCs w:val="24"/>
          <w:lang w:val="sq-AL" w:eastAsia="sq-AL"/>
        </w:rPr>
        <w:t>Për s</w:t>
      </w:r>
      <w:r w:rsidRPr="0015324E">
        <w:rPr>
          <w:rFonts w:ascii="Times New Roman" w:eastAsia="Times New Roman" w:hAnsi="Times New Roman"/>
          <w:sz w:val="24"/>
          <w:szCs w:val="24"/>
          <w:lang w:val="sq-AL" w:eastAsia="sq-AL"/>
        </w:rPr>
        <w:t>a i përket doktrinës së “hapësirës së vlerësimit”, kjo hapësirë i duhet lënë shteteve, të cilat nisur nga kontakti i drejtpërdrejtë dhe thelbësor me vendet e tyre, janë në pozicion më të mirë për të vlerësuar nevojat kombëtare dhe gjendjen e vendit. Hapësira e vlerësimit dhe diskrecioni varet nga natyra e së drejtës për të cilën bëhet fjalë, rëndësinë që ka ajo për individin, natyra e kufizimit, si dhe arsyeja dhe qëllimi i ndjekur për kufizimin (</w:t>
      </w:r>
      <w:r w:rsidRPr="0015324E">
        <w:rPr>
          <w:rFonts w:ascii="Times New Roman" w:eastAsia="Times New Roman" w:hAnsi="Times New Roman"/>
          <w:i/>
          <w:sz w:val="24"/>
          <w:szCs w:val="24"/>
          <w:lang w:val="sq-AL" w:eastAsia="sq-AL"/>
        </w:rPr>
        <w:t>Chapman kundër Mbretërisë së Bashkuar, vendim i datës 18 janar 2001, prg.91</w:t>
      </w:r>
      <w:r w:rsidRPr="006B6069">
        <w:rPr>
          <w:rFonts w:ascii="Times New Roman" w:eastAsia="Times New Roman" w:hAnsi="Times New Roman"/>
          <w:i/>
          <w:sz w:val="24"/>
          <w:szCs w:val="24"/>
          <w:lang w:val="sq-AL" w:eastAsia="sq-AL"/>
        </w:rPr>
        <w:t xml:space="preserve">.) </w:t>
      </w:r>
      <w:r w:rsidRPr="006B6069">
        <w:rPr>
          <w:rFonts w:ascii="Times New Roman" w:hAnsi="Times New Roman"/>
          <w:sz w:val="24"/>
          <w:szCs w:val="24"/>
          <w:lang w:val="sq-AL"/>
        </w:rPr>
        <w:t>Po në këtë drejtim, Komisioni</w:t>
      </w:r>
      <w:r w:rsidRPr="0015324E">
        <w:rPr>
          <w:rFonts w:ascii="Times New Roman" w:hAnsi="Times New Roman"/>
          <w:sz w:val="24"/>
          <w:szCs w:val="24"/>
          <w:lang w:val="sq-AL"/>
        </w:rPr>
        <w:t xml:space="preserve"> i Veneci</w:t>
      </w:r>
      <w:r>
        <w:rPr>
          <w:rFonts w:ascii="Times New Roman" w:hAnsi="Times New Roman"/>
          <w:sz w:val="24"/>
          <w:szCs w:val="24"/>
          <w:lang w:val="sq-AL"/>
        </w:rPr>
        <w:t>e</w:t>
      </w:r>
      <w:r w:rsidRPr="0015324E">
        <w:rPr>
          <w:rFonts w:ascii="Times New Roman" w:hAnsi="Times New Roman"/>
          <w:sz w:val="24"/>
          <w:szCs w:val="24"/>
          <w:lang w:val="sq-AL"/>
        </w:rPr>
        <w:t xml:space="preserve">s ka përmbledhur në një buletin të gjitha çështjet e shqyrtuara gjatë periudhës së </w:t>
      </w:r>
      <w:r>
        <w:rPr>
          <w:rFonts w:ascii="Times New Roman" w:hAnsi="Times New Roman"/>
          <w:sz w:val="24"/>
          <w:szCs w:val="24"/>
          <w:lang w:val="sq-AL"/>
        </w:rPr>
        <w:t>p</w:t>
      </w:r>
      <w:r w:rsidRPr="0015324E">
        <w:rPr>
          <w:rFonts w:ascii="Times New Roman" w:hAnsi="Times New Roman"/>
          <w:sz w:val="24"/>
          <w:szCs w:val="24"/>
          <w:lang w:val="sq-AL"/>
        </w:rPr>
        <w:t xml:space="preserve">andemisë nga gjykatat kushtetuese ose gjykatat që kanë në </w:t>
      </w:r>
      <w:r>
        <w:rPr>
          <w:rFonts w:ascii="Times New Roman" w:hAnsi="Times New Roman"/>
          <w:sz w:val="24"/>
          <w:szCs w:val="24"/>
          <w:lang w:val="sq-AL"/>
        </w:rPr>
        <w:t>kompetencë kontrollin e akteve të marra gjatë pandemisë,</w:t>
      </w:r>
      <w:r w:rsidRPr="0015324E">
        <w:rPr>
          <w:rFonts w:ascii="Times New Roman" w:hAnsi="Times New Roman"/>
          <w:sz w:val="24"/>
          <w:szCs w:val="24"/>
          <w:lang w:val="sq-AL"/>
        </w:rPr>
        <w:t xml:space="preserve"> sipas sistemeve ligjore përkatëse, ku mund të dallohet lehtësisht shumëllojshmëria  e qasjeve të vendeve të ndryshme në kontekstin e masave dhe kufizimeve,  si edhe e vendimmarrjeve nga këto gjykata</w:t>
      </w:r>
      <w:r w:rsidRPr="0015324E">
        <w:rPr>
          <w:rStyle w:val="FootnoteReference"/>
          <w:sz w:val="24"/>
          <w:szCs w:val="24"/>
          <w:lang w:val="sq-AL"/>
        </w:rPr>
        <w:footnoteReference w:id="3"/>
      </w:r>
      <w:r w:rsidRPr="0015324E">
        <w:rPr>
          <w:rFonts w:ascii="Times New Roman" w:hAnsi="Times New Roman"/>
          <w:sz w:val="24"/>
          <w:szCs w:val="24"/>
          <w:lang w:val="sq-AL"/>
        </w:rPr>
        <w:t xml:space="preserve">.  </w:t>
      </w:r>
    </w:p>
    <w:p w:rsidR="00CB7B24" w:rsidRPr="0015324E" w:rsidRDefault="00CB7B24" w:rsidP="00CB7B24">
      <w:pPr>
        <w:spacing w:after="0" w:line="360" w:lineRule="auto"/>
        <w:ind w:firstLine="720"/>
        <w:jc w:val="both"/>
        <w:rPr>
          <w:rFonts w:ascii="Times New Roman" w:hAnsi="Times New Roman"/>
          <w:sz w:val="24"/>
          <w:szCs w:val="24"/>
          <w:lang w:val="sq-AL"/>
        </w:rPr>
      </w:pPr>
      <w:r w:rsidRPr="0015324E">
        <w:rPr>
          <w:rFonts w:ascii="Times New Roman" w:eastAsia="Times New Roman" w:hAnsi="Times New Roman"/>
          <w:sz w:val="24"/>
          <w:szCs w:val="24"/>
          <w:lang w:val="sq-AL" w:eastAsia="sq-AL"/>
        </w:rPr>
        <w:t>3</w:t>
      </w:r>
      <w:r>
        <w:rPr>
          <w:rFonts w:ascii="Times New Roman" w:eastAsia="Times New Roman" w:hAnsi="Times New Roman"/>
          <w:sz w:val="24"/>
          <w:szCs w:val="24"/>
          <w:lang w:val="sq-AL" w:eastAsia="sq-AL"/>
        </w:rPr>
        <w:t>9</w:t>
      </w:r>
      <w:r w:rsidRPr="0015324E">
        <w:rPr>
          <w:rFonts w:ascii="Times New Roman" w:eastAsia="Times New Roman" w:hAnsi="Times New Roman"/>
          <w:sz w:val="24"/>
          <w:szCs w:val="24"/>
          <w:lang w:val="sq-AL" w:eastAsia="sq-AL"/>
        </w:rPr>
        <w:t xml:space="preserve">. </w:t>
      </w:r>
      <w:r w:rsidRPr="00FE48B5">
        <w:rPr>
          <w:rFonts w:ascii="Times New Roman" w:eastAsia="Times New Roman" w:hAnsi="Times New Roman"/>
          <w:sz w:val="24"/>
          <w:szCs w:val="24"/>
          <w:lang w:val="sq-AL" w:eastAsia="sq-AL"/>
        </w:rPr>
        <w:t xml:space="preserve">Nga ana tjetër, </w:t>
      </w:r>
      <w:r w:rsidRPr="00FE48B5">
        <w:rPr>
          <w:rFonts w:ascii="Times New Roman" w:hAnsi="Times New Roman"/>
          <w:sz w:val="24"/>
          <w:szCs w:val="24"/>
          <w:lang w:val="sq-AL"/>
        </w:rPr>
        <w:t>shumica është shprehur se “...urdhri</w:t>
      </w:r>
      <w:r w:rsidRPr="0015324E">
        <w:rPr>
          <w:rFonts w:ascii="Times New Roman" w:hAnsi="Times New Roman"/>
          <w:sz w:val="24"/>
          <w:szCs w:val="24"/>
          <w:lang w:val="sq-AL"/>
        </w:rPr>
        <w:t xml:space="preserve"> nr. 663/2020, në pikën 1 të tij përmban shprehjen “deri në një urdhër të dytë” që tregon se nuk ka një afat të qartë se kur këto masa kufizuese përfundojnë apo rishikohen. Konkretisht, nga hyrja në fuqi e tij e deri aktualisht, ky urdhër nuk është rishikuar  (</w:t>
      </w:r>
      <w:r w:rsidRPr="0015324E">
        <w:rPr>
          <w:rFonts w:ascii="Times New Roman" w:hAnsi="Times New Roman"/>
          <w:i/>
          <w:sz w:val="24"/>
          <w:szCs w:val="24"/>
          <w:lang w:val="sq-AL"/>
        </w:rPr>
        <w:t>prg.6</w:t>
      </w:r>
      <w:r>
        <w:rPr>
          <w:rFonts w:ascii="Times New Roman" w:hAnsi="Times New Roman"/>
          <w:i/>
          <w:sz w:val="24"/>
          <w:szCs w:val="24"/>
          <w:lang w:val="sq-AL"/>
        </w:rPr>
        <w:t>8</w:t>
      </w:r>
      <w:r w:rsidRPr="0015324E">
        <w:rPr>
          <w:rFonts w:ascii="Times New Roman" w:hAnsi="Times New Roman"/>
          <w:i/>
          <w:sz w:val="24"/>
          <w:szCs w:val="24"/>
          <w:lang w:val="sq-AL"/>
        </w:rPr>
        <w:t xml:space="preserve"> i vendimit</w:t>
      </w:r>
      <w:r w:rsidRPr="0015324E">
        <w:rPr>
          <w:rFonts w:ascii="Times New Roman" w:hAnsi="Times New Roman"/>
          <w:sz w:val="24"/>
          <w:szCs w:val="24"/>
          <w:lang w:val="sq-AL"/>
        </w:rPr>
        <w:t xml:space="preserve">) (...) termi “deri në një urdhër të dytë” krijon problematikë në dy drejtime: </w:t>
      </w:r>
      <w:r w:rsidRPr="0015324E">
        <w:rPr>
          <w:rFonts w:ascii="Times New Roman" w:hAnsi="Times New Roman"/>
          <w:i/>
          <w:sz w:val="24"/>
          <w:szCs w:val="24"/>
          <w:lang w:val="sq-AL"/>
        </w:rPr>
        <w:t>së pari</w:t>
      </w:r>
      <w:r w:rsidRPr="0015324E">
        <w:rPr>
          <w:rFonts w:ascii="Times New Roman" w:hAnsi="Times New Roman"/>
          <w:sz w:val="24"/>
          <w:szCs w:val="24"/>
          <w:lang w:val="sq-AL"/>
        </w:rPr>
        <w:t>, nuk detyron autoritetet përgjegjëse të bëjnë vlerësim periodik për masat kufizuese të përcaktuar me urdhrin në fjalë dhe</w:t>
      </w:r>
      <w:r>
        <w:rPr>
          <w:rFonts w:ascii="Times New Roman" w:hAnsi="Times New Roman"/>
          <w:sz w:val="24"/>
          <w:szCs w:val="24"/>
          <w:lang w:val="sq-AL"/>
        </w:rPr>
        <w:t>,</w:t>
      </w:r>
      <w:r w:rsidRPr="0015324E">
        <w:rPr>
          <w:rFonts w:ascii="Times New Roman" w:hAnsi="Times New Roman"/>
          <w:sz w:val="24"/>
          <w:szCs w:val="24"/>
          <w:lang w:val="sq-AL"/>
        </w:rPr>
        <w:t xml:space="preserve"> </w:t>
      </w:r>
      <w:r w:rsidRPr="0015324E">
        <w:rPr>
          <w:rFonts w:ascii="Times New Roman" w:hAnsi="Times New Roman"/>
          <w:i/>
          <w:sz w:val="24"/>
          <w:szCs w:val="24"/>
          <w:lang w:val="sq-AL"/>
        </w:rPr>
        <w:t>së dyti,</w:t>
      </w:r>
      <w:r w:rsidRPr="0015324E">
        <w:rPr>
          <w:rFonts w:ascii="Times New Roman" w:hAnsi="Times New Roman"/>
          <w:sz w:val="24"/>
          <w:szCs w:val="24"/>
          <w:lang w:val="sq-AL"/>
        </w:rPr>
        <w:t xml:space="preserve"> nuk i përgjigjet standardit të </w:t>
      </w:r>
      <w:r w:rsidRPr="0015324E">
        <w:rPr>
          <w:rFonts w:ascii="Times New Roman" w:hAnsi="Times New Roman"/>
          <w:iCs/>
          <w:sz w:val="24"/>
          <w:szCs w:val="24"/>
          <w:lang w:val="sq-AL"/>
        </w:rPr>
        <w:t>proporcionalitetit. Kjo çështje merr edhe më shumë rëndësi po të merret në konsideratë që vendi tashmë është në prag të zgjedhjeve parlamentare</w:t>
      </w:r>
      <w:r w:rsidRPr="0015324E">
        <w:rPr>
          <w:rFonts w:ascii="Times New Roman" w:hAnsi="Times New Roman"/>
          <w:sz w:val="24"/>
          <w:szCs w:val="24"/>
          <w:lang w:val="sq-AL"/>
        </w:rPr>
        <w:t xml:space="preserve">” </w:t>
      </w:r>
      <w:r w:rsidRPr="0015324E">
        <w:rPr>
          <w:rFonts w:ascii="Times New Roman" w:hAnsi="Times New Roman"/>
          <w:i/>
          <w:sz w:val="24"/>
          <w:szCs w:val="24"/>
          <w:lang w:val="sq-AL"/>
        </w:rPr>
        <w:t>(prg. 6</w:t>
      </w:r>
      <w:r>
        <w:rPr>
          <w:rFonts w:ascii="Times New Roman" w:hAnsi="Times New Roman"/>
          <w:i/>
          <w:sz w:val="24"/>
          <w:szCs w:val="24"/>
          <w:lang w:val="sq-AL"/>
        </w:rPr>
        <w:t>9</w:t>
      </w:r>
      <w:r w:rsidRPr="0015324E">
        <w:rPr>
          <w:rFonts w:ascii="Times New Roman" w:hAnsi="Times New Roman"/>
          <w:i/>
          <w:sz w:val="24"/>
          <w:szCs w:val="24"/>
          <w:lang w:val="sq-AL"/>
        </w:rPr>
        <w:t xml:space="preserve"> i vendimit).</w:t>
      </w:r>
      <w:r w:rsidRPr="0015324E">
        <w:rPr>
          <w:rFonts w:ascii="Times New Roman" w:hAnsi="Times New Roman"/>
          <w:sz w:val="24"/>
          <w:szCs w:val="24"/>
          <w:lang w:val="sq-AL"/>
        </w:rPr>
        <w:t xml:space="preserve">  Ky qëndrim i saj duket se ka lidhje jo vetëm me mosrespektimin e domosdoshmërisë, por edhe me papërshtatshmërinë e  mjetit kufizues, si element</w:t>
      </w:r>
      <w:r>
        <w:rPr>
          <w:rFonts w:ascii="Times New Roman" w:hAnsi="Times New Roman"/>
          <w:sz w:val="24"/>
          <w:szCs w:val="24"/>
          <w:lang w:val="sq-AL"/>
        </w:rPr>
        <w:t>e</w:t>
      </w:r>
      <w:r w:rsidRPr="0015324E">
        <w:rPr>
          <w:rFonts w:ascii="Times New Roman" w:hAnsi="Times New Roman"/>
          <w:sz w:val="24"/>
          <w:szCs w:val="24"/>
          <w:lang w:val="sq-AL"/>
        </w:rPr>
        <w:t xml:space="preserve"> të proporcionalitetit. </w:t>
      </w:r>
    </w:p>
    <w:p w:rsidR="00CB7B24" w:rsidRPr="0015324E" w:rsidRDefault="00CB7B24" w:rsidP="00CB7B24">
      <w:pPr>
        <w:tabs>
          <w:tab w:val="left" w:pos="851"/>
        </w:tabs>
        <w:spacing w:after="0" w:line="360" w:lineRule="auto"/>
        <w:ind w:firstLine="567"/>
        <w:contextualSpacing/>
        <w:jc w:val="both"/>
        <w:rPr>
          <w:rFonts w:ascii="Times New Roman" w:eastAsia="Times New Roman" w:hAnsi="Times New Roman"/>
          <w:sz w:val="24"/>
          <w:szCs w:val="24"/>
          <w:lang w:val="sq-AL" w:eastAsia="sq-AL"/>
        </w:rPr>
      </w:pPr>
      <w:r>
        <w:rPr>
          <w:rFonts w:ascii="Times New Roman" w:eastAsia="Times New Roman" w:hAnsi="Times New Roman"/>
          <w:sz w:val="24"/>
          <w:szCs w:val="24"/>
          <w:lang w:val="sq-AL" w:eastAsia="sq-AL"/>
        </w:rPr>
        <w:t>40</w:t>
      </w:r>
      <w:r w:rsidRPr="0015324E">
        <w:rPr>
          <w:rFonts w:ascii="Times New Roman" w:eastAsia="Times New Roman" w:hAnsi="Times New Roman"/>
          <w:sz w:val="24"/>
          <w:szCs w:val="24"/>
          <w:lang w:val="sq-AL" w:eastAsia="sq-AL"/>
        </w:rPr>
        <w:t xml:space="preserve">. </w:t>
      </w:r>
      <w:r w:rsidRPr="0015324E">
        <w:rPr>
          <w:rFonts w:ascii="Times New Roman" w:eastAsia="Times New Roman" w:hAnsi="Times New Roman"/>
          <w:i/>
          <w:sz w:val="24"/>
          <w:szCs w:val="24"/>
          <w:lang w:val="sq-AL" w:eastAsia="sq-AL"/>
        </w:rPr>
        <w:t>Përshtatshmëria</w:t>
      </w:r>
      <w:r w:rsidRPr="0015324E">
        <w:rPr>
          <w:rFonts w:ascii="Times New Roman" w:eastAsia="Times New Roman" w:hAnsi="Times New Roman"/>
          <w:sz w:val="24"/>
          <w:szCs w:val="24"/>
          <w:lang w:val="sq-AL" w:eastAsia="sq-AL"/>
        </w:rPr>
        <w:t xml:space="preserve"> është nëntesti i parimit të proporcionalitetit, sipas të cilit, kufizimi i së drejtës është bërë me masën apo mjetin që sjell efektin e duhur dhe realizon synimin për të cilin është përzgjedhur. </w:t>
      </w:r>
      <w:r w:rsidRPr="00414D0B">
        <w:rPr>
          <w:rFonts w:ascii="Times New Roman" w:eastAsia="Times New Roman" w:hAnsi="Times New Roman"/>
          <w:sz w:val="24"/>
          <w:szCs w:val="24"/>
          <w:lang w:val="sq-AL" w:eastAsia="sq-AL"/>
        </w:rPr>
        <w:t>Në këtë kontekst, merr rëndësi analiza e procesit në tërësi dhe fakteve konkrete nga veprimtaria e Komitetit Teknik. Kështu</w:t>
      </w:r>
      <w:r w:rsidRPr="0015324E">
        <w:rPr>
          <w:rFonts w:ascii="Times New Roman" w:eastAsia="Times New Roman" w:hAnsi="Times New Roman"/>
          <w:sz w:val="24"/>
          <w:szCs w:val="24"/>
          <w:lang w:val="sq-AL" w:eastAsia="sq-AL"/>
        </w:rPr>
        <w:t xml:space="preserve">, </w:t>
      </w:r>
      <w:r>
        <w:rPr>
          <w:rFonts w:ascii="Times New Roman" w:hAnsi="Times New Roman"/>
          <w:sz w:val="24"/>
          <w:szCs w:val="24"/>
          <w:lang w:val="sq-AL"/>
        </w:rPr>
        <w:t>u</w:t>
      </w:r>
      <w:r w:rsidRPr="0015324E">
        <w:rPr>
          <w:rFonts w:ascii="Times New Roman" w:hAnsi="Times New Roman"/>
          <w:sz w:val="24"/>
          <w:szCs w:val="24"/>
          <w:lang w:val="sq-AL"/>
        </w:rPr>
        <w:t xml:space="preserve">rdhri nuk ka caktuar afat rishikimi në mënyrë të shprehur, </w:t>
      </w:r>
      <w:r w:rsidRPr="0015324E">
        <w:rPr>
          <w:rFonts w:ascii="Times New Roman" w:eastAsia="Times New Roman" w:hAnsi="Times New Roman"/>
          <w:sz w:val="24"/>
          <w:szCs w:val="24"/>
          <w:lang w:val="sq-AL"/>
        </w:rPr>
        <w:t xml:space="preserve">por rezulton se Komiteti Teknik i Përkohshëm është </w:t>
      </w:r>
      <w:r>
        <w:rPr>
          <w:rFonts w:ascii="Times New Roman" w:eastAsia="Times New Roman" w:hAnsi="Times New Roman"/>
          <w:sz w:val="24"/>
          <w:szCs w:val="24"/>
          <w:lang w:val="sq-AL"/>
        </w:rPr>
        <w:t xml:space="preserve">shprehur </w:t>
      </w:r>
      <w:r w:rsidRPr="0015324E">
        <w:rPr>
          <w:rFonts w:ascii="Times New Roman" w:eastAsia="Times New Roman" w:hAnsi="Times New Roman"/>
          <w:sz w:val="24"/>
          <w:szCs w:val="24"/>
          <w:lang w:val="sq-AL"/>
        </w:rPr>
        <w:t>në mënyrë periodike javore, sipas datave përkatëse; (i)</w:t>
      </w:r>
      <w:r w:rsidRPr="0015324E">
        <w:rPr>
          <w:rFonts w:ascii="Times New Roman" w:hAnsi="Times New Roman"/>
          <w:sz w:val="24"/>
          <w:szCs w:val="24"/>
          <w:lang w:val="sq-AL"/>
        </w:rPr>
        <w:t xml:space="preserve"> 17.11.2020 – masat e reja; (ii</w:t>
      </w:r>
      <w:r>
        <w:rPr>
          <w:rFonts w:ascii="Times New Roman" w:hAnsi="Times New Roman"/>
          <w:sz w:val="24"/>
          <w:szCs w:val="24"/>
          <w:lang w:val="sq-AL"/>
        </w:rPr>
        <w:t xml:space="preserve">) 23.11.2020 – universitetet </w:t>
      </w:r>
      <w:r w:rsidRPr="00CB7B24">
        <w:rPr>
          <w:rFonts w:ascii="Times New Roman" w:hAnsi="Times New Roman"/>
          <w:i/>
          <w:sz w:val="24"/>
          <w:szCs w:val="24"/>
          <w:lang w:val="sq-AL"/>
        </w:rPr>
        <w:t>online</w:t>
      </w:r>
      <w:r w:rsidRPr="0015324E">
        <w:rPr>
          <w:rFonts w:ascii="Times New Roman" w:hAnsi="Times New Roman"/>
          <w:sz w:val="24"/>
          <w:szCs w:val="24"/>
          <w:lang w:val="sq-AL"/>
        </w:rPr>
        <w:t xml:space="preserve">; (iii) </w:t>
      </w:r>
      <w:r w:rsidRPr="0015324E">
        <w:rPr>
          <w:rFonts w:ascii="Times New Roman" w:hAnsi="Times New Roman"/>
          <w:b/>
          <w:sz w:val="24"/>
          <w:szCs w:val="24"/>
          <w:lang w:val="sq-AL"/>
        </w:rPr>
        <w:t>02.12.2020</w:t>
      </w:r>
      <w:r w:rsidRPr="0015324E">
        <w:rPr>
          <w:rFonts w:ascii="Times New Roman" w:hAnsi="Times New Roman"/>
          <w:sz w:val="24"/>
          <w:szCs w:val="24"/>
          <w:lang w:val="sq-AL"/>
        </w:rPr>
        <w:t xml:space="preserve"> – masat mbeten n</w:t>
      </w:r>
      <w:r w:rsidRPr="0015324E">
        <w:rPr>
          <w:rFonts w:ascii="Times New Roman" w:eastAsia="Times New Roman" w:hAnsi="Times New Roman"/>
          <w:sz w:val="24"/>
          <w:szCs w:val="24"/>
          <w:lang w:val="sq-AL"/>
        </w:rPr>
        <w:t>ë</w:t>
      </w:r>
      <w:r w:rsidRPr="0015324E">
        <w:rPr>
          <w:rFonts w:ascii="Times New Roman" w:hAnsi="Times New Roman"/>
          <w:sz w:val="24"/>
          <w:szCs w:val="24"/>
          <w:lang w:val="sq-AL"/>
        </w:rPr>
        <w:t xml:space="preserve"> fuqi; (iv) 08.12.2020- situat</w:t>
      </w:r>
      <w:r w:rsidRPr="0015324E">
        <w:rPr>
          <w:rFonts w:ascii="Times New Roman" w:eastAsia="Times New Roman" w:hAnsi="Times New Roman"/>
          <w:sz w:val="24"/>
          <w:szCs w:val="24"/>
          <w:lang w:val="sq-AL"/>
        </w:rPr>
        <w:t>ë</w:t>
      </w:r>
      <w:r w:rsidRPr="0015324E">
        <w:rPr>
          <w:rFonts w:ascii="Times New Roman" w:hAnsi="Times New Roman"/>
          <w:sz w:val="24"/>
          <w:szCs w:val="24"/>
          <w:lang w:val="sq-AL"/>
        </w:rPr>
        <w:t xml:space="preserve"> e q</w:t>
      </w:r>
      <w:r w:rsidRPr="0015324E">
        <w:rPr>
          <w:rFonts w:ascii="Times New Roman" w:eastAsia="Times New Roman" w:hAnsi="Times New Roman"/>
          <w:sz w:val="24"/>
          <w:szCs w:val="24"/>
          <w:lang w:val="sq-AL"/>
        </w:rPr>
        <w:t>ë</w:t>
      </w:r>
      <w:r w:rsidRPr="0015324E">
        <w:rPr>
          <w:rFonts w:ascii="Times New Roman" w:hAnsi="Times New Roman"/>
          <w:sz w:val="24"/>
          <w:szCs w:val="24"/>
          <w:lang w:val="sq-AL"/>
        </w:rPr>
        <w:t xml:space="preserve">ndrueshme; (v) 17.12.2020 – komunikim </w:t>
      </w:r>
      <w:r w:rsidRPr="00CB7B24">
        <w:rPr>
          <w:rFonts w:ascii="Times New Roman" w:hAnsi="Times New Roman"/>
          <w:i/>
          <w:sz w:val="24"/>
          <w:szCs w:val="24"/>
          <w:lang w:val="sq-AL"/>
        </w:rPr>
        <w:t>online</w:t>
      </w:r>
      <w:r w:rsidRPr="0015324E">
        <w:rPr>
          <w:rFonts w:ascii="Times New Roman" w:hAnsi="Times New Roman"/>
          <w:sz w:val="24"/>
          <w:szCs w:val="24"/>
          <w:lang w:val="sq-AL"/>
        </w:rPr>
        <w:t xml:space="preserve"> me ekspert</w:t>
      </w:r>
      <w:r>
        <w:rPr>
          <w:rFonts w:ascii="Times New Roman" w:hAnsi="Times New Roman"/>
          <w:sz w:val="24"/>
          <w:szCs w:val="24"/>
          <w:lang w:val="sq-AL"/>
        </w:rPr>
        <w:t>ë</w:t>
      </w:r>
      <w:r w:rsidRPr="0015324E">
        <w:rPr>
          <w:rFonts w:ascii="Times New Roman" w:hAnsi="Times New Roman"/>
          <w:sz w:val="24"/>
          <w:szCs w:val="24"/>
          <w:lang w:val="sq-AL"/>
        </w:rPr>
        <w:t xml:space="preserve"> t</w:t>
      </w:r>
      <w:r w:rsidRPr="0015324E">
        <w:rPr>
          <w:rFonts w:ascii="Times New Roman" w:eastAsia="Times New Roman" w:hAnsi="Times New Roman"/>
          <w:sz w:val="24"/>
          <w:szCs w:val="24"/>
          <w:lang w:val="sq-AL"/>
        </w:rPr>
        <w:t>ë</w:t>
      </w:r>
      <w:r w:rsidRPr="0015324E">
        <w:rPr>
          <w:rFonts w:ascii="Times New Roman" w:hAnsi="Times New Roman"/>
          <w:sz w:val="24"/>
          <w:szCs w:val="24"/>
          <w:lang w:val="sq-AL"/>
        </w:rPr>
        <w:t xml:space="preserve"> huaj; (vi) 06.01.2021- ora policore, situat</w:t>
      </w:r>
      <w:r w:rsidRPr="0015324E">
        <w:rPr>
          <w:rFonts w:ascii="Times New Roman" w:eastAsia="Times New Roman" w:hAnsi="Times New Roman"/>
          <w:sz w:val="24"/>
          <w:szCs w:val="24"/>
          <w:lang w:val="sq-AL"/>
        </w:rPr>
        <w:t>ë</w:t>
      </w:r>
      <w:r w:rsidRPr="0015324E">
        <w:rPr>
          <w:rFonts w:ascii="Times New Roman" w:hAnsi="Times New Roman"/>
          <w:sz w:val="24"/>
          <w:szCs w:val="24"/>
          <w:lang w:val="sq-AL"/>
        </w:rPr>
        <w:t xml:space="preserve"> epidemiologjike; (vii) 21.01.2021 – d</w:t>
      </w:r>
      <w:r w:rsidRPr="0015324E">
        <w:rPr>
          <w:rFonts w:ascii="Times New Roman" w:eastAsia="Times New Roman" w:hAnsi="Times New Roman"/>
          <w:sz w:val="24"/>
          <w:szCs w:val="24"/>
          <w:lang w:val="sq-AL"/>
        </w:rPr>
        <w:t>ë</w:t>
      </w:r>
      <w:r w:rsidRPr="0015324E">
        <w:rPr>
          <w:rFonts w:ascii="Times New Roman" w:hAnsi="Times New Roman"/>
          <w:sz w:val="24"/>
          <w:szCs w:val="24"/>
          <w:lang w:val="sq-AL"/>
        </w:rPr>
        <w:t>gjes</w:t>
      </w:r>
      <w:r w:rsidRPr="0015324E">
        <w:rPr>
          <w:rFonts w:ascii="Times New Roman" w:eastAsia="Times New Roman" w:hAnsi="Times New Roman"/>
          <w:sz w:val="24"/>
          <w:szCs w:val="24"/>
          <w:lang w:val="sq-AL"/>
        </w:rPr>
        <w:t>ë</w:t>
      </w:r>
      <w:r w:rsidRPr="0015324E">
        <w:rPr>
          <w:rFonts w:ascii="Times New Roman" w:hAnsi="Times New Roman"/>
          <w:sz w:val="24"/>
          <w:szCs w:val="24"/>
          <w:lang w:val="sq-AL"/>
        </w:rPr>
        <w:t xml:space="preserve"> me </w:t>
      </w:r>
      <w:r>
        <w:rPr>
          <w:rFonts w:ascii="Times New Roman" w:hAnsi="Times New Roman"/>
          <w:sz w:val="24"/>
          <w:szCs w:val="24"/>
          <w:lang w:val="sq-AL"/>
        </w:rPr>
        <w:t>m</w:t>
      </w:r>
      <w:r w:rsidRPr="0015324E">
        <w:rPr>
          <w:rFonts w:ascii="Times New Roman" w:hAnsi="Times New Roman"/>
          <w:sz w:val="24"/>
          <w:szCs w:val="24"/>
          <w:lang w:val="sq-AL"/>
        </w:rPr>
        <w:t>inistren e Arsimit; (viii) 01.02.2021 – pezullim i fluturimeve ajrore me Anglin</w:t>
      </w:r>
      <w:r w:rsidRPr="0015324E">
        <w:rPr>
          <w:rFonts w:ascii="Times New Roman" w:eastAsia="Times New Roman" w:hAnsi="Times New Roman"/>
          <w:sz w:val="24"/>
          <w:szCs w:val="24"/>
          <w:lang w:val="sq-AL"/>
        </w:rPr>
        <w:t>ë</w:t>
      </w:r>
      <w:r w:rsidRPr="0015324E">
        <w:rPr>
          <w:rFonts w:ascii="Times New Roman" w:hAnsi="Times New Roman"/>
          <w:sz w:val="24"/>
          <w:szCs w:val="24"/>
          <w:lang w:val="sq-AL"/>
        </w:rPr>
        <w:t xml:space="preserve">, (ix) </w:t>
      </w:r>
      <w:r w:rsidRPr="0015324E">
        <w:rPr>
          <w:rFonts w:ascii="Times New Roman" w:hAnsi="Times New Roman"/>
          <w:b/>
          <w:sz w:val="24"/>
          <w:szCs w:val="24"/>
          <w:lang w:val="sq-AL"/>
        </w:rPr>
        <w:t>25.02.2021</w:t>
      </w:r>
      <w:r w:rsidRPr="0015324E">
        <w:rPr>
          <w:rFonts w:ascii="Times New Roman" w:hAnsi="Times New Roman"/>
          <w:sz w:val="24"/>
          <w:szCs w:val="24"/>
          <w:lang w:val="sq-AL"/>
        </w:rPr>
        <w:t xml:space="preserve"> – masat mbeten n</w:t>
      </w:r>
      <w:r w:rsidRPr="0015324E">
        <w:rPr>
          <w:rFonts w:ascii="Times New Roman" w:eastAsia="Times New Roman" w:hAnsi="Times New Roman"/>
          <w:sz w:val="24"/>
          <w:szCs w:val="24"/>
          <w:lang w:val="sq-AL"/>
        </w:rPr>
        <w:t>ë</w:t>
      </w:r>
      <w:r w:rsidRPr="0015324E">
        <w:rPr>
          <w:rFonts w:ascii="Times New Roman" w:hAnsi="Times New Roman"/>
          <w:sz w:val="24"/>
          <w:szCs w:val="24"/>
          <w:lang w:val="sq-AL"/>
        </w:rPr>
        <w:t xml:space="preserve"> fuqi.</w:t>
      </w:r>
      <w:r w:rsidRPr="0015324E">
        <w:rPr>
          <w:rFonts w:ascii="Times New Roman" w:eastAsia="Times New Roman" w:hAnsi="Times New Roman"/>
          <w:sz w:val="24"/>
          <w:szCs w:val="24"/>
          <w:lang w:val="sq-AL"/>
        </w:rPr>
        <w:t xml:space="preserve"> Nga këto </w:t>
      </w:r>
      <w:r w:rsidRPr="00414D0B">
        <w:rPr>
          <w:rFonts w:ascii="Times New Roman" w:eastAsia="Times New Roman" w:hAnsi="Times New Roman"/>
          <w:sz w:val="24"/>
          <w:szCs w:val="24"/>
          <w:lang w:val="sq-AL"/>
        </w:rPr>
        <w:t>të dhëna, të bëra publike rezulton se</w:t>
      </w:r>
      <w:r w:rsidRPr="0015324E">
        <w:rPr>
          <w:rFonts w:ascii="Times New Roman" w:eastAsia="Times New Roman" w:hAnsi="Times New Roman"/>
          <w:sz w:val="24"/>
          <w:szCs w:val="24"/>
          <w:lang w:val="sq-AL"/>
        </w:rPr>
        <w:t xml:space="preserve"> Komiteti Teknik në mënyrë të shprehur ka konfirmuar mosndryshimin e masave, </w:t>
      </w:r>
      <w:r>
        <w:rPr>
          <w:rFonts w:ascii="Times New Roman" w:eastAsia="Times New Roman" w:hAnsi="Times New Roman"/>
          <w:sz w:val="24"/>
          <w:szCs w:val="24"/>
          <w:lang w:val="sq-AL"/>
        </w:rPr>
        <w:t xml:space="preserve"> në </w:t>
      </w:r>
      <w:r w:rsidRPr="0015324E">
        <w:rPr>
          <w:rFonts w:ascii="Times New Roman" w:eastAsia="Times New Roman" w:hAnsi="Times New Roman"/>
          <w:sz w:val="24"/>
          <w:szCs w:val="24"/>
          <w:lang w:val="sq-AL"/>
        </w:rPr>
        <w:t>datë</w:t>
      </w:r>
      <w:r>
        <w:rPr>
          <w:rFonts w:ascii="Times New Roman" w:eastAsia="Times New Roman" w:hAnsi="Times New Roman"/>
          <w:sz w:val="24"/>
          <w:szCs w:val="24"/>
          <w:lang w:val="sq-AL"/>
        </w:rPr>
        <w:t>n</w:t>
      </w:r>
      <w:r w:rsidRPr="0015324E">
        <w:rPr>
          <w:rFonts w:ascii="Times New Roman" w:eastAsia="Times New Roman" w:hAnsi="Times New Roman"/>
          <w:sz w:val="24"/>
          <w:szCs w:val="24"/>
          <w:lang w:val="sq-AL"/>
        </w:rPr>
        <w:t xml:space="preserve"> 2 dhjetor 2020, si dhe </w:t>
      </w:r>
      <w:r>
        <w:rPr>
          <w:rFonts w:ascii="Times New Roman" w:eastAsia="Times New Roman" w:hAnsi="Times New Roman"/>
          <w:sz w:val="24"/>
          <w:szCs w:val="24"/>
          <w:lang w:val="sq-AL"/>
        </w:rPr>
        <w:t xml:space="preserve"> në </w:t>
      </w:r>
      <w:r w:rsidRPr="0015324E">
        <w:rPr>
          <w:rFonts w:ascii="Times New Roman" w:eastAsia="Times New Roman" w:hAnsi="Times New Roman"/>
          <w:sz w:val="24"/>
          <w:szCs w:val="24"/>
          <w:lang w:val="sq-AL"/>
        </w:rPr>
        <w:t>datë</w:t>
      </w:r>
      <w:r>
        <w:rPr>
          <w:rFonts w:ascii="Times New Roman" w:eastAsia="Times New Roman" w:hAnsi="Times New Roman"/>
          <w:sz w:val="24"/>
          <w:szCs w:val="24"/>
          <w:lang w:val="sq-AL"/>
        </w:rPr>
        <w:t>n</w:t>
      </w:r>
      <w:r w:rsidRPr="0015324E">
        <w:rPr>
          <w:rFonts w:ascii="Times New Roman" w:eastAsia="Times New Roman" w:hAnsi="Times New Roman"/>
          <w:sz w:val="24"/>
          <w:szCs w:val="24"/>
          <w:lang w:val="sq-AL"/>
        </w:rPr>
        <w:t xml:space="preserve"> 25 </w:t>
      </w:r>
      <w:r>
        <w:rPr>
          <w:rFonts w:ascii="Times New Roman" w:eastAsia="Times New Roman" w:hAnsi="Times New Roman"/>
          <w:sz w:val="24"/>
          <w:szCs w:val="24"/>
          <w:lang w:val="sq-AL"/>
        </w:rPr>
        <w:t>s</w:t>
      </w:r>
      <w:r w:rsidRPr="0015324E">
        <w:rPr>
          <w:rFonts w:ascii="Times New Roman" w:eastAsia="Times New Roman" w:hAnsi="Times New Roman"/>
          <w:sz w:val="24"/>
          <w:szCs w:val="24"/>
          <w:lang w:val="sq-AL"/>
        </w:rPr>
        <w:t xml:space="preserve">hkurt 2021, ku është shprehur specifikisht se masa e kufizimit të grumbullimeve deri në 10 </w:t>
      </w:r>
      <w:r>
        <w:rPr>
          <w:rFonts w:ascii="Times New Roman" w:eastAsia="Times New Roman" w:hAnsi="Times New Roman"/>
          <w:sz w:val="24"/>
          <w:szCs w:val="24"/>
          <w:lang w:val="sq-AL"/>
        </w:rPr>
        <w:t>persona</w:t>
      </w:r>
      <w:r w:rsidRPr="0015324E">
        <w:rPr>
          <w:rFonts w:ascii="Times New Roman" w:eastAsia="Times New Roman" w:hAnsi="Times New Roman"/>
          <w:sz w:val="24"/>
          <w:szCs w:val="24"/>
          <w:lang w:val="sq-AL"/>
        </w:rPr>
        <w:t>, nuk do të ndryshohet</w:t>
      </w:r>
      <w:r w:rsidRPr="0015324E">
        <w:rPr>
          <w:rStyle w:val="FootnoteReference"/>
          <w:rFonts w:eastAsia="Times New Roman"/>
          <w:sz w:val="24"/>
          <w:szCs w:val="24"/>
          <w:lang w:val="sq-AL"/>
        </w:rPr>
        <w:footnoteReference w:id="4"/>
      </w:r>
      <w:r w:rsidRPr="0015324E">
        <w:rPr>
          <w:rFonts w:ascii="Times New Roman" w:eastAsia="Times New Roman" w:hAnsi="Times New Roman"/>
          <w:sz w:val="24"/>
          <w:szCs w:val="24"/>
          <w:lang w:val="sq-AL"/>
        </w:rPr>
        <w:t xml:space="preserve">. </w:t>
      </w:r>
      <w:r w:rsidRPr="00412B2E">
        <w:rPr>
          <w:rFonts w:ascii="Times New Roman" w:eastAsia="Times New Roman" w:hAnsi="Times New Roman"/>
          <w:sz w:val="24"/>
          <w:szCs w:val="24"/>
          <w:lang w:val="sq-AL"/>
        </w:rPr>
        <w:t>Ky konfirmim i ekspertizës  së Komitetit eventualisht</w:t>
      </w:r>
      <w:r w:rsidRPr="0015324E">
        <w:rPr>
          <w:rFonts w:ascii="Times New Roman" w:eastAsia="Times New Roman" w:hAnsi="Times New Roman"/>
          <w:sz w:val="24"/>
          <w:szCs w:val="24"/>
          <w:lang w:val="sq-AL"/>
        </w:rPr>
        <w:t xml:space="preserve"> është pranuar edhe </w:t>
      </w:r>
      <w:r>
        <w:rPr>
          <w:rFonts w:ascii="Times New Roman" w:eastAsia="Times New Roman" w:hAnsi="Times New Roman"/>
          <w:sz w:val="24"/>
          <w:szCs w:val="24"/>
          <w:lang w:val="sq-AL"/>
        </w:rPr>
        <w:t>nga m</w:t>
      </w:r>
      <w:r w:rsidRPr="0015324E">
        <w:rPr>
          <w:rFonts w:ascii="Times New Roman" w:eastAsia="Times New Roman" w:hAnsi="Times New Roman"/>
          <w:sz w:val="24"/>
          <w:szCs w:val="24"/>
          <w:lang w:val="sq-AL"/>
        </w:rPr>
        <w:t xml:space="preserve">inistri i Shëndetësisë, për sa kohë që nuk </w:t>
      </w:r>
      <w:r w:rsidR="0077604B">
        <w:rPr>
          <w:rFonts w:ascii="Times New Roman" w:eastAsia="Times New Roman" w:hAnsi="Times New Roman"/>
          <w:sz w:val="24"/>
          <w:szCs w:val="24"/>
          <w:lang w:val="sq-AL"/>
        </w:rPr>
        <w:t xml:space="preserve">ka </w:t>
      </w:r>
      <w:r>
        <w:rPr>
          <w:rFonts w:ascii="Times New Roman" w:eastAsia="Times New Roman" w:hAnsi="Times New Roman"/>
          <w:sz w:val="24"/>
          <w:szCs w:val="24"/>
          <w:lang w:val="sq-AL"/>
        </w:rPr>
        <w:t>shfuqizuar urdhrin</w:t>
      </w:r>
      <w:r w:rsidRPr="0015324E">
        <w:rPr>
          <w:rFonts w:ascii="Times New Roman" w:eastAsia="Times New Roman" w:hAnsi="Times New Roman"/>
          <w:sz w:val="24"/>
          <w:szCs w:val="24"/>
          <w:lang w:val="sq-AL"/>
        </w:rPr>
        <w:t xml:space="preserve"> objekt kundërshtimi.</w:t>
      </w:r>
    </w:p>
    <w:p w:rsidR="00CB7B24" w:rsidRPr="0015324E" w:rsidRDefault="00CB7B24" w:rsidP="00CB7B24">
      <w:pPr>
        <w:spacing w:after="0" w:line="360" w:lineRule="auto"/>
        <w:ind w:firstLine="720"/>
        <w:jc w:val="both"/>
        <w:rPr>
          <w:rFonts w:ascii="Times New Roman" w:eastAsia="Times New Roman" w:hAnsi="Times New Roman"/>
          <w:sz w:val="24"/>
          <w:szCs w:val="24"/>
          <w:lang w:val="sq-AL"/>
        </w:rPr>
      </w:pPr>
      <w:r>
        <w:rPr>
          <w:rFonts w:ascii="Times New Roman" w:eastAsia="Times New Roman" w:hAnsi="Times New Roman"/>
          <w:sz w:val="24"/>
          <w:szCs w:val="24"/>
          <w:lang w:val="sq-AL"/>
        </w:rPr>
        <w:t>41</w:t>
      </w:r>
      <w:r w:rsidRPr="0015324E">
        <w:rPr>
          <w:rFonts w:ascii="Times New Roman" w:eastAsia="Times New Roman" w:hAnsi="Times New Roman"/>
          <w:sz w:val="24"/>
          <w:szCs w:val="24"/>
          <w:lang w:val="sq-AL"/>
        </w:rPr>
        <w:t xml:space="preserve">. Po ashtu, rezulton se </w:t>
      </w:r>
      <w:r>
        <w:rPr>
          <w:rFonts w:ascii="Times New Roman" w:eastAsia="Times New Roman" w:hAnsi="Times New Roman"/>
          <w:sz w:val="24"/>
          <w:szCs w:val="24"/>
          <w:lang w:val="sq-AL"/>
        </w:rPr>
        <w:t>m</w:t>
      </w:r>
      <w:r w:rsidRPr="0015324E">
        <w:rPr>
          <w:rFonts w:ascii="Times New Roman" w:eastAsia="Times New Roman" w:hAnsi="Times New Roman"/>
          <w:sz w:val="24"/>
          <w:szCs w:val="24"/>
          <w:lang w:val="sq-AL"/>
        </w:rPr>
        <w:t>inistri i Shëndetësisë</w:t>
      </w:r>
      <w:r>
        <w:rPr>
          <w:rFonts w:ascii="Times New Roman" w:eastAsia="Times New Roman" w:hAnsi="Times New Roman"/>
          <w:sz w:val="24"/>
          <w:szCs w:val="24"/>
          <w:lang w:val="sq-AL"/>
        </w:rPr>
        <w:t>,</w:t>
      </w:r>
      <w:r w:rsidRPr="0015324E">
        <w:rPr>
          <w:rFonts w:ascii="Times New Roman" w:eastAsia="Times New Roman" w:hAnsi="Times New Roman"/>
          <w:sz w:val="24"/>
          <w:szCs w:val="24"/>
          <w:lang w:val="sq-AL"/>
        </w:rPr>
        <w:t xml:space="preserve"> bazuar në vendimin nr.5005/8, datë 21.12.2020 të Komitetit Teknik të Përkohshëm, ka miratuar dy urdhra, përkatësisht nr.680, 21.12.2020 “Për mbylljen e bareve dhe restoranteve, fast</w:t>
      </w:r>
      <w:r>
        <w:rPr>
          <w:rFonts w:ascii="Times New Roman" w:eastAsia="Times New Roman" w:hAnsi="Times New Roman"/>
          <w:sz w:val="24"/>
          <w:szCs w:val="24"/>
          <w:lang w:val="sq-AL"/>
        </w:rPr>
        <w:t>-</w:t>
      </w:r>
      <w:r w:rsidRPr="0015324E">
        <w:rPr>
          <w:rFonts w:ascii="Times New Roman" w:eastAsia="Times New Roman" w:hAnsi="Times New Roman"/>
          <w:sz w:val="24"/>
          <w:szCs w:val="24"/>
          <w:lang w:val="sq-AL"/>
        </w:rPr>
        <w:t xml:space="preserve">food dhe lokaleve”  dhe nr.681, datë 21.12.2020 “Për kufizimin e lëvizjes brenda vendit”. Për rrjedhojë, rezulton se ka pasur vazhdimisht vlerësime </w:t>
      </w:r>
      <w:r>
        <w:rPr>
          <w:rFonts w:ascii="Times New Roman" w:eastAsia="Times New Roman" w:hAnsi="Times New Roman"/>
          <w:sz w:val="24"/>
          <w:szCs w:val="24"/>
          <w:lang w:val="sq-AL"/>
        </w:rPr>
        <w:t>për</w:t>
      </w:r>
      <w:r w:rsidRPr="0015324E">
        <w:rPr>
          <w:rFonts w:ascii="Times New Roman" w:eastAsia="Times New Roman" w:hAnsi="Times New Roman"/>
          <w:sz w:val="24"/>
          <w:szCs w:val="24"/>
          <w:lang w:val="sq-AL"/>
        </w:rPr>
        <w:t xml:space="preserve"> gjendjen faktike të situatës së pandemisë dhe marrje</w:t>
      </w:r>
      <w:r>
        <w:rPr>
          <w:rFonts w:ascii="Times New Roman" w:eastAsia="Times New Roman" w:hAnsi="Times New Roman"/>
          <w:sz w:val="24"/>
          <w:szCs w:val="24"/>
          <w:lang w:val="sq-AL"/>
        </w:rPr>
        <w:t>s</w:t>
      </w:r>
      <w:r w:rsidRPr="0015324E">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s</w:t>
      </w:r>
      <w:r w:rsidRPr="0015324E">
        <w:rPr>
          <w:rFonts w:ascii="Times New Roman" w:eastAsia="Times New Roman" w:hAnsi="Times New Roman"/>
          <w:sz w:val="24"/>
          <w:szCs w:val="24"/>
          <w:lang w:val="sq-AL"/>
        </w:rPr>
        <w:t xml:space="preserve">ë masave përkatëse nga </w:t>
      </w:r>
      <w:r>
        <w:rPr>
          <w:rFonts w:ascii="Times New Roman" w:eastAsia="Times New Roman" w:hAnsi="Times New Roman"/>
          <w:sz w:val="24"/>
          <w:szCs w:val="24"/>
          <w:lang w:val="sq-AL"/>
        </w:rPr>
        <w:t>m</w:t>
      </w:r>
      <w:r w:rsidRPr="0015324E">
        <w:rPr>
          <w:rFonts w:ascii="Times New Roman" w:eastAsia="Times New Roman" w:hAnsi="Times New Roman"/>
          <w:sz w:val="24"/>
          <w:szCs w:val="24"/>
          <w:lang w:val="sq-AL"/>
        </w:rPr>
        <w:t>inistri i Shëndetësisë, kur është vlerësuar marrja e tyre</w:t>
      </w:r>
      <w:r w:rsidRPr="0015324E">
        <w:rPr>
          <w:rStyle w:val="FootnoteReference"/>
          <w:rFonts w:eastAsia="Times New Roman"/>
          <w:sz w:val="24"/>
          <w:szCs w:val="24"/>
          <w:lang w:val="sq-AL"/>
        </w:rPr>
        <w:footnoteReference w:id="5"/>
      </w:r>
      <w:r w:rsidRPr="0015324E">
        <w:rPr>
          <w:rFonts w:ascii="Times New Roman" w:eastAsia="Times New Roman" w:hAnsi="Times New Roman"/>
          <w:sz w:val="24"/>
          <w:szCs w:val="24"/>
          <w:lang w:val="sq-AL"/>
        </w:rPr>
        <w:t>.</w:t>
      </w:r>
    </w:p>
    <w:p w:rsidR="00CB7B24" w:rsidRPr="0015324E" w:rsidRDefault="00CB7B24" w:rsidP="00CB7B24">
      <w:pPr>
        <w:spacing w:after="0" w:line="360" w:lineRule="auto"/>
        <w:ind w:firstLine="720"/>
        <w:jc w:val="both"/>
        <w:rPr>
          <w:rFonts w:ascii="Times New Roman" w:eastAsia="Times New Roman" w:hAnsi="Times New Roman"/>
          <w:sz w:val="24"/>
          <w:szCs w:val="24"/>
          <w:lang w:val="sq-AL"/>
        </w:rPr>
      </w:pPr>
      <w:r w:rsidRPr="0015324E">
        <w:rPr>
          <w:rFonts w:ascii="Times New Roman" w:eastAsia="Times New Roman" w:hAnsi="Times New Roman"/>
          <w:sz w:val="24"/>
          <w:szCs w:val="24"/>
          <w:lang w:val="sq-AL"/>
        </w:rPr>
        <w:t>4</w:t>
      </w:r>
      <w:r>
        <w:rPr>
          <w:rFonts w:ascii="Times New Roman" w:eastAsia="Times New Roman" w:hAnsi="Times New Roman"/>
          <w:sz w:val="24"/>
          <w:szCs w:val="24"/>
          <w:lang w:val="sq-AL"/>
        </w:rPr>
        <w:t>2</w:t>
      </w:r>
      <w:r w:rsidRPr="0015324E">
        <w:rPr>
          <w:rFonts w:ascii="Times New Roman" w:eastAsia="Times New Roman" w:hAnsi="Times New Roman"/>
          <w:sz w:val="24"/>
          <w:szCs w:val="24"/>
          <w:lang w:val="sq-AL"/>
        </w:rPr>
        <w:t xml:space="preserve">. Pavarësisht sa më sipër, që lidhet me periodicitetin e vlerësimit të kufizimeve në përgjithësi nga Komiteti Teknik dhe </w:t>
      </w:r>
      <w:r>
        <w:rPr>
          <w:rFonts w:ascii="Times New Roman" w:eastAsia="Times New Roman" w:hAnsi="Times New Roman"/>
          <w:sz w:val="24"/>
          <w:szCs w:val="24"/>
          <w:lang w:val="sq-AL"/>
        </w:rPr>
        <w:t>m</w:t>
      </w:r>
      <w:r w:rsidRPr="0015324E">
        <w:rPr>
          <w:rFonts w:ascii="Times New Roman" w:eastAsia="Times New Roman" w:hAnsi="Times New Roman"/>
          <w:sz w:val="24"/>
          <w:szCs w:val="24"/>
          <w:lang w:val="sq-AL"/>
        </w:rPr>
        <w:t xml:space="preserve">inistri i Shëndetësisë, në fakt urdhri objekt gjykimi,  i miratuar </w:t>
      </w:r>
      <w:r>
        <w:rPr>
          <w:rFonts w:ascii="Times New Roman" w:eastAsia="Times New Roman" w:hAnsi="Times New Roman"/>
          <w:sz w:val="24"/>
          <w:szCs w:val="24"/>
          <w:lang w:val="sq-AL"/>
        </w:rPr>
        <w:t xml:space="preserve"> më</w:t>
      </w:r>
      <w:r w:rsidRPr="0015324E">
        <w:rPr>
          <w:rFonts w:ascii="Times New Roman" w:eastAsia="Times New Roman" w:hAnsi="Times New Roman"/>
          <w:sz w:val="24"/>
          <w:szCs w:val="24"/>
          <w:lang w:val="sq-AL"/>
        </w:rPr>
        <w:t xml:space="preserve"> 17 nëntor 2020, ka shfuqizuar një pikë të urdhrit të mëparshëm të qershor</w:t>
      </w:r>
      <w:r>
        <w:rPr>
          <w:rFonts w:ascii="Times New Roman" w:eastAsia="Times New Roman" w:hAnsi="Times New Roman"/>
          <w:sz w:val="24"/>
          <w:szCs w:val="24"/>
          <w:lang w:val="sq-AL"/>
        </w:rPr>
        <w:t>it</w:t>
      </w:r>
      <w:r w:rsidRPr="0015324E">
        <w:rPr>
          <w:rFonts w:ascii="Times New Roman" w:eastAsia="Times New Roman" w:hAnsi="Times New Roman"/>
          <w:sz w:val="24"/>
          <w:szCs w:val="24"/>
          <w:lang w:val="sq-AL"/>
        </w:rPr>
        <w:t xml:space="preserve"> 2020, (pikën 4 të urdhrit nr.351/2020 për ndalimin e grumbullimeve masive), që do të thotë se periodikisht (</w:t>
      </w:r>
      <w:r>
        <w:rPr>
          <w:rFonts w:ascii="Times New Roman" w:eastAsia="Times New Roman" w:hAnsi="Times New Roman"/>
          <w:sz w:val="24"/>
          <w:szCs w:val="24"/>
          <w:lang w:val="sq-AL"/>
        </w:rPr>
        <w:t>q</w:t>
      </w:r>
      <w:r w:rsidRPr="0015324E">
        <w:rPr>
          <w:rFonts w:ascii="Times New Roman" w:eastAsia="Times New Roman" w:hAnsi="Times New Roman"/>
          <w:sz w:val="24"/>
          <w:szCs w:val="24"/>
          <w:lang w:val="sq-AL"/>
        </w:rPr>
        <w:t>ershor 2020-</w:t>
      </w:r>
      <w:r>
        <w:rPr>
          <w:rFonts w:ascii="Times New Roman" w:eastAsia="Times New Roman" w:hAnsi="Times New Roman"/>
          <w:sz w:val="24"/>
          <w:szCs w:val="24"/>
          <w:lang w:val="sq-AL"/>
        </w:rPr>
        <w:t>n</w:t>
      </w:r>
      <w:r w:rsidRPr="0015324E">
        <w:rPr>
          <w:rFonts w:ascii="Times New Roman" w:eastAsia="Times New Roman" w:hAnsi="Times New Roman"/>
          <w:sz w:val="24"/>
          <w:szCs w:val="24"/>
          <w:lang w:val="sq-AL"/>
        </w:rPr>
        <w:t xml:space="preserve">ëntor 2020), </w:t>
      </w:r>
      <w:r>
        <w:rPr>
          <w:rFonts w:ascii="Times New Roman" w:eastAsia="Times New Roman" w:hAnsi="Times New Roman"/>
          <w:sz w:val="24"/>
          <w:szCs w:val="24"/>
          <w:lang w:val="sq-AL"/>
        </w:rPr>
        <w:t>m</w:t>
      </w:r>
      <w:r w:rsidRPr="0015324E">
        <w:rPr>
          <w:rFonts w:ascii="Times New Roman" w:eastAsia="Times New Roman" w:hAnsi="Times New Roman"/>
          <w:sz w:val="24"/>
          <w:szCs w:val="24"/>
          <w:lang w:val="sq-AL"/>
        </w:rPr>
        <w:t>inistri i Shëndetësisë, bazuar në vlerësim</w:t>
      </w:r>
      <w:r>
        <w:rPr>
          <w:rFonts w:ascii="Times New Roman" w:eastAsia="Times New Roman" w:hAnsi="Times New Roman"/>
          <w:sz w:val="24"/>
          <w:szCs w:val="24"/>
          <w:lang w:val="sq-AL"/>
        </w:rPr>
        <w:t>et</w:t>
      </w:r>
      <w:r w:rsidRPr="0015324E">
        <w:rPr>
          <w:rFonts w:ascii="Times New Roman" w:eastAsia="Times New Roman" w:hAnsi="Times New Roman"/>
          <w:sz w:val="24"/>
          <w:szCs w:val="24"/>
          <w:lang w:val="sq-AL"/>
        </w:rPr>
        <w:t xml:space="preserve"> dhe këshillimet e  Komitetit ka rishikuar masat e marra në drejtim të grumbullimeve/tubimeve, nëse duhet t’i ndryshojë apo nëse duhet të vazhdojë t’i lërë në fuqi, sikundër </w:t>
      </w:r>
      <w:r>
        <w:rPr>
          <w:rFonts w:ascii="Times New Roman" w:eastAsia="Times New Roman" w:hAnsi="Times New Roman"/>
          <w:sz w:val="24"/>
          <w:szCs w:val="24"/>
          <w:lang w:val="sq-AL"/>
        </w:rPr>
        <w:t>e</w:t>
      </w:r>
      <w:r w:rsidRPr="0015324E">
        <w:rPr>
          <w:rFonts w:ascii="Times New Roman" w:eastAsia="Times New Roman" w:hAnsi="Times New Roman"/>
          <w:sz w:val="24"/>
          <w:szCs w:val="24"/>
          <w:lang w:val="sq-AL"/>
        </w:rPr>
        <w:t>dhe ka ndodhur në rastin konkret. Rivlerësimi dhe rishikimi janë koncepte të ndryshme nga shfuqizimi, ndaj dhe vlerësojmë se masat dhe kufizimet në substancë janë rivlerësuar dhe rishikuar, në tërësinë e këtij procesi administrativ dhe</w:t>
      </w:r>
      <w:r>
        <w:rPr>
          <w:rFonts w:ascii="Times New Roman" w:eastAsia="Times New Roman" w:hAnsi="Times New Roman"/>
          <w:sz w:val="24"/>
          <w:szCs w:val="24"/>
          <w:lang w:val="sq-AL"/>
        </w:rPr>
        <w:t>,</w:t>
      </w:r>
      <w:r w:rsidRPr="0015324E">
        <w:rPr>
          <w:rFonts w:ascii="Times New Roman" w:eastAsia="Times New Roman" w:hAnsi="Times New Roman"/>
          <w:sz w:val="24"/>
          <w:szCs w:val="24"/>
          <w:lang w:val="sq-AL"/>
        </w:rPr>
        <w:t xml:space="preserve"> në këtë kontekst, nuk mundet që urdhri të lexohet i shkëputur dhe vetëm në kuptimin gramatikor të mospasjes afat konkret sikundër ka bërë shumica.   </w:t>
      </w:r>
    </w:p>
    <w:p w:rsidR="00CB7B24" w:rsidRPr="0015324E" w:rsidRDefault="00CB7B24" w:rsidP="00CB7B24">
      <w:pPr>
        <w:spacing w:after="0" w:line="360" w:lineRule="auto"/>
        <w:ind w:firstLine="720"/>
        <w:jc w:val="both"/>
        <w:rPr>
          <w:rFonts w:ascii="Times New Roman" w:eastAsia="Times New Roman" w:hAnsi="Times New Roman"/>
          <w:sz w:val="24"/>
          <w:szCs w:val="24"/>
          <w:lang w:val="sq-AL"/>
        </w:rPr>
      </w:pPr>
      <w:r w:rsidRPr="0015324E">
        <w:rPr>
          <w:rFonts w:ascii="Times New Roman" w:eastAsia="Times New Roman" w:hAnsi="Times New Roman"/>
          <w:sz w:val="24"/>
          <w:szCs w:val="24"/>
          <w:lang w:val="sq-AL"/>
        </w:rPr>
        <w:t>4</w:t>
      </w:r>
      <w:r>
        <w:rPr>
          <w:rFonts w:ascii="Times New Roman" w:eastAsia="Times New Roman" w:hAnsi="Times New Roman"/>
          <w:sz w:val="24"/>
          <w:szCs w:val="24"/>
          <w:lang w:val="sq-AL"/>
        </w:rPr>
        <w:t>3</w:t>
      </w:r>
      <w:r w:rsidRPr="0015324E">
        <w:rPr>
          <w:rFonts w:ascii="Times New Roman" w:eastAsia="Times New Roman" w:hAnsi="Times New Roman"/>
          <w:sz w:val="24"/>
          <w:szCs w:val="24"/>
          <w:lang w:val="sq-AL"/>
        </w:rPr>
        <w:t xml:space="preserve">. Në kuptimin kushtetues të përshtatshmërisë së masës së përzgjedhur të kufizimit, periodiciteti i sipërpërmendur nga veprimtaria e të dyja organeve këshillimore dhe vendimmarrëse, në tërësi të procesit, e plotëson standardin kushtetues të mjetit të përzgjedhur që sjell efektin e duhur në drejtim të përkohshmërisë dhe arsyeshmërisë, pasi </w:t>
      </w:r>
      <w:r>
        <w:rPr>
          <w:rFonts w:ascii="Times New Roman" w:eastAsia="Times New Roman" w:hAnsi="Times New Roman"/>
          <w:sz w:val="24"/>
          <w:szCs w:val="24"/>
          <w:lang w:val="sq-AL"/>
        </w:rPr>
        <w:t>m</w:t>
      </w:r>
      <w:r w:rsidRPr="0015324E">
        <w:rPr>
          <w:rFonts w:ascii="Times New Roman" w:eastAsia="Times New Roman" w:hAnsi="Times New Roman"/>
          <w:sz w:val="24"/>
          <w:szCs w:val="24"/>
          <w:lang w:val="sq-AL"/>
        </w:rPr>
        <w:t>inistri i Shëndetësisë e ka marrë në konsideratë kohëzgjatjen e kufizimit dhe nuk e ka vlerësuar se duhet ndryshuar, deri para fillimit të fushatës zgjedhore.</w:t>
      </w:r>
    </w:p>
    <w:p w:rsidR="00CB7B24" w:rsidRDefault="00CB7B24" w:rsidP="00CB7B24">
      <w:pPr>
        <w:spacing w:after="0" w:line="360" w:lineRule="auto"/>
        <w:ind w:firstLine="720"/>
        <w:jc w:val="both"/>
        <w:rPr>
          <w:rFonts w:ascii="Times New Roman" w:hAnsi="Times New Roman"/>
          <w:iCs/>
          <w:sz w:val="24"/>
          <w:szCs w:val="24"/>
          <w:lang w:val="sq-AL"/>
        </w:rPr>
      </w:pPr>
      <w:r w:rsidRPr="0015324E">
        <w:rPr>
          <w:rFonts w:ascii="Times New Roman" w:eastAsia="Times New Roman" w:hAnsi="Times New Roman"/>
          <w:sz w:val="24"/>
          <w:szCs w:val="24"/>
          <w:lang w:val="sq-AL"/>
        </w:rPr>
        <w:t>4</w:t>
      </w:r>
      <w:r>
        <w:rPr>
          <w:rFonts w:ascii="Times New Roman" w:eastAsia="Times New Roman" w:hAnsi="Times New Roman"/>
          <w:sz w:val="24"/>
          <w:szCs w:val="24"/>
          <w:lang w:val="sq-AL"/>
        </w:rPr>
        <w:t>4</w:t>
      </w:r>
      <w:r w:rsidRPr="0015324E">
        <w:rPr>
          <w:rFonts w:ascii="Times New Roman" w:eastAsia="Times New Roman" w:hAnsi="Times New Roman"/>
          <w:sz w:val="24"/>
          <w:szCs w:val="24"/>
          <w:lang w:val="sq-AL"/>
        </w:rPr>
        <w:t xml:space="preserve">. Në këtë aspekt, pretendimi për mosperiodicitetin nuk qëndron, pasi para kësaj Gjykate është provuar kjo karakteristikë e këtij procesi me natyrë shkencore dhe shëndetësore. </w:t>
      </w:r>
      <w:r w:rsidRPr="0015324E">
        <w:rPr>
          <w:rFonts w:ascii="Times New Roman" w:hAnsi="Times New Roman"/>
          <w:sz w:val="24"/>
          <w:szCs w:val="24"/>
          <w:lang w:val="sq-AL"/>
        </w:rPr>
        <w:t xml:space="preserve">Për rrjedhojë, </w:t>
      </w:r>
      <w:r w:rsidRPr="0015324E">
        <w:rPr>
          <w:rFonts w:ascii="Times New Roman" w:hAnsi="Times New Roman"/>
          <w:iCs/>
          <w:sz w:val="24"/>
          <w:szCs w:val="24"/>
          <w:lang w:val="sq-AL"/>
        </w:rPr>
        <w:t xml:space="preserve">autoritetet shëndetësore janë brenda hapësirës së tyre të vlerësimit dhe kohëzgjatjes së arsyeshme të rishikimit të masave kufizuese, për sa kohë që në mënyrë periodike dhe të vazhdueshme, bazuar në të dhënat që kanë për situatën e pandemisë, kanë informuar publikun </w:t>
      </w:r>
      <w:r>
        <w:rPr>
          <w:rFonts w:ascii="Times New Roman" w:hAnsi="Times New Roman"/>
          <w:iCs/>
          <w:sz w:val="24"/>
          <w:szCs w:val="24"/>
          <w:lang w:val="sq-AL"/>
        </w:rPr>
        <w:t xml:space="preserve">si </w:t>
      </w:r>
      <w:r w:rsidRPr="0015324E">
        <w:rPr>
          <w:rFonts w:ascii="Times New Roman" w:hAnsi="Times New Roman"/>
          <w:iCs/>
          <w:sz w:val="24"/>
          <w:szCs w:val="24"/>
          <w:lang w:val="sq-AL"/>
        </w:rPr>
        <w:t xml:space="preserve">dhe kanë bërë rishikim të tyre </w:t>
      </w:r>
      <w:r w:rsidRPr="00380957">
        <w:rPr>
          <w:rFonts w:ascii="Times New Roman" w:hAnsi="Times New Roman"/>
          <w:iCs/>
          <w:sz w:val="24"/>
          <w:szCs w:val="24"/>
          <w:lang w:val="sq-AL"/>
        </w:rPr>
        <w:t>herë pas here</w:t>
      </w:r>
      <w:r w:rsidRPr="00380957">
        <w:rPr>
          <w:rStyle w:val="FootnoteReference"/>
          <w:iCs/>
          <w:sz w:val="24"/>
          <w:szCs w:val="24"/>
          <w:lang w:val="sq-AL"/>
        </w:rPr>
        <w:footnoteReference w:id="6"/>
      </w:r>
      <w:r w:rsidRPr="00380957">
        <w:rPr>
          <w:rFonts w:ascii="Times New Roman" w:hAnsi="Times New Roman"/>
          <w:iCs/>
          <w:sz w:val="24"/>
          <w:szCs w:val="24"/>
          <w:lang w:val="sq-AL"/>
        </w:rPr>
        <w:t>.</w:t>
      </w:r>
      <w:r w:rsidRPr="0015324E">
        <w:rPr>
          <w:rFonts w:ascii="Times New Roman" w:hAnsi="Times New Roman"/>
          <w:iCs/>
          <w:sz w:val="24"/>
          <w:szCs w:val="24"/>
          <w:lang w:val="sq-AL"/>
        </w:rPr>
        <w:t xml:space="preserve"> </w:t>
      </w:r>
    </w:p>
    <w:p w:rsidR="00F61E3A" w:rsidRDefault="00F61E3A" w:rsidP="00CB7B24">
      <w:pPr>
        <w:spacing w:after="0" w:line="360" w:lineRule="auto"/>
        <w:ind w:firstLine="720"/>
        <w:jc w:val="both"/>
        <w:rPr>
          <w:rFonts w:ascii="Times New Roman" w:hAnsi="Times New Roman"/>
          <w:iCs/>
          <w:sz w:val="24"/>
          <w:szCs w:val="24"/>
          <w:lang w:val="sq-AL"/>
        </w:rPr>
      </w:pPr>
    </w:p>
    <w:p w:rsidR="00F61E3A" w:rsidRDefault="00F61E3A" w:rsidP="00CB7B24">
      <w:pPr>
        <w:spacing w:after="0" w:line="360" w:lineRule="auto"/>
        <w:ind w:firstLine="720"/>
        <w:jc w:val="both"/>
        <w:rPr>
          <w:rFonts w:ascii="Times New Roman" w:hAnsi="Times New Roman"/>
          <w:iCs/>
          <w:sz w:val="24"/>
          <w:szCs w:val="24"/>
          <w:lang w:val="sq-AL"/>
        </w:rPr>
      </w:pPr>
    </w:p>
    <w:p w:rsidR="00F61E3A" w:rsidRPr="0015324E" w:rsidRDefault="00F61E3A" w:rsidP="00CB7B24">
      <w:pPr>
        <w:spacing w:after="0" w:line="360" w:lineRule="auto"/>
        <w:ind w:firstLine="720"/>
        <w:jc w:val="both"/>
        <w:rPr>
          <w:rFonts w:ascii="Times New Roman" w:hAnsi="Times New Roman"/>
          <w:iCs/>
          <w:sz w:val="24"/>
          <w:szCs w:val="24"/>
          <w:lang w:val="sq-AL"/>
        </w:rPr>
      </w:pPr>
    </w:p>
    <w:p w:rsidR="00CB7B24" w:rsidRPr="0015324E" w:rsidRDefault="00CB7B24" w:rsidP="00CB7B24">
      <w:pPr>
        <w:spacing w:after="0" w:line="360" w:lineRule="auto"/>
        <w:ind w:firstLine="720"/>
        <w:jc w:val="both"/>
        <w:rPr>
          <w:rFonts w:ascii="Times New Roman" w:hAnsi="Times New Roman"/>
          <w:sz w:val="24"/>
          <w:szCs w:val="24"/>
          <w:lang w:val="sq-AL"/>
        </w:rPr>
      </w:pPr>
      <w:r w:rsidRPr="00950EE4">
        <w:rPr>
          <w:rFonts w:ascii="Times New Roman" w:hAnsi="Times New Roman"/>
          <w:iCs/>
          <w:sz w:val="24"/>
          <w:szCs w:val="24"/>
          <w:lang w:val="sq-AL"/>
        </w:rPr>
        <w:t xml:space="preserve">45. Për më tepër, kohëzgjatja e arsyeshme e proceseve, si standard kushtetues dhe detyrim i organeve publike për zbatim, ka lidhje edhe me </w:t>
      </w:r>
      <w:r w:rsidRPr="00950EE4">
        <w:rPr>
          <w:rFonts w:ascii="Times New Roman" w:hAnsi="Times New Roman"/>
          <w:bCs/>
          <w:sz w:val="24"/>
          <w:szCs w:val="24"/>
          <w:lang w:val="sq-AL"/>
        </w:rPr>
        <w:t xml:space="preserve">kompleksitetin e çështjes, ndaj  duke u ndalur vetëm në këtë element, vlerësojmë se </w:t>
      </w:r>
      <w:r>
        <w:rPr>
          <w:rFonts w:ascii="Times New Roman" w:hAnsi="Times New Roman"/>
          <w:bCs/>
          <w:sz w:val="24"/>
          <w:szCs w:val="24"/>
          <w:lang w:val="sq-AL"/>
        </w:rPr>
        <w:t xml:space="preserve"> ky </w:t>
      </w:r>
      <w:r w:rsidRPr="00950EE4">
        <w:rPr>
          <w:rFonts w:ascii="Times New Roman" w:hAnsi="Times New Roman"/>
          <w:sz w:val="24"/>
          <w:szCs w:val="24"/>
          <w:lang w:val="sq-AL"/>
        </w:rPr>
        <w:t>kompleksitet</w:t>
      </w:r>
      <w:r>
        <w:rPr>
          <w:rFonts w:ascii="Times New Roman" w:hAnsi="Times New Roman"/>
          <w:sz w:val="24"/>
          <w:szCs w:val="24"/>
          <w:lang w:val="sq-AL"/>
        </w:rPr>
        <w:t xml:space="preserve">  në rastin konkret </w:t>
      </w:r>
      <w:r w:rsidRPr="00950EE4">
        <w:rPr>
          <w:rFonts w:ascii="Times New Roman" w:hAnsi="Times New Roman"/>
          <w:sz w:val="24"/>
          <w:szCs w:val="24"/>
          <w:lang w:val="sq-AL"/>
        </w:rPr>
        <w:t xml:space="preserve">është i tillë që </w:t>
      </w:r>
      <w:r>
        <w:rPr>
          <w:rFonts w:ascii="Times New Roman" w:hAnsi="Times New Roman"/>
          <w:sz w:val="24"/>
          <w:szCs w:val="24"/>
          <w:lang w:val="sq-AL"/>
        </w:rPr>
        <w:t xml:space="preserve"> justifikon </w:t>
      </w:r>
      <w:r w:rsidRPr="00950EE4">
        <w:rPr>
          <w:rFonts w:ascii="Times New Roman" w:hAnsi="Times New Roman"/>
          <w:sz w:val="24"/>
          <w:szCs w:val="24"/>
          <w:lang w:val="sq-AL"/>
        </w:rPr>
        <w:t>kohëzgjatje</w:t>
      </w:r>
      <w:r>
        <w:rPr>
          <w:rFonts w:ascii="Times New Roman" w:hAnsi="Times New Roman"/>
          <w:sz w:val="24"/>
          <w:szCs w:val="24"/>
          <w:lang w:val="sq-AL"/>
        </w:rPr>
        <w:t>n e proceseve</w:t>
      </w:r>
      <w:r w:rsidRPr="00950EE4">
        <w:rPr>
          <w:rFonts w:ascii="Times New Roman" w:hAnsi="Times New Roman"/>
          <w:sz w:val="24"/>
          <w:szCs w:val="24"/>
          <w:lang w:val="sq-AL"/>
        </w:rPr>
        <w:t xml:space="preserve"> për veprimtarinë administrative të ministrit të Shëndetësisë. Për sa kohë që nuk mund të konsiderohet e paarsyeshme, edhe për këtë arsye, nuk mund të arrihet në konkluzionin se, kur këto kufizime zgjasin pa afat, ato shndërrohen në ndalim tërësor të së drejtës.</w:t>
      </w:r>
    </w:p>
    <w:p w:rsidR="00CB7B24" w:rsidRPr="0015324E" w:rsidRDefault="00CB7B24" w:rsidP="00CB7B24">
      <w:pPr>
        <w:tabs>
          <w:tab w:val="left" w:pos="720"/>
          <w:tab w:val="left" w:pos="810"/>
        </w:tabs>
        <w:spacing w:after="0" w:line="360" w:lineRule="auto"/>
        <w:jc w:val="both"/>
        <w:rPr>
          <w:rFonts w:ascii="Times New Roman" w:eastAsia="Times New Roman" w:hAnsi="Times New Roman"/>
          <w:sz w:val="24"/>
          <w:szCs w:val="24"/>
          <w:lang w:val="sq-AL"/>
        </w:rPr>
      </w:pPr>
      <w:r w:rsidRPr="0015324E">
        <w:rPr>
          <w:rFonts w:ascii="Times New Roman" w:eastAsia="Times New Roman" w:hAnsi="Times New Roman"/>
          <w:sz w:val="24"/>
          <w:szCs w:val="24"/>
          <w:lang w:val="sq-AL"/>
        </w:rPr>
        <w:tab/>
        <w:t>4</w:t>
      </w:r>
      <w:r>
        <w:rPr>
          <w:rFonts w:ascii="Times New Roman" w:eastAsia="Times New Roman" w:hAnsi="Times New Roman"/>
          <w:sz w:val="24"/>
          <w:szCs w:val="24"/>
          <w:lang w:val="sq-AL"/>
        </w:rPr>
        <w:t>6</w:t>
      </w:r>
      <w:r w:rsidRPr="0015324E">
        <w:rPr>
          <w:rFonts w:ascii="Times New Roman" w:eastAsia="Times New Roman" w:hAnsi="Times New Roman"/>
          <w:sz w:val="24"/>
          <w:szCs w:val="24"/>
          <w:lang w:val="sq-AL"/>
        </w:rPr>
        <w:t xml:space="preserve">. Në përfundim, vlerësojmë se urdhri objekt gjykimi është rivlerësuar dhe rishqyrtuar brenda afateve të arsyeshme, duke u vendosur mosndryshimi i tij nga </w:t>
      </w:r>
      <w:r>
        <w:rPr>
          <w:rFonts w:ascii="Times New Roman" w:eastAsia="Times New Roman" w:hAnsi="Times New Roman"/>
          <w:sz w:val="24"/>
          <w:szCs w:val="24"/>
          <w:lang w:val="sq-AL"/>
        </w:rPr>
        <w:t>m</w:t>
      </w:r>
      <w:r w:rsidRPr="0015324E">
        <w:rPr>
          <w:rFonts w:ascii="Times New Roman" w:eastAsia="Times New Roman" w:hAnsi="Times New Roman"/>
          <w:sz w:val="24"/>
          <w:szCs w:val="24"/>
          <w:lang w:val="sq-AL"/>
        </w:rPr>
        <w:t>inistri i Shëndetësisë, përpara fillimit të fushatës zgjedhore, dhe</w:t>
      </w:r>
      <w:r>
        <w:rPr>
          <w:rFonts w:ascii="Times New Roman" w:eastAsia="Times New Roman" w:hAnsi="Times New Roman"/>
          <w:sz w:val="24"/>
          <w:szCs w:val="24"/>
          <w:lang w:val="sq-AL"/>
        </w:rPr>
        <w:t>,</w:t>
      </w:r>
      <w:r w:rsidRPr="0015324E">
        <w:rPr>
          <w:rFonts w:ascii="Times New Roman" w:eastAsia="Times New Roman" w:hAnsi="Times New Roman"/>
          <w:sz w:val="24"/>
          <w:szCs w:val="24"/>
          <w:lang w:val="sq-AL"/>
        </w:rPr>
        <w:t xml:space="preserve"> si i tillë</w:t>
      </w:r>
      <w:r>
        <w:rPr>
          <w:rFonts w:ascii="Times New Roman" w:eastAsia="Times New Roman" w:hAnsi="Times New Roman"/>
          <w:sz w:val="24"/>
          <w:szCs w:val="24"/>
          <w:lang w:val="sq-AL"/>
        </w:rPr>
        <w:t>,</w:t>
      </w:r>
      <w:r w:rsidRPr="0015324E">
        <w:rPr>
          <w:rFonts w:ascii="Times New Roman" w:eastAsia="Times New Roman" w:hAnsi="Times New Roman"/>
          <w:sz w:val="24"/>
          <w:szCs w:val="24"/>
          <w:lang w:val="sq-AL"/>
        </w:rPr>
        <w:t xml:space="preserve"> nuk cenon kriteret e proporcionalitetit, sipas nenit 17 të Kushtetutës dhe jurisprudencës së konsoliduar të kësaj Gjykate.</w:t>
      </w:r>
    </w:p>
    <w:p w:rsidR="0077604B" w:rsidRDefault="0077604B" w:rsidP="00CB7B24">
      <w:pPr>
        <w:spacing w:after="0" w:line="360" w:lineRule="auto"/>
        <w:ind w:firstLine="720"/>
        <w:jc w:val="both"/>
        <w:rPr>
          <w:rFonts w:ascii="Times New Roman" w:eastAsia="Times New Roman" w:hAnsi="Times New Roman"/>
          <w:sz w:val="24"/>
          <w:szCs w:val="24"/>
          <w:lang w:val="sq-AL"/>
        </w:rPr>
      </w:pPr>
    </w:p>
    <w:p w:rsidR="00CB7B24" w:rsidRPr="0015324E" w:rsidRDefault="00CB7B24" w:rsidP="00CB7B24">
      <w:pPr>
        <w:spacing w:after="0" w:line="360" w:lineRule="auto"/>
        <w:ind w:firstLine="720"/>
        <w:jc w:val="both"/>
        <w:rPr>
          <w:rFonts w:ascii="Times New Roman" w:eastAsia="Times New Roman" w:hAnsi="Times New Roman"/>
          <w:i/>
          <w:sz w:val="24"/>
          <w:szCs w:val="24"/>
          <w:lang w:val="sq-AL"/>
        </w:rPr>
      </w:pPr>
      <w:r w:rsidRPr="0015324E">
        <w:rPr>
          <w:rFonts w:ascii="Times New Roman" w:eastAsia="Times New Roman" w:hAnsi="Times New Roman"/>
          <w:sz w:val="24"/>
          <w:szCs w:val="24"/>
          <w:lang w:val="sq-AL"/>
        </w:rPr>
        <w:t xml:space="preserve">C. </w:t>
      </w:r>
      <w:r>
        <w:rPr>
          <w:rFonts w:ascii="Times New Roman" w:eastAsia="Times New Roman" w:hAnsi="Times New Roman"/>
          <w:i/>
          <w:sz w:val="24"/>
          <w:szCs w:val="24"/>
          <w:lang w:val="sq-AL"/>
        </w:rPr>
        <w:t xml:space="preserve">Për </w:t>
      </w:r>
      <w:r w:rsidRPr="0015324E">
        <w:rPr>
          <w:rFonts w:ascii="Times New Roman" w:eastAsia="Times New Roman" w:hAnsi="Times New Roman"/>
          <w:i/>
          <w:sz w:val="24"/>
          <w:szCs w:val="24"/>
          <w:lang w:val="sq-AL"/>
        </w:rPr>
        <w:t xml:space="preserve"> dispozitivin e vendimit</w:t>
      </w:r>
    </w:p>
    <w:p w:rsidR="00CB7B24" w:rsidRPr="00040165" w:rsidRDefault="00CB7B24" w:rsidP="00CB7B24">
      <w:pPr>
        <w:pStyle w:val="NormalWeb"/>
        <w:spacing w:before="0" w:beforeAutospacing="0" w:after="0" w:afterAutospacing="0" w:line="360" w:lineRule="auto"/>
        <w:ind w:firstLine="720"/>
        <w:jc w:val="both"/>
        <w:rPr>
          <w:i/>
          <w:lang w:val="sq-AL"/>
        </w:rPr>
      </w:pPr>
      <w:r w:rsidRPr="0015324E">
        <w:rPr>
          <w:lang w:val="sq-AL"/>
        </w:rPr>
        <w:t>4</w:t>
      </w:r>
      <w:r>
        <w:rPr>
          <w:lang w:val="sq-AL"/>
        </w:rPr>
        <w:t>7</w:t>
      </w:r>
      <w:r w:rsidRPr="0015324E">
        <w:rPr>
          <w:lang w:val="sq-AL"/>
        </w:rPr>
        <w:t xml:space="preserve">. </w:t>
      </w:r>
      <w:r>
        <w:rPr>
          <w:lang w:val="sq-AL"/>
        </w:rPr>
        <w:t>N</w:t>
      </w:r>
      <w:r w:rsidRPr="0015324E">
        <w:rPr>
          <w:lang w:val="sq-AL"/>
        </w:rPr>
        <w:t>ë dispozitiv</w:t>
      </w:r>
      <w:r>
        <w:rPr>
          <w:lang w:val="sq-AL"/>
        </w:rPr>
        <w:t xml:space="preserve">in e vendimit është </w:t>
      </w:r>
      <w:r w:rsidRPr="0015324E">
        <w:rPr>
          <w:lang w:val="sq-AL"/>
        </w:rPr>
        <w:t>urdhëruar</w:t>
      </w:r>
      <w:r>
        <w:rPr>
          <w:lang w:val="sq-AL"/>
        </w:rPr>
        <w:t>: “Detyrimi i</w:t>
      </w:r>
      <w:r w:rsidRPr="0015324E">
        <w:rPr>
          <w:lang w:val="sq-AL"/>
        </w:rPr>
        <w:t xml:space="preserve"> organit kompetent të rishikojë kohëzgjatjen e kufizimeve brenda një jave nga shpallja e këtij vendimi” (</w:t>
      </w:r>
      <w:r w:rsidRPr="00040165">
        <w:rPr>
          <w:i/>
          <w:lang w:val="sq-AL"/>
        </w:rPr>
        <w:t>pjesa e tretë e dispozitivit).</w:t>
      </w:r>
    </w:p>
    <w:p w:rsidR="00CB7B24" w:rsidRPr="0015324E" w:rsidRDefault="00CB7B24" w:rsidP="00CB7B24">
      <w:pPr>
        <w:spacing w:after="0" w:line="360" w:lineRule="auto"/>
        <w:ind w:firstLine="720"/>
        <w:jc w:val="both"/>
        <w:rPr>
          <w:rFonts w:ascii="Times New Roman" w:hAnsi="Times New Roman"/>
          <w:sz w:val="24"/>
          <w:szCs w:val="24"/>
          <w:lang w:val="sq-AL"/>
        </w:rPr>
      </w:pPr>
      <w:r w:rsidRPr="0015324E">
        <w:rPr>
          <w:rFonts w:ascii="Times New Roman" w:eastAsia="Times New Roman" w:hAnsi="Times New Roman"/>
          <w:sz w:val="24"/>
          <w:szCs w:val="24"/>
          <w:lang w:val="sq-AL"/>
        </w:rPr>
        <w:t>4</w:t>
      </w:r>
      <w:r>
        <w:rPr>
          <w:rFonts w:ascii="Times New Roman" w:eastAsia="Times New Roman" w:hAnsi="Times New Roman"/>
          <w:sz w:val="24"/>
          <w:szCs w:val="24"/>
          <w:lang w:val="sq-AL"/>
        </w:rPr>
        <w:t>8</w:t>
      </w:r>
      <w:r w:rsidRPr="0015324E">
        <w:rPr>
          <w:rFonts w:ascii="Times New Roman" w:eastAsia="Times New Roman" w:hAnsi="Times New Roman"/>
          <w:sz w:val="24"/>
          <w:szCs w:val="24"/>
          <w:lang w:val="sq-AL"/>
        </w:rPr>
        <w:t>. Duke përdorur shprehjen “</w:t>
      </w:r>
      <w:r w:rsidRPr="0015324E">
        <w:rPr>
          <w:rFonts w:ascii="Times New Roman" w:eastAsia="Times New Roman" w:hAnsi="Times New Roman"/>
          <w:i/>
          <w:sz w:val="24"/>
          <w:szCs w:val="24"/>
          <w:lang w:val="sq-AL"/>
        </w:rPr>
        <w:t>organ kompetent”</w:t>
      </w:r>
      <w:r w:rsidRPr="0015324E">
        <w:rPr>
          <w:rFonts w:ascii="Times New Roman" w:eastAsia="Times New Roman" w:hAnsi="Times New Roman"/>
          <w:sz w:val="24"/>
          <w:szCs w:val="24"/>
          <w:lang w:val="sq-AL"/>
        </w:rPr>
        <w:t xml:space="preserve"> vendimi mund të l</w:t>
      </w:r>
      <w:r>
        <w:rPr>
          <w:rFonts w:ascii="Times New Roman" w:eastAsia="Times New Roman" w:hAnsi="Times New Roman"/>
          <w:sz w:val="24"/>
          <w:szCs w:val="24"/>
          <w:lang w:val="sq-AL"/>
        </w:rPr>
        <w:t>ë</w:t>
      </w:r>
      <w:r w:rsidRPr="0015324E">
        <w:rPr>
          <w:rFonts w:ascii="Times New Roman" w:eastAsia="Times New Roman" w:hAnsi="Times New Roman"/>
          <w:sz w:val="24"/>
          <w:szCs w:val="24"/>
          <w:lang w:val="sq-AL"/>
        </w:rPr>
        <w:t>rë vend për interpretim</w:t>
      </w:r>
      <w:r>
        <w:rPr>
          <w:rFonts w:ascii="Times New Roman" w:eastAsia="Times New Roman" w:hAnsi="Times New Roman"/>
          <w:sz w:val="24"/>
          <w:szCs w:val="24"/>
          <w:lang w:val="sq-AL"/>
        </w:rPr>
        <w:t>,</w:t>
      </w:r>
      <w:r w:rsidRPr="0015324E">
        <w:rPr>
          <w:rFonts w:ascii="Times New Roman" w:eastAsia="Times New Roman" w:hAnsi="Times New Roman"/>
          <w:sz w:val="24"/>
          <w:szCs w:val="24"/>
          <w:lang w:val="sq-AL"/>
        </w:rPr>
        <w:t xml:space="preserve"> se kjo detyrë për rishikim të kohëzgjatjes së kufizimeve i ngarkohet Komitetit të Përkohshëm Teknik, për sa kohë që kjo </w:t>
      </w:r>
      <w:r>
        <w:rPr>
          <w:rFonts w:ascii="Times New Roman" w:eastAsia="Times New Roman" w:hAnsi="Times New Roman"/>
          <w:sz w:val="24"/>
          <w:szCs w:val="24"/>
          <w:lang w:val="sq-AL"/>
        </w:rPr>
        <w:t xml:space="preserve">pjesë </w:t>
      </w:r>
      <w:r w:rsidRPr="0015324E">
        <w:rPr>
          <w:rFonts w:ascii="Times New Roman" w:eastAsia="Times New Roman" w:hAnsi="Times New Roman"/>
          <w:sz w:val="24"/>
          <w:szCs w:val="24"/>
          <w:lang w:val="sq-AL"/>
        </w:rPr>
        <w:t xml:space="preserve">nuk është në harmoni </w:t>
      </w:r>
      <w:r w:rsidRPr="0015324E">
        <w:rPr>
          <w:rFonts w:ascii="Times New Roman" w:hAnsi="Times New Roman"/>
          <w:sz w:val="24"/>
          <w:szCs w:val="24"/>
          <w:lang w:val="sq-AL"/>
        </w:rPr>
        <w:t xml:space="preserve">me </w:t>
      </w:r>
      <w:r>
        <w:rPr>
          <w:rFonts w:ascii="Times New Roman" w:hAnsi="Times New Roman"/>
          <w:sz w:val="24"/>
          <w:szCs w:val="24"/>
          <w:lang w:val="sq-AL"/>
        </w:rPr>
        <w:t xml:space="preserve">pjesën e dytë </w:t>
      </w:r>
      <w:r w:rsidRPr="0015324E">
        <w:rPr>
          <w:rFonts w:ascii="Times New Roman" w:hAnsi="Times New Roman"/>
          <w:sz w:val="24"/>
          <w:szCs w:val="24"/>
          <w:lang w:val="sq-AL"/>
        </w:rPr>
        <w:t xml:space="preserve">të dispozitivit, ku shumica është shprehur për shfuqizimin e pjesshëm të urdhrit të </w:t>
      </w:r>
      <w:r>
        <w:rPr>
          <w:rFonts w:ascii="Times New Roman" w:hAnsi="Times New Roman"/>
          <w:sz w:val="24"/>
          <w:szCs w:val="24"/>
          <w:lang w:val="sq-AL"/>
        </w:rPr>
        <w:t>m</w:t>
      </w:r>
      <w:r w:rsidRPr="0015324E">
        <w:rPr>
          <w:rFonts w:ascii="Times New Roman" w:hAnsi="Times New Roman"/>
          <w:sz w:val="24"/>
          <w:szCs w:val="24"/>
          <w:lang w:val="sq-AL"/>
        </w:rPr>
        <w:t xml:space="preserve">inistrit të </w:t>
      </w:r>
      <w:r w:rsidRPr="0015324E">
        <w:rPr>
          <w:rFonts w:ascii="Times New Roman" w:hAnsi="Times New Roman"/>
          <w:bCs/>
          <w:sz w:val="24"/>
          <w:szCs w:val="24"/>
          <w:lang w:val="sq-AL"/>
        </w:rPr>
        <w:t>Shë</w:t>
      </w:r>
      <w:r>
        <w:rPr>
          <w:rFonts w:ascii="Times New Roman" w:hAnsi="Times New Roman"/>
          <w:bCs/>
          <w:sz w:val="24"/>
          <w:szCs w:val="24"/>
          <w:lang w:val="sq-AL"/>
        </w:rPr>
        <w:t>ndetësisë dhe Mbrojtjes Sociale</w:t>
      </w:r>
      <w:r w:rsidRPr="0015324E">
        <w:rPr>
          <w:rFonts w:ascii="Times New Roman" w:hAnsi="Times New Roman"/>
          <w:sz w:val="24"/>
          <w:szCs w:val="24"/>
          <w:lang w:val="sq-AL"/>
        </w:rPr>
        <w:t xml:space="preserve">. Po ashtu, kjo mundësi interpretimi përforcohet  nga gjuha e përdorur edhe në arsyetim, ku përsëri në </w:t>
      </w:r>
      <w:r>
        <w:rPr>
          <w:rFonts w:ascii="Times New Roman" w:hAnsi="Times New Roman"/>
          <w:sz w:val="24"/>
          <w:szCs w:val="24"/>
          <w:lang w:val="sq-AL"/>
        </w:rPr>
        <w:t xml:space="preserve">mënyrë të vazhdueshme përdoret </w:t>
      </w:r>
      <w:r w:rsidRPr="0015324E">
        <w:rPr>
          <w:rFonts w:ascii="Times New Roman" w:hAnsi="Times New Roman"/>
          <w:sz w:val="24"/>
          <w:szCs w:val="24"/>
          <w:lang w:val="sq-AL"/>
        </w:rPr>
        <w:t>termi “</w:t>
      </w:r>
      <w:r w:rsidRPr="0015324E">
        <w:rPr>
          <w:rFonts w:ascii="Times New Roman" w:hAnsi="Times New Roman"/>
          <w:i/>
          <w:sz w:val="24"/>
          <w:szCs w:val="24"/>
          <w:lang w:val="sq-AL"/>
        </w:rPr>
        <w:t>organ kompetent</w:t>
      </w:r>
      <w:r w:rsidRPr="0015324E">
        <w:rPr>
          <w:rFonts w:ascii="Times New Roman" w:hAnsi="Times New Roman"/>
          <w:sz w:val="24"/>
          <w:szCs w:val="24"/>
          <w:lang w:val="sq-AL"/>
        </w:rPr>
        <w:t>” (</w:t>
      </w:r>
      <w:r w:rsidRPr="0015324E">
        <w:rPr>
          <w:rFonts w:ascii="Times New Roman" w:hAnsi="Times New Roman"/>
          <w:i/>
          <w:sz w:val="24"/>
          <w:szCs w:val="24"/>
          <w:lang w:val="sq-AL"/>
        </w:rPr>
        <w:t>prg.</w:t>
      </w:r>
      <w:r>
        <w:rPr>
          <w:rFonts w:ascii="Times New Roman" w:hAnsi="Times New Roman"/>
          <w:i/>
          <w:sz w:val="24"/>
          <w:szCs w:val="24"/>
          <w:lang w:val="sq-AL"/>
        </w:rPr>
        <w:t>71</w:t>
      </w:r>
      <w:r w:rsidRPr="0015324E">
        <w:rPr>
          <w:rFonts w:ascii="Times New Roman" w:hAnsi="Times New Roman"/>
          <w:i/>
          <w:sz w:val="24"/>
          <w:szCs w:val="24"/>
          <w:lang w:val="sq-AL"/>
        </w:rPr>
        <w:t xml:space="preserve"> të vendimit</w:t>
      </w:r>
      <w:r w:rsidRPr="0015324E">
        <w:rPr>
          <w:rFonts w:ascii="Times New Roman" w:hAnsi="Times New Roman"/>
          <w:sz w:val="24"/>
          <w:szCs w:val="24"/>
          <w:lang w:val="sq-AL"/>
        </w:rPr>
        <w:t>).</w:t>
      </w:r>
    </w:p>
    <w:p w:rsidR="00CB7B24" w:rsidRPr="0015324E" w:rsidRDefault="00CB7B24" w:rsidP="00CB7B24">
      <w:pPr>
        <w:spacing w:after="0" w:line="360" w:lineRule="auto"/>
        <w:ind w:firstLine="720"/>
        <w:jc w:val="both"/>
        <w:rPr>
          <w:rFonts w:ascii="Times New Roman" w:eastAsia="Times New Roman" w:hAnsi="Times New Roman"/>
          <w:sz w:val="24"/>
          <w:szCs w:val="24"/>
          <w:lang w:val="sq-AL"/>
        </w:rPr>
      </w:pPr>
      <w:r w:rsidRPr="0015324E">
        <w:rPr>
          <w:rFonts w:ascii="Times New Roman" w:hAnsi="Times New Roman"/>
          <w:sz w:val="24"/>
          <w:szCs w:val="24"/>
          <w:lang w:val="sq-AL"/>
        </w:rPr>
        <w:t>4</w:t>
      </w:r>
      <w:r>
        <w:rPr>
          <w:rFonts w:ascii="Times New Roman" w:hAnsi="Times New Roman"/>
          <w:sz w:val="24"/>
          <w:szCs w:val="24"/>
          <w:lang w:val="sq-AL"/>
        </w:rPr>
        <w:t>9</w:t>
      </w:r>
      <w:r w:rsidRPr="0015324E">
        <w:rPr>
          <w:rFonts w:ascii="Times New Roman" w:hAnsi="Times New Roman"/>
          <w:sz w:val="24"/>
          <w:szCs w:val="24"/>
          <w:lang w:val="sq-AL"/>
        </w:rPr>
        <w:t xml:space="preserve">. Për sa </w:t>
      </w:r>
      <w:r w:rsidRPr="00040165">
        <w:rPr>
          <w:rFonts w:ascii="Times New Roman" w:hAnsi="Times New Roman"/>
          <w:sz w:val="24"/>
          <w:szCs w:val="24"/>
          <w:lang w:val="sq-AL"/>
        </w:rPr>
        <w:t xml:space="preserve">më lart, çmojmë të qartësojmë se </w:t>
      </w:r>
      <w:r w:rsidRPr="00040165">
        <w:rPr>
          <w:rFonts w:ascii="Times New Roman" w:eastAsia="Times New Roman" w:hAnsi="Times New Roman"/>
          <w:sz w:val="24"/>
          <w:szCs w:val="24"/>
          <w:lang w:val="sq-AL"/>
        </w:rPr>
        <w:t>detyrimi i</w:t>
      </w:r>
      <w:r w:rsidRPr="0015324E">
        <w:rPr>
          <w:rFonts w:ascii="Times New Roman" w:eastAsia="Times New Roman" w:hAnsi="Times New Roman"/>
          <w:sz w:val="24"/>
          <w:szCs w:val="24"/>
          <w:lang w:val="sq-AL"/>
        </w:rPr>
        <w:t xml:space="preserve"> “organit kompetent” për rishikim të kohëzgjatjes së kufizimeve, në përputhje me nenin 131/c të Kushtetutës,  i takon vetëm </w:t>
      </w:r>
      <w:r>
        <w:rPr>
          <w:rFonts w:ascii="Times New Roman" w:eastAsia="Times New Roman" w:hAnsi="Times New Roman"/>
          <w:sz w:val="24"/>
          <w:szCs w:val="24"/>
          <w:lang w:val="sq-AL"/>
        </w:rPr>
        <w:t>m</w:t>
      </w:r>
      <w:r w:rsidRPr="0015324E">
        <w:rPr>
          <w:rFonts w:ascii="Times New Roman" w:eastAsia="Times New Roman" w:hAnsi="Times New Roman"/>
          <w:sz w:val="24"/>
          <w:szCs w:val="24"/>
          <w:lang w:val="sq-AL"/>
        </w:rPr>
        <w:t xml:space="preserve">inistrit të Shëndetësisë, pasi objekt i kontrollit kushtetues është </w:t>
      </w:r>
      <w:r>
        <w:rPr>
          <w:rFonts w:ascii="Times New Roman" w:eastAsia="Times New Roman" w:hAnsi="Times New Roman"/>
          <w:sz w:val="24"/>
          <w:szCs w:val="24"/>
          <w:lang w:val="sq-AL"/>
        </w:rPr>
        <w:t>u</w:t>
      </w:r>
      <w:r w:rsidRPr="0015324E">
        <w:rPr>
          <w:rFonts w:ascii="Times New Roman" w:eastAsia="Times New Roman" w:hAnsi="Times New Roman"/>
          <w:sz w:val="24"/>
          <w:szCs w:val="24"/>
          <w:lang w:val="sq-AL"/>
        </w:rPr>
        <w:t>rdhri i</w:t>
      </w:r>
      <w:r>
        <w:rPr>
          <w:rFonts w:ascii="Times New Roman" w:eastAsia="Times New Roman" w:hAnsi="Times New Roman"/>
          <w:sz w:val="24"/>
          <w:szCs w:val="24"/>
          <w:lang w:val="sq-AL"/>
        </w:rPr>
        <w:t xml:space="preserve"> tij</w:t>
      </w:r>
      <w:r w:rsidRPr="0015324E">
        <w:rPr>
          <w:rFonts w:ascii="Times New Roman" w:eastAsia="Times New Roman" w:hAnsi="Times New Roman"/>
          <w:sz w:val="24"/>
          <w:szCs w:val="24"/>
          <w:lang w:val="sq-AL"/>
        </w:rPr>
        <w:t>, si akt normativ i nxjerrë nga një organ kushtetues gjatë procedurës administrative, brenda sferës së juridiksionit të tij. Gjykata nuk mund të vendosë detyrime për Komitetin e Përkohshëm Teknik, i cili vepron si organ këshillimor dhe vendimet e të cilit as nuk janë dhe as nuk mund të jenë objekt kundërshtimi në Gjykatë</w:t>
      </w:r>
      <w:r>
        <w:rPr>
          <w:rFonts w:ascii="Times New Roman" w:eastAsia="Times New Roman" w:hAnsi="Times New Roman"/>
          <w:sz w:val="24"/>
          <w:szCs w:val="24"/>
          <w:lang w:val="sq-AL"/>
        </w:rPr>
        <w:t>n</w:t>
      </w:r>
      <w:r w:rsidRPr="0015324E">
        <w:rPr>
          <w:rFonts w:ascii="Times New Roman" w:eastAsia="Times New Roman" w:hAnsi="Times New Roman"/>
          <w:sz w:val="24"/>
          <w:szCs w:val="24"/>
          <w:lang w:val="sq-AL"/>
        </w:rPr>
        <w:t xml:space="preserve"> Kushtetuese.  </w:t>
      </w:r>
    </w:p>
    <w:p w:rsidR="00CB7B24" w:rsidRDefault="00CB7B24" w:rsidP="00CB7B24">
      <w:pPr>
        <w:spacing w:after="0" w:line="360" w:lineRule="auto"/>
        <w:ind w:firstLine="720"/>
        <w:jc w:val="both"/>
        <w:rPr>
          <w:rFonts w:ascii="Times New Roman" w:hAnsi="Times New Roman"/>
          <w:sz w:val="24"/>
          <w:szCs w:val="24"/>
          <w:lang w:val="sq-AL"/>
        </w:rPr>
      </w:pPr>
      <w:r>
        <w:rPr>
          <w:rFonts w:ascii="Times New Roman" w:eastAsia="Times New Roman" w:hAnsi="Times New Roman"/>
          <w:sz w:val="24"/>
          <w:szCs w:val="24"/>
          <w:lang w:val="sq-AL"/>
        </w:rPr>
        <w:t>50.</w:t>
      </w:r>
      <w:r w:rsidRPr="0015324E">
        <w:rPr>
          <w:rFonts w:ascii="Times New Roman" w:eastAsia="Times New Roman" w:hAnsi="Times New Roman"/>
          <w:sz w:val="24"/>
          <w:szCs w:val="24"/>
          <w:lang w:val="sq-AL"/>
        </w:rPr>
        <w:t xml:space="preserve"> Për të gjitha sa më lart, si përfundim, vlerësojmë se kërkesa duhej rrëzuar, duke përdorur interpretimin pajtues të </w:t>
      </w:r>
      <w:r>
        <w:rPr>
          <w:rFonts w:ascii="Times New Roman" w:eastAsia="Times New Roman" w:hAnsi="Times New Roman"/>
          <w:sz w:val="24"/>
          <w:szCs w:val="24"/>
          <w:lang w:val="sq-AL"/>
        </w:rPr>
        <w:t>u</w:t>
      </w:r>
      <w:r w:rsidRPr="0015324E">
        <w:rPr>
          <w:rFonts w:ascii="Times New Roman" w:eastAsia="Times New Roman" w:hAnsi="Times New Roman"/>
          <w:sz w:val="24"/>
          <w:szCs w:val="24"/>
          <w:lang w:val="sq-AL"/>
        </w:rPr>
        <w:t>rdhrit nr.633/2020 dhe duke arritur në konkluzionin se ai nuk cenon thelbin e lirisë së tubimit</w:t>
      </w:r>
      <w:r>
        <w:rPr>
          <w:rFonts w:ascii="Times New Roman" w:eastAsia="Times New Roman" w:hAnsi="Times New Roman"/>
          <w:sz w:val="24"/>
          <w:szCs w:val="24"/>
          <w:lang w:val="sq-AL"/>
        </w:rPr>
        <w:t xml:space="preserve"> dhe të së drejtës së kërkueses për t’u mbledhur</w:t>
      </w:r>
      <w:r w:rsidRPr="0015324E">
        <w:rPr>
          <w:rFonts w:ascii="Times New Roman" w:eastAsia="Times New Roman" w:hAnsi="Times New Roman"/>
          <w:sz w:val="24"/>
          <w:szCs w:val="24"/>
          <w:lang w:val="sq-AL"/>
        </w:rPr>
        <w:t>, i lidhur me lirinë e shprehjes, parashikuar dhe garantuar nga nen</w:t>
      </w:r>
      <w:r>
        <w:rPr>
          <w:rFonts w:ascii="Times New Roman" w:eastAsia="Times New Roman" w:hAnsi="Times New Roman"/>
          <w:sz w:val="24"/>
          <w:szCs w:val="24"/>
          <w:lang w:val="sq-AL"/>
        </w:rPr>
        <w:t>et</w:t>
      </w:r>
      <w:r w:rsidRPr="0015324E">
        <w:rPr>
          <w:rFonts w:ascii="Times New Roman" w:eastAsia="Times New Roman" w:hAnsi="Times New Roman"/>
          <w:sz w:val="24"/>
          <w:szCs w:val="24"/>
          <w:lang w:val="sq-AL"/>
        </w:rPr>
        <w:t xml:space="preserve"> 47 dhe 22 </w:t>
      </w:r>
      <w:r>
        <w:rPr>
          <w:rFonts w:ascii="Times New Roman" w:eastAsia="Times New Roman" w:hAnsi="Times New Roman"/>
          <w:sz w:val="24"/>
          <w:szCs w:val="24"/>
          <w:lang w:val="sq-AL"/>
        </w:rPr>
        <w:t>të</w:t>
      </w:r>
      <w:r w:rsidRPr="0015324E">
        <w:rPr>
          <w:rFonts w:ascii="Times New Roman" w:eastAsia="Times New Roman" w:hAnsi="Times New Roman"/>
          <w:sz w:val="24"/>
          <w:szCs w:val="24"/>
          <w:lang w:val="sq-AL"/>
        </w:rPr>
        <w:t xml:space="preserve"> Kushtetutës në raport me nenin 17 të saj.</w:t>
      </w:r>
      <w:r>
        <w:rPr>
          <w:rFonts w:ascii="Times New Roman" w:hAnsi="Times New Roman"/>
          <w:sz w:val="24"/>
          <w:szCs w:val="24"/>
          <w:lang w:val="sq-AL"/>
        </w:rPr>
        <w:t xml:space="preserve"> </w:t>
      </w:r>
      <w:r>
        <w:rPr>
          <w:rFonts w:ascii="Times New Roman" w:hAnsi="Times New Roman"/>
          <w:sz w:val="24"/>
          <w:szCs w:val="24"/>
          <w:lang w:val="sq-AL"/>
        </w:rPr>
        <w:tab/>
      </w:r>
    </w:p>
    <w:p w:rsidR="00416201" w:rsidRPr="00037FB1" w:rsidRDefault="00416201" w:rsidP="00416201">
      <w:pPr>
        <w:spacing w:after="0" w:line="360" w:lineRule="auto"/>
        <w:contextualSpacing/>
        <w:rPr>
          <w:rFonts w:ascii="Times New Roman" w:eastAsia="Times New Roman" w:hAnsi="Times New Roman"/>
          <w:b/>
          <w:bCs/>
          <w:sz w:val="24"/>
          <w:szCs w:val="24"/>
          <w:lang w:val="sq-AL"/>
        </w:rPr>
      </w:pPr>
      <w:r w:rsidRPr="00037FB1">
        <w:rPr>
          <w:rFonts w:ascii="Times New Roman" w:eastAsia="Times New Roman" w:hAnsi="Times New Roman"/>
          <w:b/>
          <w:bCs/>
          <w:sz w:val="24"/>
          <w:szCs w:val="24"/>
          <w:lang w:val="sq-AL"/>
        </w:rPr>
        <w:t xml:space="preserve">Shpallur më </w:t>
      </w:r>
      <w:r>
        <w:rPr>
          <w:rFonts w:ascii="Times New Roman" w:eastAsia="Times New Roman" w:hAnsi="Times New Roman"/>
          <w:b/>
          <w:bCs/>
          <w:sz w:val="24"/>
          <w:szCs w:val="24"/>
          <w:lang w:val="sq-AL"/>
        </w:rPr>
        <w:t>18.03.2021</w:t>
      </w:r>
    </w:p>
    <w:p w:rsidR="0077604B" w:rsidRDefault="0077604B" w:rsidP="00CB7B24">
      <w:pPr>
        <w:spacing w:after="0" w:line="360" w:lineRule="auto"/>
        <w:ind w:left="720" w:firstLine="720"/>
        <w:rPr>
          <w:rFonts w:ascii="Times New Roman" w:hAnsi="Times New Roman"/>
          <w:b/>
          <w:sz w:val="24"/>
          <w:szCs w:val="24"/>
          <w:lang w:val="sq-AL"/>
        </w:rPr>
      </w:pPr>
    </w:p>
    <w:p w:rsidR="0060559F" w:rsidRDefault="00CB7B24" w:rsidP="00416201">
      <w:pPr>
        <w:spacing w:after="0" w:line="360" w:lineRule="auto"/>
        <w:rPr>
          <w:rFonts w:ascii="Times New Roman" w:hAnsi="Times New Roman"/>
          <w:b/>
          <w:sz w:val="24"/>
          <w:szCs w:val="24"/>
          <w:lang w:val="sq-AL"/>
        </w:rPr>
      </w:pPr>
      <w:r w:rsidRPr="00CB7B24">
        <w:rPr>
          <w:rFonts w:ascii="Times New Roman" w:hAnsi="Times New Roman"/>
          <w:b/>
          <w:sz w:val="24"/>
          <w:szCs w:val="24"/>
          <w:lang w:val="sq-AL"/>
        </w:rPr>
        <w:t>A</w:t>
      </w:r>
      <w:r w:rsidR="00416201">
        <w:rPr>
          <w:rFonts w:ascii="Times New Roman" w:hAnsi="Times New Roman"/>
          <w:b/>
          <w:sz w:val="24"/>
          <w:szCs w:val="24"/>
          <w:lang w:val="sq-AL"/>
        </w:rPr>
        <w:t>nëtar</w:t>
      </w:r>
      <w:r w:rsidRPr="00CB7B24">
        <w:rPr>
          <w:rFonts w:ascii="Times New Roman" w:hAnsi="Times New Roman"/>
          <w:b/>
          <w:sz w:val="24"/>
          <w:szCs w:val="24"/>
          <w:lang w:val="sq-AL"/>
        </w:rPr>
        <w:t>ë</w:t>
      </w:r>
      <w:r w:rsidR="00416201">
        <w:rPr>
          <w:rFonts w:ascii="Times New Roman" w:hAnsi="Times New Roman"/>
          <w:b/>
          <w:sz w:val="24"/>
          <w:szCs w:val="24"/>
          <w:lang w:val="sq-AL"/>
        </w:rPr>
        <w:t xml:space="preserve">: </w:t>
      </w:r>
      <w:r w:rsidRPr="00CB7B24">
        <w:rPr>
          <w:rFonts w:ascii="Times New Roman" w:hAnsi="Times New Roman"/>
          <w:b/>
          <w:sz w:val="24"/>
          <w:szCs w:val="24"/>
          <w:lang w:val="sq-AL"/>
        </w:rPr>
        <w:t>Altin Binaj</w:t>
      </w:r>
      <w:r w:rsidR="00416201">
        <w:rPr>
          <w:rFonts w:ascii="Times New Roman" w:hAnsi="Times New Roman"/>
          <w:b/>
          <w:sz w:val="24"/>
          <w:szCs w:val="24"/>
          <w:lang w:val="sq-AL"/>
        </w:rPr>
        <w:t xml:space="preserve">, </w:t>
      </w:r>
      <w:r w:rsidRPr="00CB7B24">
        <w:rPr>
          <w:rFonts w:ascii="Times New Roman" w:hAnsi="Times New Roman"/>
          <w:b/>
          <w:sz w:val="24"/>
          <w:szCs w:val="24"/>
          <w:lang w:val="sq-AL"/>
        </w:rPr>
        <w:t>Elsa Toska</w:t>
      </w:r>
    </w:p>
    <w:p w:rsidR="00CB7B24" w:rsidRPr="00CB7B24" w:rsidRDefault="00CB7B24" w:rsidP="0060559F">
      <w:pPr>
        <w:spacing w:after="0" w:line="360" w:lineRule="auto"/>
        <w:ind w:left="2880" w:firstLine="720"/>
        <w:rPr>
          <w:rFonts w:ascii="Times New Roman" w:hAnsi="Times New Roman"/>
          <w:b/>
          <w:sz w:val="24"/>
          <w:szCs w:val="24"/>
          <w:lang w:val="sq-AL"/>
        </w:rPr>
      </w:pPr>
    </w:p>
    <w:sectPr w:rsidR="00CB7B24" w:rsidRPr="00CB7B24" w:rsidSect="0041620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214" w:rsidRDefault="00051214" w:rsidP="00367EB7">
      <w:pPr>
        <w:spacing w:after="0" w:line="240" w:lineRule="auto"/>
      </w:pPr>
      <w:r>
        <w:separator/>
      </w:r>
    </w:p>
  </w:endnote>
  <w:endnote w:type="continuationSeparator" w:id="0">
    <w:p w:rsidR="00051214" w:rsidRDefault="00051214" w:rsidP="0036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7C" w:rsidRDefault="00352A7C">
    <w:pPr>
      <w:pStyle w:val="Footer"/>
      <w:jc w:val="right"/>
    </w:pPr>
    <w:r>
      <w:fldChar w:fldCharType="begin"/>
    </w:r>
    <w:r>
      <w:instrText xml:space="preserve"> PAGE   \* MERGEFORMAT </w:instrText>
    </w:r>
    <w:r>
      <w:fldChar w:fldCharType="separate"/>
    </w:r>
    <w:r w:rsidR="00D763DA">
      <w:rPr>
        <w:noProof/>
      </w:rPr>
      <w:t>22</w:t>
    </w:r>
    <w:r>
      <w:rPr>
        <w:noProof/>
      </w:rPr>
      <w:fldChar w:fldCharType="end"/>
    </w:r>
  </w:p>
  <w:p w:rsidR="00293B82" w:rsidRDefault="00293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214" w:rsidRDefault="00051214" w:rsidP="00367EB7">
      <w:pPr>
        <w:spacing w:after="0" w:line="240" w:lineRule="auto"/>
      </w:pPr>
      <w:r>
        <w:separator/>
      </w:r>
    </w:p>
  </w:footnote>
  <w:footnote w:type="continuationSeparator" w:id="0">
    <w:p w:rsidR="00051214" w:rsidRDefault="00051214" w:rsidP="00367EB7">
      <w:pPr>
        <w:spacing w:after="0" w:line="240" w:lineRule="auto"/>
      </w:pPr>
      <w:r>
        <w:continuationSeparator/>
      </w:r>
    </w:p>
  </w:footnote>
  <w:footnote w:id="1">
    <w:p w:rsidR="00CB7B24" w:rsidRPr="00EA2AC8" w:rsidRDefault="00CB7B24" w:rsidP="0077604B">
      <w:pPr>
        <w:pStyle w:val="NormalWeb"/>
        <w:shd w:val="clear" w:color="auto" w:fill="FFFFFF"/>
        <w:spacing w:before="0" w:beforeAutospacing="0" w:after="0" w:afterAutospacing="0"/>
        <w:jc w:val="both"/>
      </w:pPr>
      <w:r w:rsidRPr="00EA2AC8">
        <w:rPr>
          <w:rStyle w:val="FootnoteReference"/>
        </w:rPr>
        <w:footnoteRef/>
      </w:r>
      <w:r w:rsidRPr="00EA2AC8">
        <w:t xml:space="preserve"> </w:t>
      </w:r>
      <w:r w:rsidRPr="00BC3526">
        <w:rPr>
          <w:sz w:val="18"/>
          <w:szCs w:val="18"/>
          <w:lang w:val="sq-AL"/>
        </w:rPr>
        <w:t>COVID-19 dhe I</w:t>
      </w:r>
      <w:r>
        <w:rPr>
          <w:sz w:val="18"/>
          <w:szCs w:val="18"/>
          <w:lang w:val="sq-AL"/>
        </w:rPr>
        <w:t>mpakti mbi të Drejtat e Njeriut, “</w:t>
      </w:r>
      <w:r w:rsidRPr="00BC3526">
        <w:rPr>
          <w:sz w:val="18"/>
          <w:szCs w:val="18"/>
          <w:lang w:val="sq-AL"/>
        </w:rPr>
        <w:t>Shikim i përgjithshëm mbi jurisprudencën përkatëse të Gjykatës Evropiane p</w:t>
      </w:r>
      <w:r>
        <w:rPr>
          <w:sz w:val="18"/>
          <w:szCs w:val="18"/>
          <w:lang w:val="sq-AL"/>
        </w:rPr>
        <w:t>ër të Drejtat e Njeriut”, The Aire Centre,  Civil Rights Defenders</w:t>
      </w:r>
      <w:r w:rsidRPr="00BC3526">
        <w:rPr>
          <w:sz w:val="18"/>
          <w:szCs w:val="18"/>
          <w:lang w:val="sq-AL"/>
        </w:rPr>
        <w:t>,</w:t>
      </w:r>
      <w:r>
        <w:rPr>
          <w:sz w:val="18"/>
          <w:szCs w:val="18"/>
          <w:lang w:val="sq-AL"/>
        </w:rPr>
        <w:t xml:space="preserve"> botim i vitit 2020, faqe 109</w:t>
      </w:r>
      <w:r w:rsidRPr="00BC3526">
        <w:rPr>
          <w:sz w:val="18"/>
          <w:szCs w:val="18"/>
        </w:rPr>
        <w:t>.</w:t>
      </w:r>
      <w:r>
        <w:t xml:space="preserve"> </w:t>
      </w:r>
    </w:p>
  </w:footnote>
  <w:footnote w:id="2">
    <w:p w:rsidR="00CB7B24" w:rsidRPr="00B96E11" w:rsidRDefault="00CB7B24" w:rsidP="00CB7B24">
      <w:pPr>
        <w:spacing w:after="0"/>
        <w:rPr>
          <w:rFonts w:ascii="Times New Roman" w:hAnsi="Times New Roman"/>
          <w:sz w:val="18"/>
          <w:szCs w:val="18"/>
          <w:lang w:val="sq-AL"/>
        </w:rPr>
      </w:pPr>
      <w:r w:rsidRPr="00B96E11">
        <w:rPr>
          <w:rStyle w:val="FootnoteReference"/>
          <w:sz w:val="18"/>
          <w:szCs w:val="18"/>
        </w:rPr>
        <w:footnoteRef/>
      </w:r>
      <w:r w:rsidRPr="00B96E11">
        <w:rPr>
          <w:rFonts w:ascii="Times New Roman" w:hAnsi="Times New Roman"/>
          <w:sz w:val="18"/>
          <w:szCs w:val="18"/>
        </w:rPr>
        <w:t xml:space="preserve"> </w:t>
      </w:r>
      <w:r w:rsidRPr="00B96E11">
        <w:rPr>
          <w:rFonts w:ascii="Times New Roman" w:hAnsi="Times New Roman"/>
          <w:sz w:val="18"/>
          <w:szCs w:val="18"/>
          <w:lang w:val="sq-AL"/>
        </w:rPr>
        <w:t>Raporti Vjetor i Gjykatës Federale Kushtetuese Gjermane</w:t>
      </w:r>
      <w:r>
        <w:rPr>
          <w:rFonts w:ascii="Times New Roman" w:hAnsi="Times New Roman"/>
          <w:sz w:val="18"/>
          <w:szCs w:val="18"/>
          <w:lang w:val="sq-AL"/>
        </w:rPr>
        <w:t>,</w:t>
      </w:r>
      <w:r w:rsidRPr="00B96E11">
        <w:rPr>
          <w:rFonts w:ascii="Times New Roman" w:hAnsi="Times New Roman"/>
          <w:sz w:val="18"/>
          <w:szCs w:val="18"/>
          <w:lang w:val="sq-AL"/>
        </w:rPr>
        <w:t xml:space="preserve"> </w:t>
      </w:r>
      <w:r>
        <w:rPr>
          <w:rFonts w:ascii="Times New Roman" w:hAnsi="Times New Roman"/>
          <w:sz w:val="18"/>
          <w:szCs w:val="18"/>
          <w:lang w:val="sq-AL"/>
        </w:rPr>
        <w:t>(</w:t>
      </w:r>
      <w:r w:rsidRPr="009A501D">
        <w:rPr>
          <w:rFonts w:ascii="Times New Roman" w:hAnsi="Times New Roman"/>
          <w:sz w:val="18"/>
          <w:szCs w:val="18"/>
          <w:lang w:val="sq-AL"/>
        </w:rPr>
        <w:t>Federal Constitutional Court  Annu</w:t>
      </w:r>
      <w:r>
        <w:rPr>
          <w:rFonts w:ascii="Times New Roman" w:hAnsi="Times New Roman"/>
          <w:sz w:val="18"/>
          <w:szCs w:val="18"/>
          <w:lang w:val="sq-AL"/>
        </w:rPr>
        <w:t>al R</w:t>
      </w:r>
      <w:r w:rsidRPr="009A501D">
        <w:rPr>
          <w:rFonts w:ascii="Times New Roman" w:hAnsi="Times New Roman"/>
          <w:sz w:val="18"/>
          <w:szCs w:val="18"/>
          <w:lang w:val="sq-AL"/>
        </w:rPr>
        <w:t>eport</w:t>
      </w:r>
      <w:r>
        <w:rPr>
          <w:rFonts w:ascii="Times New Roman" w:hAnsi="Times New Roman"/>
          <w:sz w:val="18"/>
          <w:szCs w:val="18"/>
          <w:lang w:val="sq-AL"/>
        </w:rPr>
        <w:t>)</w:t>
      </w:r>
      <w:r w:rsidRPr="009A501D">
        <w:rPr>
          <w:rFonts w:ascii="Times New Roman" w:hAnsi="Times New Roman"/>
          <w:sz w:val="18"/>
          <w:szCs w:val="18"/>
          <w:lang w:val="sq-AL"/>
        </w:rPr>
        <w:t xml:space="preserve"> </w:t>
      </w:r>
      <w:r w:rsidRPr="00B96E11">
        <w:rPr>
          <w:rFonts w:ascii="Times New Roman" w:hAnsi="Times New Roman"/>
          <w:sz w:val="18"/>
          <w:szCs w:val="18"/>
          <w:lang w:val="sq-AL"/>
        </w:rPr>
        <w:t xml:space="preserve">2020, </w:t>
      </w:r>
      <w:r>
        <w:rPr>
          <w:rFonts w:ascii="Times New Roman" w:hAnsi="Times New Roman"/>
          <w:sz w:val="18"/>
          <w:szCs w:val="18"/>
        </w:rPr>
        <w:t>“Vendime të G</w:t>
      </w:r>
      <w:r w:rsidRPr="00B96E11">
        <w:rPr>
          <w:rFonts w:ascii="Times New Roman" w:hAnsi="Times New Roman"/>
          <w:sz w:val="18"/>
          <w:szCs w:val="18"/>
        </w:rPr>
        <w:t xml:space="preserve">jykatës Federale Gjermane në kuadër të Pandemisë”, </w:t>
      </w:r>
      <w:r w:rsidRPr="00B96E11">
        <w:rPr>
          <w:rFonts w:ascii="Times New Roman" w:hAnsi="Times New Roman"/>
          <w:sz w:val="18"/>
          <w:szCs w:val="18"/>
          <w:lang w:val="sq-AL"/>
        </w:rPr>
        <w:t xml:space="preserve">faqja 59, paragrafi i fundit. </w:t>
      </w:r>
      <w:r w:rsidRPr="00B96E11">
        <w:rPr>
          <w:rFonts w:ascii="Times New Roman" w:hAnsi="Times New Roman"/>
          <w:sz w:val="18"/>
          <w:szCs w:val="18"/>
        </w:rPr>
        <w:t xml:space="preserve"> </w:t>
      </w:r>
      <w:r>
        <w:rPr>
          <w:rFonts w:ascii="Times New Roman" w:hAnsi="Times New Roman"/>
          <w:sz w:val="18"/>
          <w:szCs w:val="18"/>
        </w:rPr>
        <w:t>I</w:t>
      </w:r>
      <w:r w:rsidRPr="00B96E11">
        <w:rPr>
          <w:rFonts w:ascii="Times New Roman" w:hAnsi="Times New Roman"/>
          <w:sz w:val="18"/>
          <w:szCs w:val="18"/>
        </w:rPr>
        <w:t xml:space="preserve"> disponueshëm</w:t>
      </w:r>
      <w:r>
        <w:rPr>
          <w:rFonts w:ascii="Times New Roman" w:hAnsi="Times New Roman"/>
          <w:sz w:val="18"/>
          <w:szCs w:val="18"/>
        </w:rPr>
        <w:t xml:space="preserve"> në </w:t>
      </w:r>
      <w:r w:rsidRPr="00B96E11">
        <w:rPr>
          <w:rFonts w:ascii="Times New Roman" w:hAnsi="Times New Roman"/>
          <w:sz w:val="18"/>
          <w:szCs w:val="18"/>
        </w:rPr>
        <w:t xml:space="preserve"> </w:t>
      </w:r>
      <w:hyperlink r:id="rId1" w:history="1">
        <w:r w:rsidRPr="00B96E11">
          <w:rPr>
            <w:rStyle w:val="Hyperlink"/>
            <w:rFonts w:ascii="Times New Roman" w:hAnsi="Times New Roman"/>
            <w:sz w:val="18"/>
            <w:szCs w:val="18"/>
            <w:lang w:val="sq-AL"/>
          </w:rPr>
          <w:t xml:space="preserve"> 2020</w:t>
        </w:r>
      </w:hyperlink>
      <w:hyperlink r:id="rId2" w:anchor="dearflip-df_720/48/" w:history="1">
        <w:r w:rsidRPr="00B96E11">
          <w:rPr>
            <w:rStyle w:val="Hyperlink"/>
            <w:rFonts w:ascii="Times New Roman" w:hAnsi="Times New Roman"/>
            <w:sz w:val="18"/>
            <w:szCs w:val="18"/>
            <w:lang w:val="sq-AL"/>
          </w:rPr>
          <w:t>https://jahresbericht.bundesverfassungsgericht.de/pdf-en/#dearflip-df_720/48/</w:t>
        </w:r>
      </w:hyperlink>
    </w:p>
  </w:footnote>
  <w:footnote w:id="3">
    <w:p w:rsidR="00CB7B24" w:rsidRPr="00BC3526" w:rsidRDefault="00CB7B24" w:rsidP="00CB7B24">
      <w:pPr>
        <w:pStyle w:val="FootnoteText"/>
        <w:rPr>
          <w:rFonts w:ascii="Times New Roman" w:hAnsi="Times New Roman"/>
          <w:sz w:val="18"/>
          <w:szCs w:val="18"/>
        </w:rPr>
      </w:pPr>
      <w:r w:rsidRPr="00BC3526">
        <w:rPr>
          <w:rStyle w:val="FootnoteReference"/>
          <w:sz w:val="18"/>
          <w:szCs w:val="18"/>
        </w:rPr>
        <w:footnoteRef/>
      </w:r>
      <w:r>
        <w:rPr>
          <w:rFonts w:ascii="Times New Roman" w:hAnsi="Times New Roman"/>
          <w:sz w:val="18"/>
          <w:szCs w:val="18"/>
        </w:rPr>
        <w:t xml:space="preserve">E- Buletin on Constitutional Case- Law, </w:t>
      </w:r>
      <w:r w:rsidRPr="00BC3526">
        <w:rPr>
          <w:rFonts w:ascii="Times New Roman" w:hAnsi="Times New Roman"/>
          <w:sz w:val="18"/>
          <w:szCs w:val="18"/>
        </w:rPr>
        <w:t xml:space="preserve"> </w:t>
      </w:r>
      <w:r>
        <w:rPr>
          <w:rFonts w:ascii="Times New Roman" w:hAnsi="Times New Roman"/>
          <w:sz w:val="18"/>
          <w:szCs w:val="18"/>
        </w:rPr>
        <w:t xml:space="preserve">special collection of cases related to Covid- 19, Mars 2021. Shih për më tepër: </w:t>
      </w:r>
      <w:r w:rsidRPr="00BC3526">
        <w:rPr>
          <w:rFonts w:ascii="Times New Roman" w:hAnsi="Times New Roman"/>
          <w:sz w:val="18"/>
          <w:szCs w:val="18"/>
        </w:rPr>
        <w:t>https://venice.coe.int/files/Bulletin/COVID-19-e.htm</w:t>
      </w:r>
    </w:p>
  </w:footnote>
  <w:footnote w:id="4">
    <w:p w:rsidR="00CB7B24" w:rsidRPr="0010018A" w:rsidRDefault="00CB7B24" w:rsidP="00CB7B24">
      <w:pPr>
        <w:spacing w:after="0"/>
      </w:pPr>
      <w:r w:rsidRPr="00AC5370">
        <w:rPr>
          <w:rStyle w:val="FootnoteReference"/>
          <w:sz w:val="18"/>
          <w:szCs w:val="18"/>
        </w:rPr>
        <w:footnoteRef/>
      </w:r>
      <w:r w:rsidRPr="0010018A">
        <w:rPr>
          <w:rFonts w:ascii="Times New Roman" w:hAnsi="Times New Roman"/>
          <w:sz w:val="18"/>
          <w:szCs w:val="18"/>
        </w:rPr>
        <w:t xml:space="preserve">Shih dhe </w:t>
      </w:r>
      <w:hyperlink r:id="rId3" w:history="1">
        <w:r w:rsidRPr="0010018A">
          <w:rPr>
            <w:rStyle w:val="Hyperlink"/>
            <w:rFonts w:ascii="Times New Roman" w:hAnsi="Times New Roman"/>
            <w:sz w:val="18"/>
            <w:szCs w:val="18"/>
          </w:rPr>
          <w:t>https://shendetesia.gov.al/?s=komiteti</w:t>
        </w:r>
      </w:hyperlink>
      <w:r w:rsidRPr="0010018A">
        <w:rPr>
          <w:rFonts w:ascii="Times New Roman" w:hAnsi="Times New Roman"/>
          <w:sz w:val="18"/>
          <w:szCs w:val="18"/>
        </w:rPr>
        <w:t xml:space="preserve">; </w:t>
      </w:r>
      <w:hyperlink r:id="rId4" w:history="1">
        <w:r w:rsidRPr="0010018A">
          <w:rPr>
            <w:rStyle w:val="Hyperlink"/>
            <w:rFonts w:ascii="Times New Roman" w:hAnsi="Times New Roman"/>
            <w:sz w:val="18"/>
            <w:szCs w:val="18"/>
          </w:rPr>
          <w:t>https://shendetesia.gov.al/masat-e-reja-per-te-parandaluar-perhapjen-e-covid-19/</w:t>
        </w:r>
        <w:r w:rsidRPr="0010018A">
          <w:rPr>
            <w:rStyle w:val="Hyperlink"/>
            <w:rFonts w:ascii="Times New Roman" w:eastAsia="Times New Roman" w:hAnsi="Times New Roman"/>
            <w:sz w:val="18"/>
            <w:szCs w:val="18"/>
          </w:rPr>
          <w:t>https://shendetesia.gov.al/komunikimi-i-perditshem-per-koronavirusin/</w:t>
        </w:r>
      </w:hyperlink>
      <w:r w:rsidRPr="004F6D44">
        <w:rPr>
          <w:rFonts w:ascii="Times New Roman" w:eastAsia="Times New Roman" w:hAnsi="Times New Roman"/>
          <w:sz w:val="18"/>
          <w:szCs w:val="18"/>
        </w:rPr>
        <w:t>,</w:t>
      </w:r>
    </w:p>
  </w:footnote>
  <w:footnote w:id="5">
    <w:p w:rsidR="00CB7B24" w:rsidRPr="004F6D44" w:rsidRDefault="00CB7B24" w:rsidP="00CB7B24">
      <w:pPr>
        <w:pStyle w:val="FootnoteText"/>
        <w:rPr>
          <w:rFonts w:ascii="Times New Roman" w:hAnsi="Times New Roman"/>
          <w:sz w:val="18"/>
          <w:szCs w:val="18"/>
        </w:rPr>
      </w:pPr>
      <w:r w:rsidRPr="004F6D44">
        <w:rPr>
          <w:rStyle w:val="FootnoteReference"/>
          <w:sz w:val="18"/>
          <w:szCs w:val="18"/>
        </w:rPr>
        <w:footnoteRef/>
      </w:r>
      <w:r w:rsidRPr="004F6D44">
        <w:rPr>
          <w:rFonts w:ascii="Times New Roman" w:hAnsi="Times New Roman"/>
          <w:sz w:val="18"/>
          <w:szCs w:val="18"/>
        </w:rPr>
        <w:t xml:space="preserve"> https://shendetesia.gov.al/wp-content/uploads/2020/12/Urdher-Nr.680.pdf; https://shendetesia.gov.al/wp-content/uploads/2020/12/Urdher-Nr.681.pdf</w:t>
      </w:r>
    </w:p>
  </w:footnote>
  <w:footnote w:id="6">
    <w:p w:rsidR="00CB7B24" w:rsidRPr="00606553" w:rsidRDefault="00CB7B24" w:rsidP="00CB7B24">
      <w:pPr>
        <w:pStyle w:val="FootnoteText"/>
        <w:rPr>
          <w:rFonts w:ascii="Times New Roman" w:hAnsi="Times New Roman"/>
          <w:sz w:val="18"/>
          <w:szCs w:val="18"/>
        </w:rPr>
      </w:pPr>
      <w:r w:rsidRPr="00606553">
        <w:rPr>
          <w:rStyle w:val="FootnoteReference"/>
          <w:sz w:val="18"/>
          <w:szCs w:val="18"/>
        </w:rPr>
        <w:footnoteRef/>
      </w:r>
      <w:r w:rsidRPr="00606553">
        <w:rPr>
          <w:rFonts w:ascii="Times New Roman" w:hAnsi="Times New Roman"/>
          <w:sz w:val="18"/>
          <w:szCs w:val="18"/>
        </w:rPr>
        <w:t xml:space="preserve"> </w:t>
      </w:r>
      <w:r>
        <w:rPr>
          <w:rFonts w:ascii="Times New Roman" w:hAnsi="Times New Roman"/>
          <w:sz w:val="18"/>
          <w:szCs w:val="18"/>
        </w:rPr>
        <w:t xml:space="preserve">Covid -19- Strategjia e Rihapjes, Dokument i Ministrisë së Shëndetësisë, fq.12 dhe 13, i disponueshëm në: </w:t>
      </w:r>
      <w:r w:rsidRPr="00606553">
        <w:rPr>
          <w:rFonts w:ascii="Times New Roman" w:eastAsia="Times New Roman" w:hAnsi="Times New Roman"/>
          <w:sz w:val="18"/>
          <w:szCs w:val="18"/>
        </w:rPr>
        <w:t>https://shendetesia.gov.al/wp-content/uploads/2020/01/Covid_Strategjia-e-rihapjes.pdf</w:t>
      </w:r>
      <w:hyperlink r:id="rId5" w:history="1">
        <w:r w:rsidRPr="0010018A">
          <w:rPr>
            <w:rStyle w:val="Hyperlink"/>
            <w:rFonts w:ascii="Times New Roman" w:hAnsi="Times New Roman"/>
            <w:sz w:val="18"/>
            <w:szCs w:val="18"/>
          </w:rPr>
          <w:t>https://shendetesia.gov.al/masat-e-reja-per-te-parandaluar-perhapjen-e-covid-19/</w:t>
        </w:r>
        <w:r w:rsidRPr="0010018A">
          <w:rPr>
            <w:rStyle w:val="Hyperlink"/>
            <w:rFonts w:ascii="Times New Roman" w:eastAsia="Times New Roman" w:hAnsi="Times New Roman"/>
            <w:sz w:val="18"/>
            <w:szCs w:val="18"/>
          </w:rPr>
          <w:t>https://shendetesia.gov.al/komunikimi-i-perditshem-per-koronavirusin/</w:t>
        </w:r>
      </w:hyperlink>
      <w:r w:rsidRPr="004F6D44">
        <w:rPr>
          <w:rFonts w:ascii="Times New Roman" w:eastAsia="Times New Roman" w:hAnsi="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2BAB"/>
    <w:multiLevelType w:val="hybridMultilevel"/>
    <w:tmpl w:val="54A84068"/>
    <w:lvl w:ilvl="0" w:tplc="4852DBD4">
      <w:start w:val="12"/>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D2437"/>
    <w:multiLevelType w:val="hybridMultilevel"/>
    <w:tmpl w:val="1E2CE184"/>
    <w:lvl w:ilvl="0" w:tplc="2F0686DC">
      <w:start w:val="4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04E393D"/>
    <w:multiLevelType w:val="hybridMultilevel"/>
    <w:tmpl w:val="A63A8E50"/>
    <w:lvl w:ilvl="0" w:tplc="F372E9B6">
      <w:start w:val="5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2493D26"/>
    <w:multiLevelType w:val="hybridMultilevel"/>
    <w:tmpl w:val="331638DE"/>
    <w:lvl w:ilvl="0" w:tplc="D9B22900">
      <w:start w:val="61"/>
      <w:numFmt w:val="decimal"/>
      <w:lvlText w:val="%1."/>
      <w:lvlJc w:val="left"/>
      <w:pPr>
        <w:ind w:left="810" w:hanging="360"/>
      </w:pPr>
      <w:rPr>
        <w:rFonts w:ascii="Times New Roman" w:eastAsia="Arial Unicode MS" w:hAnsi="Times New Roman" w:cs="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7A83713"/>
    <w:multiLevelType w:val="multilevel"/>
    <w:tmpl w:val="4F9C642E"/>
    <w:lvl w:ilvl="0">
      <w:start w:val="1"/>
      <w:numFmt w:val="decimal"/>
      <w:lvlText w:val="%1."/>
      <w:lvlJc w:val="left"/>
      <w:pPr>
        <w:ind w:left="63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E6B70B5"/>
    <w:multiLevelType w:val="hybridMultilevel"/>
    <w:tmpl w:val="49E8AEB0"/>
    <w:lvl w:ilvl="0" w:tplc="5D5286A8">
      <w:start w:val="54"/>
      <w:numFmt w:val="decimal"/>
      <w:lvlText w:val="%1."/>
      <w:lvlJc w:val="left"/>
      <w:pPr>
        <w:ind w:left="810" w:hanging="360"/>
      </w:pPr>
      <w:rPr>
        <w:rFonts w:eastAsia="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1C04DAD"/>
    <w:multiLevelType w:val="hybridMultilevel"/>
    <w:tmpl w:val="233C284A"/>
    <w:lvl w:ilvl="0" w:tplc="339AEA96">
      <w:start w:val="19"/>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nsid w:val="37F875AA"/>
    <w:multiLevelType w:val="hybridMultilevel"/>
    <w:tmpl w:val="2C1A41B4"/>
    <w:lvl w:ilvl="0" w:tplc="33AE1F3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9E7161"/>
    <w:multiLevelType w:val="hybridMultilevel"/>
    <w:tmpl w:val="1C74E95C"/>
    <w:lvl w:ilvl="0" w:tplc="FF340D0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5596C"/>
    <w:multiLevelType w:val="hybridMultilevel"/>
    <w:tmpl w:val="A10493DC"/>
    <w:lvl w:ilvl="0" w:tplc="27461FBA">
      <w:start w:val="5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197D87"/>
    <w:multiLevelType w:val="hybridMultilevel"/>
    <w:tmpl w:val="6C9629D0"/>
    <w:lvl w:ilvl="0" w:tplc="4C56D410">
      <w:start w:val="4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3554F6A"/>
    <w:multiLevelType w:val="multilevel"/>
    <w:tmpl w:val="4F9C642E"/>
    <w:lvl w:ilvl="0">
      <w:start w:val="1"/>
      <w:numFmt w:val="decimal"/>
      <w:lvlText w:val="%1."/>
      <w:lvlJc w:val="left"/>
      <w:pPr>
        <w:ind w:left="63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8DA1035"/>
    <w:multiLevelType w:val="hybridMultilevel"/>
    <w:tmpl w:val="17A221C2"/>
    <w:lvl w:ilvl="0" w:tplc="567679AC">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6D5625"/>
    <w:multiLevelType w:val="hybridMultilevel"/>
    <w:tmpl w:val="AB1A97D2"/>
    <w:lvl w:ilvl="0" w:tplc="C37AD3D8">
      <w:start w:val="54"/>
      <w:numFmt w:val="decimal"/>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4185758"/>
    <w:multiLevelType w:val="hybridMultilevel"/>
    <w:tmpl w:val="2B5E4124"/>
    <w:lvl w:ilvl="0" w:tplc="8C32CC78">
      <w:start w:val="46"/>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CB4307"/>
    <w:multiLevelType w:val="hybridMultilevel"/>
    <w:tmpl w:val="BB149484"/>
    <w:lvl w:ilvl="0" w:tplc="6A4C86D2">
      <w:start w:val="6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7240AEF"/>
    <w:multiLevelType w:val="multilevel"/>
    <w:tmpl w:val="4F9C642E"/>
    <w:lvl w:ilvl="0">
      <w:start w:val="1"/>
      <w:numFmt w:val="decimal"/>
      <w:lvlText w:val="%1."/>
      <w:lvlJc w:val="left"/>
      <w:pPr>
        <w:ind w:left="63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99B3258"/>
    <w:multiLevelType w:val="hybridMultilevel"/>
    <w:tmpl w:val="1286E7A8"/>
    <w:lvl w:ilvl="0" w:tplc="60F4FFC0">
      <w:start w:val="5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7191213E"/>
    <w:multiLevelType w:val="hybridMultilevel"/>
    <w:tmpl w:val="22A46684"/>
    <w:lvl w:ilvl="0" w:tplc="732A8412">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6133B"/>
    <w:multiLevelType w:val="hybridMultilevel"/>
    <w:tmpl w:val="3572B4A2"/>
    <w:lvl w:ilvl="0" w:tplc="4C56D410">
      <w:start w:val="5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7C580462"/>
    <w:multiLevelType w:val="hybridMultilevel"/>
    <w:tmpl w:val="D45A0E3E"/>
    <w:lvl w:ilvl="0" w:tplc="CAB28AD6">
      <w:start w:val="29"/>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11"/>
  </w:num>
  <w:num w:numId="2">
    <w:abstractNumId w:val="8"/>
  </w:num>
  <w:num w:numId="3">
    <w:abstractNumId w:val="12"/>
  </w:num>
  <w:num w:numId="4">
    <w:abstractNumId w:val="14"/>
  </w:num>
  <w:num w:numId="5">
    <w:abstractNumId w:val="2"/>
  </w:num>
  <w:num w:numId="6">
    <w:abstractNumId w:val="15"/>
  </w:num>
  <w:num w:numId="7">
    <w:abstractNumId w:val="19"/>
  </w:num>
  <w:num w:numId="8">
    <w:abstractNumId w:val="16"/>
  </w:num>
  <w:num w:numId="9">
    <w:abstractNumId w:val="13"/>
  </w:num>
  <w:num w:numId="10">
    <w:abstractNumId w:val="2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1"/>
  </w:num>
  <w:num w:numId="14">
    <w:abstractNumId w:val="0"/>
  </w:num>
  <w:num w:numId="15">
    <w:abstractNumId w:val="17"/>
  </w:num>
  <w:num w:numId="16">
    <w:abstractNumId w:val="4"/>
  </w:num>
  <w:num w:numId="17">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5"/>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B7"/>
    <w:rsid w:val="00002956"/>
    <w:rsid w:val="00003491"/>
    <w:rsid w:val="0000799A"/>
    <w:rsid w:val="00015D86"/>
    <w:rsid w:val="00015EA6"/>
    <w:rsid w:val="00017291"/>
    <w:rsid w:val="00017CDB"/>
    <w:rsid w:val="00022691"/>
    <w:rsid w:val="00024F27"/>
    <w:rsid w:val="00031805"/>
    <w:rsid w:val="000319B7"/>
    <w:rsid w:val="0003220F"/>
    <w:rsid w:val="00032902"/>
    <w:rsid w:val="00037FB1"/>
    <w:rsid w:val="00042AD1"/>
    <w:rsid w:val="00042D82"/>
    <w:rsid w:val="000441AF"/>
    <w:rsid w:val="00044D43"/>
    <w:rsid w:val="00046779"/>
    <w:rsid w:val="00051214"/>
    <w:rsid w:val="000530B1"/>
    <w:rsid w:val="00053264"/>
    <w:rsid w:val="000625D2"/>
    <w:rsid w:val="0007039A"/>
    <w:rsid w:val="00070DB4"/>
    <w:rsid w:val="00076373"/>
    <w:rsid w:val="00085778"/>
    <w:rsid w:val="00090684"/>
    <w:rsid w:val="00096A78"/>
    <w:rsid w:val="00097A6B"/>
    <w:rsid w:val="000A3B3D"/>
    <w:rsid w:val="000A4E03"/>
    <w:rsid w:val="000A7174"/>
    <w:rsid w:val="000B1A0B"/>
    <w:rsid w:val="000B1E28"/>
    <w:rsid w:val="000B656C"/>
    <w:rsid w:val="000B7A8D"/>
    <w:rsid w:val="000C3D06"/>
    <w:rsid w:val="000D3C71"/>
    <w:rsid w:val="000E3022"/>
    <w:rsid w:val="000F43E1"/>
    <w:rsid w:val="000F517E"/>
    <w:rsid w:val="001049C4"/>
    <w:rsid w:val="00111879"/>
    <w:rsid w:val="00113518"/>
    <w:rsid w:val="00115814"/>
    <w:rsid w:val="00120FCD"/>
    <w:rsid w:val="001237A2"/>
    <w:rsid w:val="0012416F"/>
    <w:rsid w:val="001408B1"/>
    <w:rsid w:val="001456D4"/>
    <w:rsid w:val="00145D46"/>
    <w:rsid w:val="001522A5"/>
    <w:rsid w:val="00172899"/>
    <w:rsid w:val="00173FDB"/>
    <w:rsid w:val="0017505B"/>
    <w:rsid w:val="00176375"/>
    <w:rsid w:val="00192F70"/>
    <w:rsid w:val="0019568F"/>
    <w:rsid w:val="001964C5"/>
    <w:rsid w:val="0019723F"/>
    <w:rsid w:val="001A0623"/>
    <w:rsid w:val="001A2AF0"/>
    <w:rsid w:val="001A4637"/>
    <w:rsid w:val="001A6D26"/>
    <w:rsid w:val="001B1A44"/>
    <w:rsid w:val="001B360F"/>
    <w:rsid w:val="001B4D74"/>
    <w:rsid w:val="001C61E8"/>
    <w:rsid w:val="001D0F95"/>
    <w:rsid w:val="001D596C"/>
    <w:rsid w:val="001E1005"/>
    <w:rsid w:val="001E247B"/>
    <w:rsid w:val="001F0F4B"/>
    <w:rsid w:val="001F3A18"/>
    <w:rsid w:val="001F7A72"/>
    <w:rsid w:val="002046D7"/>
    <w:rsid w:val="00204CE6"/>
    <w:rsid w:val="002102E8"/>
    <w:rsid w:val="00227B7E"/>
    <w:rsid w:val="00227E5B"/>
    <w:rsid w:val="00234762"/>
    <w:rsid w:val="0023770D"/>
    <w:rsid w:val="00240ABB"/>
    <w:rsid w:val="002429D0"/>
    <w:rsid w:val="002505AB"/>
    <w:rsid w:val="00252901"/>
    <w:rsid w:val="00262FDF"/>
    <w:rsid w:val="00270DF1"/>
    <w:rsid w:val="00277985"/>
    <w:rsid w:val="002828B5"/>
    <w:rsid w:val="002844D4"/>
    <w:rsid w:val="00286BDA"/>
    <w:rsid w:val="0029010F"/>
    <w:rsid w:val="00290179"/>
    <w:rsid w:val="00293B82"/>
    <w:rsid w:val="00297BF4"/>
    <w:rsid w:val="002A4E7C"/>
    <w:rsid w:val="002B5C69"/>
    <w:rsid w:val="002B6C1A"/>
    <w:rsid w:val="002C2C7F"/>
    <w:rsid w:val="002C4A7A"/>
    <w:rsid w:val="002C6EAD"/>
    <w:rsid w:val="002D073B"/>
    <w:rsid w:val="002E11E2"/>
    <w:rsid w:val="002E6C82"/>
    <w:rsid w:val="002E75B8"/>
    <w:rsid w:val="002F682E"/>
    <w:rsid w:val="003018E3"/>
    <w:rsid w:val="00303C22"/>
    <w:rsid w:val="0030637D"/>
    <w:rsid w:val="00312513"/>
    <w:rsid w:val="003178F9"/>
    <w:rsid w:val="00317D7B"/>
    <w:rsid w:val="00322610"/>
    <w:rsid w:val="00325B6E"/>
    <w:rsid w:val="0032614C"/>
    <w:rsid w:val="00327197"/>
    <w:rsid w:val="003340FA"/>
    <w:rsid w:val="003357FD"/>
    <w:rsid w:val="00341F16"/>
    <w:rsid w:val="003436A4"/>
    <w:rsid w:val="00347BF2"/>
    <w:rsid w:val="00352A7C"/>
    <w:rsid w:val="00363A7D"/>
    <w:rsid w:val="00367EB7"/>
    <w:rsid w:val="0037360A"/>
    <w:rsid w:val="003746A6"/>
    <w:rsid w:val="0037493E"/>
    <w:rsid w:val="00380E3B"/>
    <w:rsid w:val="00384713"/>
    <w:rsid w:val="00384F7C"/>
    <w:rsid w:val="003902F6"/>
    <w:rsid w:val="00397016"/>
    <w:rsid w:val="00397A9C"/>
    <w:rsid w:val="003A4E4E"/>
    <w:rsid w:val="003B4309"/>
    <w:rsid w:val="003B47B4"/>
    <w:rsid w:val="003C7E4F"/>
    <w:rsid w:val="003D1CDC"/>
    <w:rsid w:val="003E41C8"/>
    <w:rsid w:val="003E668F"/>
    <w:rsid w:val="003F4A81"/>
    <w:rsid w:val="003F523D"/>
    <w:rsid w:val="00402255"/>
    <w:rsid w:val="004116B6"/>
    <w:rsid w:val="00416201"/>
    <w:rsid w:val="00420305"/>
    <w:rsid w:val="00426BE3"/>
    <w:rsid w:val="0043589D"/>
    <w:rsid w:val="00437F0C"/>
    <w:rsid w:val="004458A2"/>
    <w:rsid w:val="00446AB1"/>
    <w:rsid w:val="00451542"/>
    <w:rsid w:val="00451DD5"/>
    <w:rsid w:val="004551D7"/>
    <w:rsid w:val="004609B0"/>
    <w:rsid w:val="0046495D"/>
    <w:rsid w:val="00475A5D"/>
    <w:rsid w:val="00481961"/>
    <w:rsid w:val="00486641"/>
    <w:rsid w:val="004A0366"/>
    <w:rsid w:val="004B1374"/>
    <w:rsid w:val="004B1C6A"/>
    <w:rsid w:val="004B561F"/>
    <w:rsid w:val="004C1D8F"/>
    <w:rsid w:val="004C2216"/>
    <w:rsid w:val="004C543F"/>
    <w:rsid w:val="004D3349"/>
    <w:rsid w:val="004D647C"/>
    <w:rsid w:val="004E4953"/>
    <w:rsid w:val="004F3B21"/>
    <w:rsid w:val="0050159F"/>
    <w:rsid w:val="005034B0"/>
    <w:rsid w:val="00504BBE"/>
    <w:rsid w:val="00507944"/>
    <w:rsid w:val="00510808"/>
    <w:rsid w:val="00515734"/>
    <w:rsid w:val="005162D2"/>
    <w:rsid w:val="00521B81"/>
    <w:rsid w:val="00522AD7"/>
    <w:rsid w:val="00526A18"/>
    <w:rsid w:val="0053768E"/>
    <w:rsid w:val="00542974"/>
    <w:rsid w:val="0054472C"/>
    <w:rsid w:val="0055673E"/>
    <w:rsid w:val="0055714D"/>
    <w:rsid w:val="00560AE3"/>
    <w:rsid w:val="00567B8E"/>
    <w:rsid w:val="00567FAC"/>
    <w:rsid w:val="005803E7"/>
    <w:rsid w:val="0058392F"/>
    <w:rsid w:val="0058456D"/>
    <w:rsid w:val="00586681"/>
    <w:rsid w:val="005902D1"/>
    <w:rsid w:val="00591C61"/>
    <w:rsid w:val="005A43F5"/>
    <w:rsid w:val="005C0035"/>
    <w:rsid w:val="005C02E9"/>
    <w:rsid w:val="005C0931"/>
    <w:rsid w:val="005C63F1"/>
    <w:rsid w:val="005C7A14"/>
    <w:rsid w:val="005E18AD"/>
    <w:rsid w:val="005E6F55"/>
    <w:rsid w:val="005F5D21"/>
    <w:rsid w:val="005F7022"/>
    <w:rsid w:val="00601807"/>
    <w:rsid w:val="00602DF1"/>
    <w:rsid w:val="0060559F"/>
    <w:rsid w:val="006075E3"/>
    <w:rsid w:val="00612958"/>
    <w:rsid w:val="00612E4E"/>
    <w:rsid w:val="00614ECF"/>
    <w:rsid w:val="00622051"/>
    <w:rsid w:val="0062525A"/>
    <w:rsid w:val="006276A3"/>
    <w:rsid w:val="00635829"/>
    <w:rsid w:val="006364C3"/>
    <w:rsid w:val="00640AE2"/>
    <w:rsid w:val="00646CAD"/>
    <w:rsid w:val="00651328"/>
    <w:rsid w:val="00654FB2"/>
    <w:rsid w:val="00657FA7"/>
    <w:rsid w:val="00663178"/>
    <w:rsid w:val="00665065"/>
    <w:rsid w:val="00672413"/>
    <w:rsid w:val="00674738"/>
    <w:rsid w:val="00685EC5"/>
    <w:rsid w:val="00687598"/>
    <w:rsid w:val="006875E8"/>
    <w:rsid w:val="00690F97"/>
    <w:rsid w:val="0069251E"/>
    <w:rsid w:val="0069686E"/>
    <w:rsid w:val="00697A2D"/>
    <w:rsid w:val="006A15C0"/>
    <w:rsid w:val="006A7BD2"/>
    <w:rsid w:val="006B1419"/>
    <w:rsid w:val="006B2AA4"/>
    <w:rsid w:val="006C42DD"/>
    <w:rsid w:val="006D0192"/>
    <w:rsid w:val="006D30BA"/>
    <w:rsid w:val="006D3F87"/>
    <w:rsid w:val="006D6DFC"/>
    <w:rsid w:val="006F2488"/>
    <w:rsid w:val="006F467A"/>
    <w:rsid w:val="00701178"/>
    <w:rsid w:val="0070465D"/>
    <w:rsid w:val="00705978"/>
    <w:rsid w:val="0071059A"/>
    <w:rsid w:val="00716AF3"/>
    <w:rsid w:val="0071796A"/>
    <w:rsid w:val="007243D6"/>
    <w:rsid w:val="00725593"/>
    <w:rsid w:val="007315B1"/>
    <w:rsid w:val="0073769B"/>
    <w:rsid w:val="00743D60"/>
    <w:rsid w:val="00750643"/>
    <w:rsid w:val="0075239A"/>
    <w:rsid w:val="00752BC2"/>
    <w:rsid w:val="00763CCB"/>
    <w:rsid w:val="00764CBE"/>
    <w:rsid w:val="00767AF8"/>
    <w:rsid w:val="007742AD"/>
    <w:rsid w:val="0077555F"/>
    <w:rsid w:val="0077604B"/>
    <w:rsid w:val="00776349"/>
    <w:rsid w:val="007813CC"/>
    <w:rsid w:val="007843BF"/>
    <w:rsid w:val="007847EB"/>
    <w:rsid w:val="007871E2"/>
    <w:rsid w:val="0079100A"/>
    <w:rsid w:val="00796C43"/>
    <w:rsid w:val="007A135E"/>
    <w:rsid w:val="007A4681"/>
    <w:rsid w:val="007A6C1C"/>
    <w:rsid w:val="007B1ECF"/>
    <w:rsid w:val="007B43F1"/>
    <w:rsid w:val="007B4D52"/>
    <w:rsid w:val="007B623F"/>
    <w:rsid w:val="007B7E2B"/>
    <w:rsid w:val="007C0456"/>
    <w:rsid w:val="007C3FCE"/>
    <w:rsid w:val="007C5E49"/>
    <w:rsid w:val="007D2B89"/>
    <w:rsid w:val="007D2FCF"/>
    <w:rsid w:val="007D4F72"/>
    <w:rsid w:val="007D7BD6"/>
    <w:rsid w:val="007E2B69"/>
    <w:rsid w:val="007E39FE"/>
    <w:rsid w:val="007E3F72"/>
    <w:rsid w:val="00800FA9"/>
    <w:rsid w:val="008010E7"/>
    <w:rsid w:val="00806C83"/>
    <w:rsid w:val="00807133"/>
    <w:rsid w:val="00807E4B"/>
    <w:rsid w:val="0081116D"/>
    <w:rsid w:val="00817310"/>
    <w:rsid w:val="0082012B"/>
    <w:rsid w:val="00820444"/>
    <w:rsid w:val="00825E58"/>
    <w:rsid w:val="008407CD"/>
    <w:rsid w:val="00841255"/>
    <w:rsid w:val="00843646"/>
    <w:rsid w:val="0085764F"/>
    <w:rsid w:val="00871C0A"/>
    <w:rsid w:val="00876CB5"/>
    <w:rsid w:val="00876EBB"/>
    <w:rsid w:val="00883EC0"/>
    <w:rsid w:val="008856A1"/>
    <w:rsid w:val="008865CB"/>
    <w:rsid w:val="00887727"/>
    <w:rsid w:val="0089195D"/>
    <w:rsid w:val="00891CF7"/>
    <w:rsid w:val="00894967"/>
    <w:rsid w:val="008959EF"/>
    <w:rsid w:val="00896F2E"/>
    <w:rsid w:val="008A076F"/>
    <w:rsid w:val="008A16BC"/>
    <w:rsid w:val="008A40A0"/>
    <w:rsid w:val="008A6DDD"/>
    <w:rsid w:val="008A715E"/>
    <w:rsid w:val="008B28BA"/>
    <w:rsid w:val="008C13FD"/>
    <w:rsid w:val="008C3E24"/>
    <w:rsid w:val="008D76D8"/>
    <w:rsid w:val="008E061F"/>
    <w:rsid w:val="008E2A6F"/>
    <w:rsid w:val="008E76A8"/>
    <w:rsid w:val="008F3BB4"/>
    <w:rsid w:val="008F754B"/>
    <w:rsid w:val="008F7863"/>
    <w:rsid w:val="008F7B3A"/>
    <w:rsid w:val="009029A1"/>
    <w:rsid w:val="00904146"/>
    <w:rsid w:val="00905018"/>
    <w:rsid w:val="009144FC"/>
    <w:rsid w:val="009157B3"/>
    <w:rsid w:val="00922504"/>
    <w:rsid w:val="0093033C"/>
    <w:rsid w:val="009304F9"/>
    <w:rsid w:val="009317F5"/>
    <w:rsid w:val="00950A0F"/>
    <w:rsid w:val="00966285"/>
    <w:rsid w:val="00970DA7"/>
    <w:rsid w:val="00972DA6"/>
    <w:rsid w:val="00995D09"/>
    <w:rsid w:val="009B1CBF"/>
    <w:rsid w:val="009B612F"/>
    <w:rsid w:val="009B749C"/>
    <w:rsid w:val="009B7856"/>
    <w:rsid w:val="009C1431"/>
    <w:rsid w:val="009E3BBB"/>
    <w:rsid w:val="009E66C1"/>
    <w:rsid w:val="009F1F66"/>
    <w:rsid w:val="009F2F3B"/>
    <w:rsid w:val="009F4EF5"/>
    <w:rsid w:val="00A059B1"/>
    <w:rsid w:val="00A06457"/>
    <w:rsid w:val="00A14F60"/>
    <w:rsid w:val="00A21C0A"/>
    <w:rsid w:val="00A22D5E"/>
    <w:rsid w:val="00A24B52"/>
    <w:rsid w:val="00A2709B"/>
    <w:rsid w:val="00A33F9C"/>
    <w:rsid w:val="00A36A0A"/>
    <w:rsid w:val="00A37DAB"/>
    <w:rsid w:val="00A407C2"/>
    <w:rsid w:val="00A41002"/>
    <w:rsid w:val="00A4686B"/>
    <w:rsid w:val="00A476F0"/>
    <w:rsid w:val="00A51094"/>
    <w:rsid w:val="00A516BC"/>
    <w:rsid w:val="00A5452C"/>
    <w:rsid w:val="00A65C6E"/>
    <w:rsid w:val="00A73B8A"/>
    <w:rsid w:val="00A74F13"/>
    <w:rsid w:val="00A86279"/>
    <w:rsid w:val="00A87B13"/>
    <w:rsid w:val="00A90236"/>
    <w:rsid w:val="00A91AB5"/>
    <w:rsid w:val="00A92535"/>
    <w:rsid w:val="00A94084"/>
    <w:rsid w:val="00A94B8A"/>
    <w:rsid w:val="00A94FA5"/>
    <w:rsid w:val="00AA0D82"/>
    <w:rsid w:val="00AA7423"/>
    <w:rsid w:val="00AA7DC1"/>
    <w:rsid w:val="00AB0334"/>
    <w:rsid w:val="00AB065C"/>
    <w:rsid w:val="00AB1010"/>
    <w:rsid w:val="00AB1132"/>
    <w:rsid w:val="00AC157E"/>
    <w:rsid w:val="00AC732A"/>
    <w:rsid w:val="00AC7F5D"/>
    <w:rsid w:val="00AD292D"/>
    <w:rsid w:val="00AD53C0"/>
    <w:rsid w:val="00AE14F3"/>
    <w:rsid w:val="00AE6634"/>
    <w:rsid w:val="00AF1599"/>
    <w:rsid w:val="00AF6C87"/>
    <w:rsid w:val="00AF771A"/>
    <w:rsid w:val="00B015B6"/>
    <w:rsid w:val="00B0228F"/>
    <w:rsid w:val="00B053A5"/>
    <w:rsid w:val="00B153C3"/>
    <w:rsid w:val="00B31ED4"/>
    <w:rsid w:val="00B40946"/>
    <w:rsid w:val="00B4468E"/>
    <w:rsid w:val="00B50333"/>
    <w:rsid w:val="00B54ECE"/>
    <w:rsid w:val="00B55954"/>
    <w:rsid w:val="00B56B20"/>
    <w:rsid w:val="00B6075F"/>
    <w:rsid w:val="00B607B6"/>
    <w:rsid w:val="00B6272E"/>
    <w:rsid w:val="00B6412E"/>
    <w:rsid w:val="00B65CE5"/>
    <w:rsid w:val="00B7223D"/>
    <w:rsid w:val="00B74B24"/>
    <w:rsid w:val="00B759BF"/>
    <w:rsid w:val="00B775C9"/>
    <w:rsid w:val="00B77ADF"/>
    <w:rsid w:val="00B82A27"/>
    <w:rsid w:val="00B85149"/>
    <w:rsid w:val="00B9169A"/>
    <w:rsid w:val="00B91741"/>
    <w:rsid w:val="00B9760D"/>
    <w:rsid w:val="00BA0ACB"/>
    <w:rsid w:val="00BB014C"/>
    <w:rsid w:val="00BB1DE1"/>
    <w:rsid w:val="00BB41C2"/>
    <w:rsid w:val="00BD1096"/>
    <w:rsid w:val="00BD2323"/>
    <w:rsid w:val="00BD4CF8"/>
    <w:rsid w:val="00BD5DE4"/>
    <w:rsid w:val="00BD605F"/>
    <w:rsid w:val="00BE48F3"/>
    <w:rsid w:val="00BF0742"/>
    <w:rsid w:val="00BF6079"/>
    <w:rsid w:val="00BF67B8"/>
    <w:rsid w:val="00C021BA"/>
    <w:rsid w:val="00C04753"/>
    <w:rsid w:val="00C149B5"/>
    <w:rsid w:val="00C16683"/>
    <w:rsid w:val="00C17B85"/>
    <w:rsid w:val="00C2118B"/>
    <w:rsid w:val="00C2299C"/>
    <w:rsid w:val="00C24781"/>
    <w:rsid w:val="00C4630B"/>
    <w:rsid w:val="00C57E16"/>
    <w:rsid w:val="00C631FB"/>
    <w:rsid w:val="00C639FA"/>
    <w:rsid w:val="00C737FE"/>
    <w:rsid w:val="00C85B53"/>
    <w:rsid w:val="00C90C2E"/>
    <w:rsid w:val="00C91C68"/>
    <w:rsid w:val="00CB4AE2"/>
    <w:rsid w:val="00CB7B24"/>
    <w:rsid w:val="00CC3901"/>
    <w:rsid w:val="00CC6394"/>
    <w:rsid w:val="00CD05C2"/>
    <w:rsid w:val="00CD28CC"/>
    <w:rsid w:val="00CD6F9D"/>
    <w:rsid w:val="00CE2409"/>
    <w:rsid w:val="00CE5C40"/>
    <w:rsid w:val="00CF24FA"/>
    <w:rsid w:val="00D00962"/>
    <w:rsid w:val="00D05175"/>
    <w:rsid w:val="00D1248F"/>
    <w:rsid w:val="00D13DC9"/>
    <w:rsid w:val="00D16D1A"/>
    <w:rsid w:val="00D21DA9"/>
    <w:rsid w:val="00D250C3"/>
    <w:rsid w:val="00D312B5"/>
    <w:rsid w:val="00D35562"/>
    <w:rsid w:val="00D4358A"/>
    <w:rsid w:val="00D476CF"/>
    <w:rsid w:val="00D54F16"/>
    <w:rsid w:val="00D62C3D"/>
    <w:rsid w:val="00D70F1B"/>
    <w:rsid w:val="00D72F13"/>
    <w:rsid w:val="00D763DA"/>
    <w:rsid w:val="00D7661B"/>
    <w:rsid w:val="00D81C14"/>
    <w:rsid w:val="00D839DE"/>
    <w:rsid w:val="00D90478"/>
    <w:rsid w:val="00D90E22"/>
    <w:rsid w:val="00DA01CA"/>
    <w:rsid w:val="00DA29FE"/>
    <w:rsid w:val="00DC1E69"/>
    <w:rsid w:val="00DC24F9"/>
    <w:rsid w:val="00DD0086"/>
    <w:rsid w:val="00DE49B2"/>
    <w:rsid w:val="00DE4C92"/>
    <w:rsid w:val="00DE5687"/>
    <w:rsid w:val="00DE7824"/>
    <w:rsid w:val="00E061FA"/>
    <w:rsid w:val="00E2419D"/>
    <w:rsid w:val="00E258B1"/>
    <w:rsid w:val="00E339A7"/>
    <w:rsid w:val="00E37293"/>
    <w:rsid w:val="00E40A82"/>
    <w:rsid w:val="00E41E70"/>
    <w:rsid w:val="00E447F6"/>
    <w:rsid w:val="00E47090"/>
    <w:rsid w:val="00E50FF2"/>
    <w:rsid w:val="00E567D7"/>
    <w:rsid w:val="00E647FE"/>
    <w:rsid w:val="00E64CF7"/>
    <w:rsid w:val="00E817BE"/>
    <w:rsid w:val="00E864FE"/>
    <w:rsid w:val="00E97A64"/>
    <w:rsid w:val="00E97E1F"/>
    <w:rsid w:val="00EA0304"/>
    <w:rsid w:val="00EA12BE"/>
    <w:rsid w:val="00EA2650"/>
    <w:rsid w:val="00EA2997"/>
    <w:rsid w:val="00EA56FF"/>
    <w:rsid w:val="00EA5754"/>
    <w:rsid w:val="00EB3F08"/>
    <w:rsid w:val="00EB5127"/>
    <w:rsid w:val="00ED1F13"/>
    <w:rsid w:val="00ED4291"/>
    <w:rsid w:val="00ED4B15"/>
    <w:rsid w:val="00EE389D"/>
    <w:rsid w:val="00EE579E"/>
    <w:rsid w:val="00EE727D"/>
    <w:rsid w:val="00EF426F"/>
    <w:rsid w:val="00EF63C0"/>
    <w:rsid w:val="00F01A63"/>
    <w:rsid w:val="00F10278"/>
    <w:rsid w:val="00F11552"/>
    <w:rsid w:val="00F12362"/>
    <w:rsid w:val="00F13863"/>
    <w:rsid w:val="00F14E53"/>
    <w:rsid w:val="00F15ABD"/>
    <w:rsid w:val="00F20702"/>
    <w:rsid w:val="00F26E4A"/>
    <w:rsid w:val="00F31D90"/>
    <w:rsid w:val="00F331FC"/>
    <w:rsid w:val="00F34817"/>
    <w:rsid w:val="00F3694F"/>
    <w:rsid w:val="00F40945"/>
    <w:rsid w:val="00F41F18"/>
    <w:rsid w:val="00F42ED7"/>
    <w:rsid w:val="00F42F4D"/>
    <w:rsid w:val="00F5002D"/>
    <w:rsid w:val="00F50BFA"/>
    <w:rsid w:val="00F526D9"/>
    <w:rsid w:val="00F55442"/>
    <w:rsid w:val="00F60E27"/>
    <w:rsid w:val="00F61B81"/>
    <w:rsid w:val="00F61E3A"/>
    <w:rsid w:val="00F6441B"/>
    <w:rsid w:val="00F65290"/>
    <w:rsid w:val="00F66C49"/>
    <w:rsid w:val="00F7308A"/>
    <w:rsid w:val="00F92D3A"/>
    <w:rsid w:val="00F94AE4"/>
    <w:rsid w:val="00F97683"/>
    <w:rsid w:val="00FA04D0"/>
    <w:rsid w:val="00FA21AE"/>
    <w:rsid w:val="00FA2965"/>
    <w:rsid w:val="00FA3849"/>
    <w:rsid w:val="00FB0909"/>
    <w:rsid w:val="00FC0A85"/>
    <w:rsid w:val="00FC7342"/>
    <w:rsid w:val="00FC7A9D"/>
    <w:rsid w:val="00FD2565"/>
    <w:rsid w:val="00FD3D5A"/>
    <w:rsid w:val="00FD4B88"/>
    <w:rsid w:val="00FE0A60"/>
    <w:rsid w:val="00FE2BD8"/>
    <w:rsid w:val="00FF0709"/>
    <w:rsid w:val="00FF252E"/>
    <w:rsid w:val="00FF2650"/>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ADE4EA-2077-4DAB-B990-67F1F39D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EB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367EB7"/>
    <w:pPr>
      <w:ind w:left="720"/>
      <w:contextualSpacing/>
    </w:pPr>
  </w:style>
  <w:style w:type="paragraph" w:styleId="Footer">
    <w:name w:val="footer"/>
    <w:basedOn w:val="Normal"/>
    <w:link w:val="FooterChar"/>
    <w:uiPriority w:val="99"/>
    <w:unhideWhenUsed/>
    <w:rsid w:val="0036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EB7"/>
  </w:style>
  <w:style w:type="paragraph" w:styleId="FootnoteText">
    <w:name w:val="footnote text"/>
    <w:aliases w:val="Char Char, Char1,Char,Footnote Text Char1 Char Char Char,Footnote Text Char Char Char Char Char, Char Char,Car,Char1"/>
    <w:basedOn w:val="Normal"/>
    <w:link w:val="FootnoteTextChar"/>
    <w:uiPriority w:val="99"/>
    <w:unhideWhenUsed/>
    <w:rsid w:val="00367EB7"/>
    <w:pPr>
      <w:spacing w:after="0" w:line="240" w:lineRule="auto"/>
    </w:pPr>
    <w:rPr>
      <w:sz w:val="20"/>
      <w:szCs w:val="20"/>
      <w:lang w:val="x-none" w:eastAsia="x-none"/>
    </w:rPr>
  </w:style>
  <w:style w:type="character" w:customStyle="1" w:styleId="FootnoteTextChar">
    <w:name w:val="Footnote Text Char"/>
    <w:aliases w:val="Char Char Char, Char1 Char,Char Char1,Footnote Text Char1 Char Char Char Char,Footnote Text Char Char Char Char Char Char, Char Char Char,Car Char,Char1 Char"/>
    <w:link w:val="FootnoteText"/>
    <w:uiPriority w:val="99"/>
    <w:rsid w:val="00367EB7"/>
    <w:rPr>
      <w:sz w:val="20"/>
      <w:szCs w:val="20"/>
    </w:rPr>
  </w:style>
  <w:style w:type="character" w:styleId="FootnoteReference">
    <w:name w:val="footnote reference"/>
    <w:uiPriority w:val="99"/>
    <w:semiHidden/>
    <w:unhideWhenUsed/>
    <w:rsid w:val="00367EB7"/>
    <w:rPr>
      <w:rFonts w:ascii="Times New Roman" w:hAnsi="Times New Roman" w:cs="Times New Roman" w:hint="default"/>
      <w:sz w:val="20"/>
      <w:vertAlign w:val="superscript"/>
    </w:rPr>
  </w:style>
  <w:style w:type="character" w:styleId="Hyperlink">
    <w:name w:val="Hyperlink"/>
    <w:uiPriority w:val="99"/>
    <w:unhideWhenUsed/>
    <w:rsid w:val="00367EB7"/>
    <w:rPr>
      <w:color w:val="0563C1"/>
      <w:u w:val="single"/>
    </w:rPr>
  </w:style>
  <w:style w:type="paragraph" w:styleId="NormalWeb">
    <w:name w:val="Normal (Web)"/>
    <w:basedOn w:val="Normal"/>
    <w:uiPriority w:val="99"/>
    <w:unhideWhenUsed/>
    <w:rsid w:val="00A516B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1187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11879"/>
    <w:rPr>
      <w:rFonts w:ascii="Tahoma" w:hAnsi="Tahoma" w:cs="Tahoma"/>
      <w:sz w:val="16"/>
      <w:szCs w:val="16"/>
    </w:rPr>
  </w:style>
  <w:style w:type="character" w:styleId="CommentReference">
    <w:name w:val="annotation reference"/>
    <w:uiPriority w:val="99"/>
    <w:semiHidden/>
    <w:unhideWhenUsed/>
    <w:rsid w:val="00674738"/>
    <w:rPr>
      <w:sz w:val="16"/>
      <w:szCs w:val="16"/>
    </w:rPr>
  </w:style>
  <w:style w:type="paragraph" w:styleId="CommentText">
    <w:name w:val="annotation text"/>
    <w:basedOn w:val="Normal"/>
    <w:link w:val="CommentTextChar"/>
    <w:uiPriority w:val="99"/>
    <w:semiHidden/>
    <w:unhideWhenUsed/>
    <w:rsid w:val="00674738"/>
    <w:pPr>
      <w:spacing w:line="240" w:lineRule="auto"/>
    </w:pPr>
    <w:rPr>
      <w:sz w:val="20"/>
      <w:szCs w:val="20"/>
      <w:lang w:val="x-none" w:eastAsia="x-none"/>
    </w:rPr>
  </w:style>
  <w:style w:type="character" w:customStyle="1" w:styleId="CommentTextChar">
    <w:name w:val="Comment Text Char"/>
    <w:link w:val="CommentText"/>
    <w:uiPriority w:val="99"/>
    <w:semiHidden/>
    <w:rsid w:val="00674738"/>
    <w:rPr>
      <w:sz w:val="20"/>
      <w:szCs w:val="20"/>
    </w:rPr>
  </w:style>
  <w:style w:type="paragraph" w:styleId="CommentSubject">
    <w:name w:val="annotation subject"/>
    <w:basedOn w:val="CommentText"/>
    <w:next w:val="CommentText"/>
    <w:link w:val="CommentSubjectChar"/>
    <w:uiPriority w:val="99"/>
    <w:semiHidden/>
    <w:unhideWhenUsed/>
    <w:rsid w:val="00674738"/>
    <w:rPr>
      <w:b/>
      <w:bCs/>
    </w:rPr>
  </w:style>
  <w:style w:type="character" w:customStyle="1" w:styleId="CommentSubjectChar">
    <w:name w:val="Comment Subject Char"/>
    <w:link w:val="CommentSubject"/>
    <w:uiPriority w:val="99"/>
    <w:semiHidden/>
    <w:rsid w:val="00674738"/>
    <w:rPr>
      <w:b/>
      <w:bCs/>
      <w:sz w:val="20"/>
      <w:szCs w:val="20"/>
    </w:rPr>
  </w:style>
  <w:style w:type="character" w:styleId="Strong">
    <w:name w:val="Strong"/>
    <w:uiPriority w:val="22"/>
    <w:qFormat/>
    <w:rsid w:val="00017CDB"/>
    <w:rPr>
      <w:b/>
      <w:bCs/>
    </w:rPr>
  </w:style>
  <w:style w:type="paragraph" w:customStyle="1" w:styleId="Default">
    <w:name w:val="Default"/>
    <w:rsid w:val="00CE2409"/>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List Paragraph2 Char"/>
    <w:link w:val="ListParagraph"/>
    <w:uiPriority w:val="34"/>
    <w:rsid w:val="00EA12BE"/>
  </w:style>
  <w:style w:type="paragraph" w:customStyle="1" w:styleId="s30eec3f8">
    <w:name w:val="s30eec3f8"/>
    <w:basedOn w:val="Normal"/>
    <w:rsid w:val="00C2299C"/>
    <w:pPr>
      <w:spacing w:before="100" w:beforeAutospacing="1" w:after="100" w:afterAutospacing="1" w:line="240" w:lineRule="auto"/>
    </w:pPr>
    <w:rPr>
      <w:rFonts w:ascii="Times New Roman" w:eastAsia="Times New Roman" w:hAnsi="Times New Roman"/>
      <w:sz w:val="24"/>
      <w:szCs w:val="24"/>
    </w:rPr>
  </w:style>
  <w:style w:type="character" w:customStyle="1" w:styleId="sb8d990e2">
    <w:name w:val="sb8d990e2"/>
    <w:basedOn w:val="DefaultParagraphFont"/>
    <w:rsid w:val="00C2299C"/>
  </w:style>
  <w:style w:type="character" w:customStyle="1" w:styleId="s6b621b36">
    <w:name w:val="s6b621b36"/>
    <w:basedOn w:val="DefaultParagraphFont"/>
    <w:rsid w:val="00C2299C"/>
  </w:style>
  <w:style w:type="paragraph" w:styleId="Header">
    <w:name w:val="header"/>
    <w:basedOn w:val="Normal"/>
    <w:link w:val="HeaderChar"/>
    <w:uiPriority w:val="99"/>
    <w:unhideWhenUsed/>
    <w:rsid w:val="00D7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2523">
      <w:bodyDiv w:val="1"/>
      <w:marLeft w:val="0"/>
      <w:marRight w:val="0"/>
      <w:marTop w:val="0"/>
      <w:marBottom w:val="0"/>
      <w:divBdr>
        <w:top w:val="none" w:sz="0" w:space="0" w:color="auto"/>
        <w:left w:val="none" w:sz="0" w:space="0" w:color="auto"/>
        <w:bottom w:val="none" w:sz="0" w:space="0" w:color="auto"/>
        <w:right w:val="none" w:sz="0" w:space="0" w:color="auto"/>
      </w:divBdr>
    </w:div>
    <w:div w:id="263878397">
      <w:bodyDiv w:val="1"/>
      <w:marLeft w:val="0"/>
      <w:marRight w:val="0"/>
      <w:marTop w:val="0"/>
      <w:marBottom w:val="0"/>
      <w:divBdr>
        <w:top w:val="none" w:sz="0" w:space="0" w:color="auto"/>
        <w:left w:val="none" w:sz="0" w:space="0" w:color="auto"/>
        <w:bottom w:val="none" w:sz="0" w:space="0" w:color="auto"/>
        <w:right w:val="none" w:sz="0" w:space="0" w:color="auto"/>
      </w:divBdr>
    </w:div>
    <w:div w:id="498666200">
      <w:bodyDiv w:val="1"/>
      <w:marLeft w:val="0"/>
      <w:marRight w:val="0"/>
      <w:marTop w:val="0"/>
      <w:marBottom w:val="0"/>
      <w:divBdr>
        <w:top w:val="none" w:sz="0" w:space="0" w:color="auto"/>
        <w:left w:val="none" w:sz="0" w:space="0" w:color="auto"/>
        <w:bottom w:val="none" w:sz="0" w:space="0" w:color="auto"/>
        <w:right w:val="none" w:sz="0" w:space="0" w:color="auto"/>
      </w:divBdr>
    </w:div>
    <w:div w:id="783115008">
      <w:bodyDiv w:val="1"/>
      <w:marLeft w:val="0"/>
      <w:marRight w:val="0"/>
      <w:marTop w:val="0"/>
      <w:marBottom w:val="0"/>
      <w:divBdr>
        <w:top w:val="none" w:sz="0" w:space="0" w:color="auto"/>
        <w:left w:val="none" w:sz="0" w:space="0" w:color="auto"/>
        <w:bottom w:val="none" w:sz="0" w:space="0" w:color="auto"/>
        <w:right w:val="none" w:sz="0" w:space="0" w:color="auto"/>
      </w:divBdr>
    </w:div>
    <w:div w:id="888492722">
      <w:bodyDiv w:val="1"/>
      <w:marLeft w:val="0"/>
      <w:marRight w:val="0"/>
      <w:marTop w:val="0"/>
      <w:marBottom w:val="0"/>
      <w:divBdr>
        <w:top w:val="none" w:sz="0" w:space="0" w:color="auto"/>
        <w:left w:val="none" w:sz="0" w:space="0" w:color="auto"/>
        <w:bottom w:val="none" w:sz="0" w:space="0" w:color="auto"/>
        <w:right w:val="none" w:sz="0" w:space="0" w:color="auto"/>
      </w:divBdr>
    </w:div>
    <w:div w:id="1096051155">
      <w:bodyDiv w:val="1"/>
      <w:marLeft w:val="0"/>
      <w:marRight w:val="0"/>
      <w:marTop w:val="0"/>
      <w:marBottom w:val="0"/>
      <w:divBdr>
        <w:top w:val="none" w:sz="0" w:space="0" w:color="auto"/>
        <w:left w:val="none" w:sz="0" w:space="0" w:color="auto"/>
        <w:bottom w:val="none" w:sz="0" w:space="0" w:color="auto"/>
        <w:right w:val="none" w:sz="0" w:space="0" w:color="auto"/>
      </w:divBdr>
    </w:div>
    <w:div w:id="1101684881">
      <w:bodyDiv w:val="1"/>
      <w:marLeft w:val="0"/>
      <w:marRight w:val="0"/>
      <w:marTop w:val="0"/>
      <w:marBottom w:val="0"/>
      <w:divBdr>
        <w:top w:val="none" w:sz="0" w:space="0" w:color="auto"/>
        <w:left w:val="none" w:sz="0" w:space="0" w:color="auto"/>
        <w:bottom w:val="none" w:sz="0" w:space="0" w:color="auto"/>
        <w:right w:val="none" w:sz="0" w:space="0" w:color="auto"/>
      </w:divBdr>
    </w:div>
    <w:div w:id="1570192773">
      <w:bodyDiv w:val="1"/>
      <w:marLeft w:val="0"/>
      <w:marRight w:val="0"/>
      <w:marTop w:val="0"/>
      <w:marBottom w:val="0"/>
      <w:divBdr>
        <w:top w:val="none" w:sz="0" w:space="0" w:color="auto"/>
        <w:left w:val="none" w:sz="0" w:space="0" w:color="auto"/>
        <w:bottom w:val="none" w:sz="0" w:space="0" w:color="auto"/>
        <w:right w:val="none" w:sz="0" w:space="0" w:color="auto"/>
      </w:divBdr>
    </w:div>
    <w:div w:id="1574267912">
      <w:bodyDiv w:val="1"/>
      <w:marLeft w:val="0"/>
      <w:marRight w:val="0"/>
      <w:marTop w:val="0"/>
      <w:marBottom w:val="0"/>
      <w:divBdr>
        <w:top w:val="none" w:sz="0" w:space="0" w:color="auto"/>
        <w:left w:val="none" w:sz="0" w:space="0" w:color="auto"/>
        <w:bottom w:val="none" w:sz="0" w:space="0" w:color="auto"/>
        <w:right w:val="none" w:sz="0" w:space="0" w:color="auto"/>
      </w:divBdr>
    </w:div>
    <w:div w:id="20817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hendetesia.gov.al/?s=komiteti" TargetMode="External"/><Relationship Id="rId2" Type="http://schemas.openxmlformats.org/officeDocument/2006/relationships/hyperlink" Target="https://jahresbericht.bundesverfassungsgericht.de/pdf-en/" TargetMode="External"/><Relationship Id="rId1" Type="http://schemas.openxmlformats.org/officeDocument/2006/relationships/hyperlink" Target="https://jahresbericht.bundesverfassungsgericht.de/en/" TargetMode="External"/><Relationship Id="rId5" Type="http://schemas.openxmlformats.org/officeDocument/2006/relationships/hyperlink" Target="https://shendetesia.gov.al/masat-e-reja-per-te-parandaluar-perhapjen-e-covid-19/https://shendetesia.gov.al/komunikimi-i-perditshem-per-koronavirusin/" TargetMode="External"/><Relationship Id="rId4" Type="http://schemas.openxmlformats.org/officeDocument/2006/relationships/hyperlink" Target="https://shendetesia.gov.al/masat-e-reja-per-te-parandaluar-perhapjen-e-covid-19/https://shendetesia.gov.al/komunikimi-i-perditshem-per-koronaviru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5878-EE84-44C7-AD13-41D1CD9E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14225</Words>
  <Characters>81089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95124</CharactersWithSpaces>
  <SharedDoc>false</SharedDoc>
  <HLinks>
    <vt:vector size="30" baseType="variant">
      <vt:variant>
        <vt:i4>131079</vt:i4>
      </vt:variant>
      <vt:variant>
        <vt:i4>12</vt:i4>
      </vt:variant>
      <vt:variant>
        <vt:i4>0</vt:i4>
      </vt:variant>
      <vt:variant>
        <vt:i4>5</vt:i4>
      </vt:variant>
      <vt:variant>
        <vt:lpwstr>https://shendetesia.gov.al/masat-e-reja-per-te-parandaluar-perhapjen-e-covid-19/https://shendetesia.gov.al/komunikimi-i-perditshem-per-koronavirusin/</vt:lpwstr>
      </vt:variant>
      <vt:variant>
        <vt:lpwstr/>
      </vt:variant>
      <vt:variant>
        <vt:i4>131079</vt:i4>
      </vt:variant>
      <vt:variant>
        <vt:i4>9</vt:i4>
      </vt:variant>
      <vt:variant>
        <vt:i4>0</vt:i4>
      </vt:variant>
      <vt:variant>
        <vt:i4>5</vt:i4>
      </vt:variant>
      <vt:variant>
        <vt:lpwstr>https://shendetesia.gov.al/masat-e-reja-per-te-parandaluar-perhapjen-e-covid-19/https://shendetesia.gov.al/komunikimi-i-perditshem-per-koronavirusin/</vt:lpwstr>
      </vt:variant>
      <vt:variant>
        <vt:lpwstr/>
      </vt:variant>
      <vt:variant>
        <vt:i4>7667838</vt:i4>
      </vt:variant>
      <vt:variant>
        <vt:i4>6</vt:i4>
      </vt:variant>
      <vt:variant>
        <vt:i4>0</vt:i4>
      </vt:variant>
      <vt:variant>
        <vt:i4>5</vt:i4>
      </vt:variant>
      <vt:variant>
        <vt:lpwstr>https://shendetesia.gov.al/?s=komiteti</vt:lpwstr>
      </vt:variant>
      <vt:variant>
        <vt:lpwstr/>
      </vt:variant>
      <vt:variant>
        <vt:i4>4194412</vt:i4>
      </vt:variant>
      <vt:variant>
        <vt:i4>3</vt:i4>
      </vt:variant>
      <vt:variant>
        <vt:i4>0</vt:i4>
      </vt:variant>
      <vt:variant>
        <vt:i4>5</vt:i4>
      </vt:variant>
      <vt:variant>
        <vt:lpwstr>https://jahresbericht.bundesverfassungsgericht.de/pdf-en/</vt:lpwstr>
      </vt:variant>
      <vt:variant>
        <vt:lpwstr>dearflip-df_720/48/</vt:lpwstr>
      </vt:variant>
      <vt:variant>
        <vt:i4>1835016</vt:i4>
      </vt:variant>
      <vt:variant>
        <vt:i4>0</vt:i4>
      </vt:variant>
      <vt:variant>
        <vt:i4>0</vt:i4>
      </vt:variant>
      <vt:variant>
        <vt:i4>5</vt:i4>
      </vt:variant>
      <vt:variant>
        <vt:lpwstr>https://jahresbericht.bundesverfassungsgericht.de/en/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Olta</dc:creator>
  <cp:keywords/>
  <dc:description/>
  <cp:lastModifiedBy>User</cp:lastModifiedBy>
  <cp:revision>2</cp:revision>
  <cp:lastPrinted>2021-03-18T13:31:00Z</cp:lastPrinted>
  <dcterms:created xsi:type="dcterms:W3CDTF">2021-04-27T11:50:00Z</dcterms:created>
  <dcterms:modified xsi:type="dcterms:W3CDTF">2021-04-27T11:50:00Z</dcterms:modified>
</cp:coreProperties>
</file>