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6A" w:rsidRPr="000B4179" w:rsidRDefault="005B4225" w:rsidP="005B4225">
      <w:pPr>
        <w:keepNext/>
        <w:shd w:val="clear" w:color="auto" w:fill="FFFFFF" w:themeFill="background1"/>
        <w:autoSpaceDE w:val="0"/>
        <w:autoSpaceDN w:val="0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  <w:t>Vendim nr. 40 dat</w:t>
      </w:r>
      <w:r w:rsidRPr="005B422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ë 21.12.2021</w:t>
      </w:r>
    </w:p>
    <w:p w:rsidR="0015666A" w:rsidRPr="000B4179" w:rsidRDefault="005B4225" w:rsidP="0015666A">
      <w:pPr>
        <w:keepNext/>
        <w:shd w:val="clear" w:color="auto" w:fill="FFFFFF" w:themeFill="background1"/>
        <w:autoSpaceDE w:val="0"/>
        <w:autoSpaceDN w:val="0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  <w:t xml:space="preserve">   (V-40/21)</w:t>
      </w:r>
    </w:p>
    <w:p w:rsidR="0015666A" w:rsidRPr="000B4179" w:rsidRDefault="0015666A" w:rsidP="0015666A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:rsidR="0015666A" w:rsidRPr="000B4179" w:rsidRDefault="0015666A" w:rsidP="005B4225">
      <w:pPr>
        <w:shd w:val="clear" w:color="auto" w:fill="FFFFFF" w:themeFill="background1"/>
        <w:tabs>
          <w:tab w:val="left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Gjykata Kushtetuese e Republikës së Shqipërisë, e përbërë nga:</w:t>
      </w:r>
      <w:r w:rsidR="005B4225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Vitore Tusha, Kryetare, Elsa Toska, Marsida Xhaferllari, Altin Binaj, Përparim Kalo, Sonila Bejtja, Fiona Papajorgji, anëtar</w:t>
      </w:r>
      <w:r w:rsidR="005B4225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5B4225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, 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me sekretare Enina Kotoni, në datën 21.12.2021</w:t>
      </w:r>
      <w:r w:rsidR="00C665C5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, ora 10: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00,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mori në shqyrtim në seancë plenare publike, çështjen nr. 1 (F) 2021 të Regjistrit Themeltar, që u përket:</w:t>
      </w:r>
    </w:p>
    <w:p w:rsidR="0015666A" w:rsidRPr="000B4179" w:rsidRDefault="0015666A" w:rsidP="0015666A">
      <w:pPr>
        <w:tabs>
          <w:tab w:val="left" w:pos="851"/>
          <w:tab w:val="left" w:pos="1080"/>
        </w:tabs>
        <w:spacing w:after="0" w:line="360" w:lineRule="auto"/>
        <w:ind w:left="3402" w:firstLine="72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</w:p>
    <w:p w:rsidR="0015666A" w:rsidRPr="000B4179" w:rsidRDefault="0015666A" w:rsidP="0015666A">
      <w:pPr>
        <w:tabs>
          <w:tab w:val="left" w:pos="1080"/>
          <w:tab w:val="left" w:pos="2880"/>
        </w:tabs>
        <w:spacing w:after="0" w:line="360" w:lineRule="auto"/>
        <w:ind w:left="2790" w:hanging="207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0B4179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KËRKUES:</w:t>
      </w:r>
      <w:r w:rsidRPr="000B4179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ab/>
        <w:t>FATOS TUSHE</w:t>
      </w:r>
      <w:r w:rsidR="00D15ED6" w:rsidRPr="000B4179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 xml:space="preserve">, </w:t>
      </w:r>
      <w:r w:rsidR="00D15ED6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përfaqësuar me prokurë nga avokatët Ardian Visha dhe Antoneta Sevdari</w:t>
      </w:r>
      <w:r w:rsidR="00030DB3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:rsidR="0015666A" w:rsidRPr="000B4179" w:rsidRDefault="0015666A" w:rsidP="0015666A">
      <w:pPr>
        <w:tabs>
          <w:tab w:val="left" w:pos="851"/>
          <w:tab w:val="left" w:pos="1080"/>
        </w:tabs>
        <w:spacing w:after="0" w:line="360" w:lineRule="auto"/>
        <w:ind w:left="3402" w:firstLine="72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</w:p>
    <w:p w:rsidR="0015666A" w:rsidRPr="000B4179" w:rsidRDefault="0015666A" w:rsidP="0015666A">
      <w:pPr>
        <w:tabs>
          <w:tab w:val="left" w:pos="108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0B4179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SUBJEKT I INTERESUAR:</w:t>
      </w:r>
    </w:p>
    <w:p w:rsidR="0015666A" w:rsidRPr="000B4179" w:rsidRDefault="0015666A" w:rsidP="0015666A">
      <w:pPr>
        <w:spacing w:after="0" w:line="360" w:lineRule="auto"/>
        <w:ind w:left="2880"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0B4179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 xml:space="preserve">KËSHILLI I MINISTRAVE TË REPUBLIKËS SË SHQIPËRISË, </w:t>
      </w:r>
      <w:r w:rsidR="004A32C9" w:rsidRPr="000B4179">
        <w:rPr>
          <w:rFonts w:ascii="Times New Roman" w:hAnsi="Times New Roman"/>
          <w:noProof/>
          <w:sz w:val="24"/>
          <w:szCs w:val="24"/>
          <w:lang w:val="sq-AL"/>
        </w:rPr>
        <w:t>përfaqësuar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me autorizim</w:t>
      </w:r>
      <w:r w:rsidR="00155C18"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nga Embro Ahmetaj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. </w:t>
      </w:r>
    </w:p>
    <w:p w:rsidR="0015666A" w:rsidRPr="000B4179" w:rsidRDefault="0015666A" w:rsidP="0015666A">
      <w:pPr>
        <w:tabs>
          <w:tab w:val="left" w:pos="851"/>
          <w:tab w:val="left" w:pos="10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</w:p>
    <w:p w:rsidR="0015666A" w:rsidRPr="000B4179" w:rsidRDefault="0015666A" w:rsidP="0015666A">
      <w:pPr>
        <w:tabs>
          <w:tab w:val="left" w:pos="1080"/>
        </w:tabs>
        <w:suppressAutoHyphens/>
        <w:spacing w:after="0" w:line="360" w:lineRule="auto"/>
        <w:ind w:left="2880" w:hanging="2160"/>
        <w:contextualSpacing/>
        <w:jc w:val="both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/>
          <w:noProof/>
          <w:sz w:val="24"/>
          <w:szCs w:val="24"/>
          <w:lang w:val="sq-AL" w:eastAsia="fr-FR"/>
        </w:rPr>
        <w:t>OBJEKTI:</w:t>
      </w:r>
      <w:r w:rsidRPr="000B4179">
        <w:rPr>
          <w:rFonts w:ascii="Times New Roman" w:hAnsi="Times New Roman" w:cs="Times New Roman"/>
          <w:b/>
          <w:noProof/>
          <w:sz w:val="24"/>
          <w:szCs w:val="24"/>
          <w:lang w:val="sq-AL" w:eastAsia="fr-FR"/>
        </w:rPr>
        <w:tab/>
        <w:t>Shfuqizimi i vendimit nr. 407, datë 06.07.2021 të Këshillit të Ministrave “Për shkarkimin nga detyra të kryetarit të bashkisë</w:t>
      </w:r>
      <w:r w:rsidR="00C665C5" w:rsidRPr="000B4179">
        <w:rPr>
          <w:rFonts w:ascii="Times New Roman" w:hAnsi="Times New Roman" w:cs="Times New Roman"/>
          <w:b/>
          <w:noProof/>
          <w:sz w:val="24"/>
          <w:szCs w:val="24"/>
          <w:lang w:val="sq-AL" w:eastAsia="fr-FR"/>
        </w:rPr>
        <w:t xml:space="preserve"> Lushnjë, z. Fatos Tushe”, si i</w:t>
      </w:r>
      <w:r w:rsidRPr="000B4179">
        <w:rPr>
          <w:rFonts w:ascii="Times New Roman" w:hAnsi="Times New Roman" w:cs="Times New Roman"/>
          <w:b/>
          <w:noProof/>
          <w:sz w:val="24"/>
          <w:szCs w:val="24"/>
          <w:lang w:val="sq-AL" w:eastAsia="fr-FR"/>
        </w:rPr>
        <w:t xml:space="preserve"> papajtueshëm me Kushtetutën e Republikës së Shqipërisë.</w:t>
      </w:r>
    </w:p>
    <w:p w:rsidR="0015666A" w:rsidRPr="000B4179" w:rsidRDefault="0015666A" w:rsidP="0015666A">
      <w:pPr>
        <w:tabs>
          <w:tab w:val="left" w:pos="851"/>
          <w:tab w:val="left" w:pos="1080"/>
        </w:tabs>
        <w:suppressAutoHyphens/>
        <w:spacing w:after="0" w:line="360" w:lineRule="auto"/>
        <w:ind w:left="3402" w:firstLine="720"/>
        <w:contextualSpacing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  <w:lang w:val="sq-AL" w:eastAsia="fr-FR"/>
        </w:rPr>
      </w:pPr>
      <w:r w:rsidRPr="000B4179">
        <w:rPr>
          <w:rFonts w:ascii="Times New Roman" w:hAnsi="Times New Roman" w:cs="Times New Roman"/>
          <w:b/>
          <w:noProof/>
          <w:sz w:val="24"/>
          <w:szCs w:val="24"/>
          <w:lang w:val="sq-AL" w:eastAsia="fr-FR"/>
        </w:rPr>
        <w:tab/>
      </w:r>
    </w:p>
    <w:p w:rsidR="0015666A" w:rsidRPr="000B4179" w:rsidRDefault="0015666A" w:rsidP="0015666A">
      <w:pPr>
        <w:tabs>
          <w:tab w:val="left" w:pos="1080"/>
        </w:tabs>
        <w:spacing w:after="0" w:line="360" w:lineRule="auto"/>
        <w:ind w:left="2880" w:hanging="21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0B4179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BAZA LIGJORE:</w:t>
      </w:r>
      <w:r w:rsidRPr="000B4179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ab/>
      </w:r>
      <w:r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Nenet 3, 4, 5, 13, 17, 30, 33, 42, 115, 131, pika 1, shkronja “c” dhe 134, pika 1, shkronja “i”</w:t>
      </w:r>
      <w:r w:rsidR="00B9736D"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,</w:t>
      </w:r>
      <w:r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të Kushtetutës së Republikës së S</w:t>
      </w:r>
      <w:r w:rsidR="006845C5"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hqipërisë; nenet 6 dhe</w:t>
      </w:r>
      <w:r w:rsidR="00C665C5"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14 </w:t>
      </w:r>
      <w:r w:rsidR="006845C5"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të Konventës Evropiane për të Drejtat e Njeriut </w:t>
      </w:r>
      <w:r w:rsidR="006845C5" w:rsidRPr="000B4179">
        <w:rPr>
          <w:rFonts w:ascii="Times New Roman" w:eastAsia="Times New Roman" w:hAnsi="Times New Roman" w:cs="Times New Roman"/>
          <w:i/>
          <w:noProof/>
          <w:sz w:val="24"/>
          <w:szCs w:val="24"/>
          <w:lang w:val="sq-AL"/>
        </w:rPr>
        <w:t xml:space="preserve">(KEDNJ), </w:t>
      </w:r>
      <w:r w:rsidR="006845C5"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si</w:t>
      </w:r>
      <w:r w:rsidR="006845C5" w:rsidRPr="000B4179">
        <w:rPr>
          <w:rFonts w:ascii="Times New Roman" w:eastAsia="Times New Roman" w:hAnsi="Times New Roman" w:cs="Times New Roman"/>
          <w:i/>
          <w:noProof/>
          <w:sz w:val="24"/>
          <w:szCs w:val="24"/>
          <w:lang w:val="sq-AL"/>
        </w:rPr>
        <w:t xml:space="preserve"> </w:t>
      </w:r>
      <w:r w:rsidR="00C665C5"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dhe</w:t>
      </w:r>
      <w:r w:rsidR="006845C5"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neni</w:t>
      </w:r>
      <w:r w:rsidR="00C665C5"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6845C5"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1 i</w:t>
      </w:r>
      <w:r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Protokollit nr. 12</w:t>
      </w:r>
      <w:r w:rsidR="006845C5"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të KEDNJ-së</w:t>
      </w:r>
      <w:r w:rsidRPr="000B4179">
        <w:rPr>
          <w:rFonts w:ascii="Times New Roman" w:eastAsia="Times New Roman" w:hAnsi="Times New Roman" w:cs="Times New Roman"/>
          <w:i/>
          <w:noProof/>
          <w:sz w:val="24"/>
          <w:szCs w:val="24"/>
          <w:lang w:val="sq-AL"/>
        </w:rPr>
        <w:t xml:space="preserve">; </w:t>
      </w:r>
      <w:r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Karta Evropiane e Autonomisë Vendore; ligji nr. 139/2015, datë 17.12.2015 “Për vetëqeverisjen vendore”; ligji nr. 8577, datë 10.02.2000 “Për organizimin dhe funksionimin e Gjykatës Kushtetuese </w:t>
      </w:r>
      <w:r w:rsidR="00C665C5"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të Republikës së Shqipërisë”, i</w:t>
      </w:r>
      <w:r w:rsidRPr="000B4179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ndryshuar </w:t>
      </w:r>
      <w:r w:rsidRPr="000B4179">
        <w:rPr>
          <w:rFonts w:ascii="Times New Roman" w:eastAsia="Times New Roman" w:hAnsi="Times New Roman" w:cs="Times New Roman"/>
          <w:i/>
          <w:noProof/>
          <w:sz w:val="24"/>
          <w:szCs w:val="24"/>
          <w:lang w:val="sq-AL"/>
        </w:rPr>
        <w:t>(ligji nr. 8577/2000).</w:t>
      </w:r>
    </w:p>
    <w:p w:rsidR="0015666A" w:rsidRPr="000B4179" w:rsidRDefault="0015666A" w:rsidP="0015666A">
      <w:pPr>
        <w:shd w:val="clear" w:color="auto" w:fill="FFFFFF" w:themeFill="background1"/>
        <w:tabs>
          <w:tab w:val="left" w:pos="288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</w:pPr>
    </w:p>
    <w:p w:rsidR="0015666A" w:rsidRPr="000B4179" w:rsidRDefault="0015666A" w:rsidP="0015666A">
      <w:pPr>
        <w:shd w:val="clear" w:color="auto" w:fill="FFFFFF" w:themeFill="background1"/>
        <w:tabs>
          <w:tab w:val="left" w:pos="288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  <w:t>GJYKATA KUSHTETUESE,</w:t>
      </w:r>
    </w:p>
    <w:p w:rsidR="0015666A" w:rsidRPr="000B4179" w:rsidRDefault="0015666A" w:rsidP="0015666A">
      <w:pPr>
        <w:shd w:val="clear" w:color="auto" w:fill="FFFFFF" w:themeFill="background1"/>
        <w:tabs>
          <w:tab w:val="left" w:pos="108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pasi dëgjoi relatoren e çështjes Fiona Papajorgji, shqyrtoi </w:t>
      </w:r>
      <w:r w:rsidR="008B093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k</w:t>
      </w:r>
      <w:r w:rsidR="00030DB3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8B093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rkes</w:t>
      </w:r>
      <w:r w:rsidR="00030DB3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8B093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 p</w:t>
      </w:r>
      <w:r w:rsidR="00030DB3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8B093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r heqjen dor</w:t>
      </w:r>
      <w:r w:rsidR="00030DB3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8B093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nga shqyrtimi i ç</w:t>
      </w:r>
      <w:r w:rsidR="00030DB3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8B093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shtjes</w:t>
      </w:r>
      <w:r w:rsidR="00C665C5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s</w:t>
      </w:r>
      <w:r w:rsidR="00030DB3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4B7C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paraqitur nga </w:t>
      </w:r>
      <w:r w:rsidR="00BD682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kërkuesi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Fatos Tushe</w:t>
      </w:r>
      <w:r w:rsidRPr="000B4179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p</w:t>
      </w:r>
      <w:r w:rsidR="00BD682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rap</w:t>
      </w:r>
      <w:r w:rsidR="00CB2537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BD682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simet e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subjektit të interesuar, Këshillit të Ministrave</w:t>
      </w:r>
      <w:r w:rsidR="004B7CBC" w:rsidRPr="000B4179">
        <w:rPr>
          <w:rFonts w:ascii="Times New Roman" w:hAnsi="Times New Roman" w:cs="Times New Roman"/>
          <w:i/>
          <w:noProof/>
          <w:sz w:val="24"/>
          <w:szCs w:val="24"/>
          <w:lang w:val="sq-AL"/>
        </w:rPr>
        <w:t xml:space="preserve">, 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si dhe diskutoi çështjen në tërësi,</w:t>
      </w:r>
    </w:p>
    <w:p w:rsidR="0015666A" w:rsidRPr="000B4179" w:rsidRDefault="0015666A" w:rsidP="0015666A">
      <w:pPr>
        <w:shd w:val="clear" w:color="auto" w:fill="FFFFFF" w:themeFill="background1"/>
        <w:tabs>
          <w:tab w:val="left" w:pos="108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:rsidR="0015666A" w:rsidRPr="000B4179" w:rsidRDefault="0015666A" w:rsidP="0015666A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/>
          <w:b/>
          <w:bCs/>
          <w:noProof/>
          <w:sz w:val="24"/>
          <w:szCs w:val="24"/>
          <w:lang w:val="sq-AL"/>
        </w:rPr>
      </w:pPr>
      <w:r w:rsidRPr="000B4179">
        <w:rPr>
          <w:rFonts w:ascii="Times New Roman" w:hAnsi="Times New Roman"/>
          <w:b/>
          <w:bCs/>
          <w:noProof/>
          <w:sz w:val="24"/>
          <w:szCs w:val="24"/>
          <w:lang w:val="sq-AL"/>
        </w:rPr>
        <w:t>V Ë R E N:</w:t>
      </w:r>
    </w:p>
    <w:p w:rsidR="0015666A" w:rsidRPr="000B4179" w:rsidRDefault="0015666A" w:rsidP="0015666A">
      <w:pPr>
        <w:shd w:val="clear" w:color="auto" w:fill="FFFFFF" w:themeFill="background1"/>
        <w:tabs>
          <w:tab w:val="left" w:pos="851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noProof/>
          <w:sz w:val="24"/>
          <w:szCs w:val="24"/>
          <w:lang w:val="sq-AL"/>
        </w:rPr>
      </w:pPr>
      <w:r w:rsidRPr="000B4179">
        <w:rPr>
          <w:rFonts w:ascii="Times New Roman" w:hAnsi="Times New Roman"/>
          <w:b/>
          <w:bCs/>
          <w:noProof/>
          <w:sz w:val="24"/>
          <w:szCs w:val="24"/>
          <w:lang w:val="sq-AL"/>
        </w:rPr>
        <w:t>I</w:t>
      </w:r>
    </w:p>
    <w:p w:rsidR="0015666A" w:rsidRPr="000B4179" w:rsidRDefault="0015666A" w:rsidP="0015666A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0B4179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Rrethanat e çështjes</w:t>
      </w:r>
    </w:p>
    <w:p w:rsidR="0015666A" w:rsidRPr="000B4179" w:rsidRDefault="0015666A" w:rsidP="004B7CBC">
      <w:pPr>
        <w:numPr>
          <w:ilvl w:val="1"/>
          <w:numId w:val="1"/>
        </w:numPr>
        <w:tabs>
          <w:tab w:val="clear" w:pos="1440"/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0B4179">
        <w:rPr>
          <w:rFonts w:ascii="Times New Roman" w:hAnsi="Times New Roman"/>
          <w:noProof/>
          <w:sz w:val="24"/>
          <w:szCs w:val="24"/>
          <w:lang w:val="sq-AL"/>
        </w:rPr>
        <w:t>Kërkuesi Fatos Tushe është zgjedhur kryetar i bashkisë Lushnjë në zgjedhjet e zhvilluara në datën 30.06.2019 për njësitë e qeverisjes vendore.</w:t>
      </w:r>
    </w:p>
    <w:p w:rsidR="0015666A" w:rsidRPr="000B4179" w:rsidRDefault="0015666A" w:rsidP="004B7CBC">
      <w:pPr>
        <w:numPr>
          <w:ilvl w:val="1"/>
          <w:numId w:val="1"/>
        </w:numPr>
        <w:tabs>
          <w:tab w:val="clear" w:pos="1440"/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Prokuroria e Posaçme kundër Korrupsionit dhe Krimit të Organizuar </w:t>
      </w:r>
      <w:r w:rsidRPr="000B4179">
        <w:rPr>
          <w:rFonts w:ascii="Times New Roman" w:hAnsi="Times New Roman"/>
          <w:i/>
          <w:noProof/>
          <w:sz w:val="24"/>
          <w:szCs w:val="24"/>
          <w:lang w:val="sq-AL"/>
        </w:rPr>
        <w:t>(SPAK)</w:t>
      </w:r>
      <w:r w:rsidR="00B9736D" w:rsidRPr="000B4179">
        <w:rPr>
          <w:rFonts w:ascii="Times New Roman" w:hAnsi="Times New Roman"/>
          <w:i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në kuadër të procedimit penal nr. 199</w:t>
      </w:r>
      <w:r w:rsidR="00B9736D" w:rsidRPr="000B4179">
        <w:rPr>
          <w:rFonts w:ascii="Times New Roman" w:hAnsi="Times New Roman"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ka vijuar hetimet </w:t>
      </w:r>
      <w:r w:rsidR="004A32C9"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në ngarkim të kërkuesit 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>për veprën penale “Shpërdorimi i detyrës</w:t>
      </w:r>
      <w:r w:rsidR="00C665C5" w:rsidRPr="000B4179">
        <w:rPr>
          <w:rFonts w:ascii="Times New Roman" w:hAnsi="Times New Roman"/>
          <w:noProof/>
          <w:sz w:val="24"/>
          <w:szCs w:val="24"/>
          <w:lang w:val="sq-AL"/>
        </w:rPr>
        <w:t>”, kryer në bashkëpunim, të parashikuar nga nenet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248 dhe 25 të Kodit Penal </w:t>
      </w:r>
      <w:r w:rsidRPr="000B4179">
        <w:rPr>
          <w:rFonts w:ascii="Times New Roman" w:hAnsi="Times New Roman"/>
          <w:i/>
          <w:noProof/>
          <w:sz w:val="24"/>
          <w:szCs w:val="24"/>
          <w:lang w:val="sq-AL"/>
        </w:rPr>
        <w:t>(KP)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. </w:t>
      </w:r>
    </w:p>
    <w:p w:rsidR="0015666A" w:rsidRPr="000B4179" w:rsidRDefault="00C665C5" w:rsidP="004B7CBC">
      <w:pPr>
        <w:numPr>
          <w:ilvl w:val="1"/>
          <w:numId w:val="1"/>
        </w:numPr>
        <w:tabs>
          <w:tab w:val="clear" w:pos="1440"/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0B4179">
        <w:rPr>
          <w:rFonts w:ascii="Times New Roman" w:hAnsi="Times New Roman"/>
          <w:noProof/>
          <w:sz w:val="24"/>
          <w:szCs w:val="24"/>
          <w:lang w:val="sq-AL"/>
        </w:rPr>
        <w:t>Me vendimin</w:t>
      </w:r>
      <w:r w:rsidR="0015666A"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nr. 50, datë 05.07.2021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>,</w:t>
      </w:r>
      <w:r w:rsidR="0015666A"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Gjykata e Posaçme e Shkallës së Parë për Korrupsionin dhe Krimin e Organizuar ka caktuar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>,</w:t>
      </w:r>
      <w:r w:rsidR="0015666A"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mes të tjerash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>,</w:t>
      </w:r>
      <w:r w:rsidR="0015666A"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edhe masën e sigurimit </w:t>
      </w:r>
      <w:r w:rsidR="00346C1B" w:rsidRPr="000B4179">
        <w:rPr>
          <w:rFonts w:ascii="Times New Roman" w:hAnsi="Times New Roman"/>
          <w:noProof/>
          <w:sz w:val="24"/>
          <w:szCs w:val="24"/>
          <w:lang w:val="sq-AL"/>
        </w:rPr>
        <w:t>“A</w:t>
      </w:r>
      <w:r w:rsidR="0015666A" w:rsidRPr="000B4179">
        <w:rPr>
          <w:rFonts w:ascii="Times New Roman" w:hAnsi="Times New Roman"/>
          <w:noProof/>
          <w:sz w:val="24"/>
          <w:szCs w:val="24"/>
          <w:lang w:val="sq-AL"/>
        </w:rPr>
        <w:t>rrest në burg</w:t>
      </w:r>
      <w:r w:rsidR="00346C1B" w:rsidRPr="000B4179">
        <w:rPr>
          <w:rFonts w:ascii="Times New Roman" w:hAnsi="Times New Roman"/>
          <w:noProof/>
          <w:sz w:val="24"/>
          <w:szCs w:val="24"/>
          <w:lang w:val="sq-AL"/>
        </w:rPr>
        <w:t>”</w:t>
      </w:r>
      <w:r w:rsidR="0015666A"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për kërkuesi</w:t>
      </w:r>
      <w:r w:rsidR="00B9736D" w:rsidRPr="000B4179">
        <w:rPr>
          <w:rFonts w:ascii="Times New Roman" w:hAnsi="Times New Roman"/>
          <w:noProof/>
          <w:sz w:val="24"/>
          <w:szCs w:val="24"/>
          <w:lang w:val="sq-AL"/>
        </w:rPr>
        <w:t>n, e cila është ekzekutuar nga Policia G</w:t>
      </w:r>
      <w:r w:rsidR="0015666A"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jyqësore në datën 06.07.2021.  </w:t>
      </w:r>
    </w:p>
    <w:p w:rsidR="0015666A" w:rsidRPr="000B4179" w:rsidRDefault="0015666A" w:rsidP="004B7CBC">
      <w:pPr>
        <w:numPr>
          <w:ilvl w:val="1"/>
          <w:numId w:val="1"/>
        </w:numPr>
        <w:tabs>
          <w:tab w:val="clear" w:pos="1440"/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0B4179">
        <w:rPr>
          <w:rFonts w:ascii="Times New Roman" w:hAnsi="Times New Roman"/>
          <w:noProof/>
          <w:sz w:val="24"/>
          <w:szCs w:val="24"/>
          <w:lang w:val="sq-AL"/>
        </w:rPr>
        <w:t>Këshilli i Ministrave, me propozimin e m</w:t>
      </w:r>
      <w:r w:rsidR="000460C0" w:rsidRPr="000B4179">
        <w:rPr>
          <w:rFonts w:ascii="Times New Roman" w:hAnsi="Times New Roman"/>
          <w:noProof/>
          <w:sz w:val="24"/>
          <w:szCs w:val="24"/>
          <w:lang w:val="sq-AL"/>
        </w:rPr>
        <w:t>inistrit të Brendshëm</w:t>
      </w:r>
      <w:r w:rsidR="00C665C5" w:rsidRPr="000B4179">
        <w:rPr>
          <w:rFonts w:ascii="Times New Roman" w:hAnsi="Times New Roman"/>
          <w:noProof/>
          <w:sz w:val="24"/>
          <w:szCs w:val="24"/>
          <w:lang w:val="sq-AL"/>
        </w:rPr>
        <w:t>,</w:t>
      </w:r>
      <w:r w:rsidR="000460C0"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n</w:t>
      </w:r>
      <w:r w:rsidR="00030DB3" w:rsidRPr="000B4179">
        <w:rPr>
          <w:rFonts w:ascii="Times New Roman" w:hAnsi="Times New Roman"/>
          <w:noProof/>
          <w:sz w:val="24"/>
          <w:szCs w:val="24"/>
          <w:lang w:val="sq-AL"/>
        </w:rPr>
        <w:t>ë</w:t>
      </w:r>
      <w:r w:rsidR="000460C0"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dat</w:t>
      </w:r>
      <w:r w:rsidR="00030DB3" w:rsidRPr="000B4179">
        <w:rPr>
          <w:rFonts w:ascii="Times New Roman" w:hAnsi="Times New Roman"/>
          <w:noProof/>
          <w:sz w:val="24"/>
          <w:szCs w:val="24"/>
          <w:lang w:val="sq-AL"/>
        </w:rPr>
        <w:t>ë</w:t>
      </w:r>
      <w:r w:rsidR="000460C0" w:rsidRPr="000B4179">
        <w:rPr>
          <w:rFonts w:ascii="Times New Roman" w:hAnsi="Times New Roman"/>
          <w:noProof/>
          <w:sz w:val="24"/>
          <w:szCs w:val="24"/>
          <w:lang w:val="sq-AL"/>
        </w:rPr>
        <w:t>n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</w:t>
      </w:r>
      <w:r w:rsidR="000460C0"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06.07.2021 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ka marrë </w:t>
      </w:r>
      <w:r w:rsidR="000460C0"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vendimin nr. 407 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</w:t>
      </w:r>
      <w:r w:rsidRPr="000B4179">
        <w:rPr>
          <w:rFonts w:ascii="Times New Roman" w:hAnsi="Times New Roman"/>
          <w:i/>
          <w:noProof/>
          <w:sz w:val="24"/>
          <w:szCs w:val="24"/>
          <w:lang w:val="sq-AL"/>
        </w:rPr>
        <w:t>(vendimi nr. 407/2021)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“Për shkarkimin nga detyra të kryetarit të bashkisë Lushnjë, z. Fatos Tushe”, me motivacionin </w:t>
      </w:r>
      <w:r w:rsidRPr="000B4179">
        <w:rPr>
          <w:rFonts w:ascii="Times New Roman" w:hAnsi="Times New Roman"/>
          <w:i/>
          <w:noProof/>
          <w:sz w:val="24"/>
          <w:szCs w:val="24"/>
          <w:lang w:val="sq-AL"/>
        </w:rPr>
        <w:t xml:space="preserve">“për shkak të shkeljeve të rënda”. 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>Vendimi ka hyrë në fuqi menjëherë dhe është bot</w:t>
      </w:r>
      <w:r w:rsidR="00C665C5" w:rsidRPr="000B4179">
        <w:rPr>
          <w:rFonts w:ascii="Times New Roman" w:hAnsi="Times New Roman"/>
          <w:noProof/>
          <w:sz w:val="24"/>
          <w:szCs w:val="24"/>
          <w:lang w:val="sq-AL"/>
        </w:rPr>
        <w:t>uar në Fletoren Zyrtare nr. 108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</w:t>
      </w:r>
      <w:r w:rsidR="001F4ECC" w:rsidRPr="000B4179">
        <w:rPr>
          <w:rFonts w:ascii="Times New Roman" w:hAnsi="Times New Roman"/>
          <w:noProof/>
          <w:sz w:val="24"/>
          <w:szCs w:val="24"/>
          <w:lang w:val="sq-AL"/>
        </w:rPr>
        <w:t>t</w:t>
      </w:r>
      <w:r w:rsidR="00030DB3" w:rsidRPr="000B4179">
        <w:rPr>
          <w:rFonts w:ascii="Times New Roman" w:hAnsi="Times New Roman"/>
          <w:noProof/>
          <w:sz w:val="24"/>
          <w:szCs w:val="24"/>
          <w:lang w:val="sq-AL"/>
        </w:rPr>
        <w:t>ë</w:t>
      </w:r>
      <w:r w:rsidR="001F4ECC" w:rsidRPr="000B4179">
        <w:rPr>
          <w:rFonts w:ascii="Times New Roman" w:hAnsi="Times New Roman"/>
          <w:noProof/>
          <w:sz w:val="24"/>
          <w:szCs w:val="24"/>
          <w:lang w:val="sq-AL"/>
        </w:rPr>
        <w:t xml:space="preserve"> 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>datë</w:t>
      </w:r>
      <w:r w:rsidR="001F4ECC" w:rsidRPr="000B4179">
        <w:rPr>
          <w:rFonts w:ascii="Times New Roman" w:hAnsi="Times New Roman"/>
          <w:bCs/>
          <w:noProof/>
          <w:sz w:val="24"/>
          <w:szCs w:val="24"/>
          <w:lang w:val="sq-AL"/>
        </w:rPr>
        <w:t xml:space="preserve">s </w:t>
      </w:r>
      <w:r w:rsidRPr="000B4179">
        <w:rPr>
          <w:rFonts w:ascii="Times New Roman" w:hAnsi="Times New Roman"/>
          <w:bCs/>
          <w:noProof/>
          <w:sz w:val="24"/>
          <w:szCs w:val="24"/>
          <w:lang w:val="sq-AL"/>
        </w:rPr>
        <w:t>07.07.2021.</w:t>
      </w:r>
    </w:p>
    <w:p w:rsidR="0015666A" w:rsidRPr="000B4179" w:rsidRDefault="0015666A" w:rsidP="004B7CBC">
      <w:pPr>
        <w:numPr>
          <w:ilvl w:val="1"/>
          <w:numId w:val="1"/>
        </w:numPr>
        <w:tabs>
          <w:tab w:val="clear" w:pos="1440"/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0B4179">
        <w:rPr>
          <w:rFonts w:ascii="Times New Roman" w:hAnsi="Times New Roman"/>
          <w:bCs/>
          <w:noProof/>
          <w:sz w:val="24"/>
          <w:szCs w:val="24"/>
          <w:lang w:val="sq-AL"/>
        </w:rPr>
        <w:t>Kërkuesi, i përfaqësuar nga avokatët e zgjedhur prej tij, në datën 05.08.2021</w:t>
      </w:r>
      <w:r w:rsidR="00C665C5" w:rsidRPr="000B4179">
        <w:rPr>
          <w:rFonts w:ascii="Times New Roman" w:hAnsi="Times New Roman"/>
          <w:bCs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/>
          <w:bCs/>
          <w:noProof/>
          <w:sz w:val="24"/>
          <w:szCs w:val="24"/>
          <w:lang w:val="sq-AL"/>
        </w:rPr>
        <w:t xml:space="preserve"> nëpërmjet shërbimit postar</w:t>
      </w:r>
      <w:r w:rsidR="00C665C5" w:rsidRPr="000B4179">
        <w:rPr>
          <w:rFonts w:ascii="Times New Roman" w:hAnsi="Times New Roman"/>
          <w:bCs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/>
          <w:bCs/>
          <w:noProof/>
          <w:sz w:val="24"/>
          <w:szCs w:val="24"/>
          <w:lang w:val="sq-AL"/>
        </w:rPr>
        <w:t xml:space="preserve"> ka paraqitur ankim në Gjykatën Kushtetuese </w:t>
      </w:r>
      <w:r w:rsidRPr="000B4179">
        <w:rPr>
          <w:rFonts w:ascii="Times New Roman" w:hAnsi="Times New Roman"/>
          <w:bCs/>
          <w:i/>
          <w:noProof/>
          <w:sz w:val="24"/>
          <w:szCs w:val="24"/>
          <w:lang w:val="sq-AL"/>
        </w:rPr>
        <w:t>(Gjykata)</w:t>
      </w:r>
      <w:r w:rsidRPr="000B4179">
        <w:rPr>
          <w:rFonts w:ascii="Times New Roman" w:hAnsi="Times New Roman"/>
          <w:bCs/>
          <w:noProof/>
          <w:sz w:val="24"/>
          <w:szCs w:val="24"/>
          <w:lang w:val="sq-AL"/>
        </w:rPr>
        <w:t xml:space="preserve"> me objekt shfuqizimin e vendimit nr. 407/2021, si të papajtueshëm me Kushtetutën.</w:t>
      </w:r>
    </w:p>
    <w:p w:rsidR="0015666A" w:rsidRPr="000B4179" w:rsidRDefault="0015666A" w:rsidP="004B7CBC">
      <w:pPr>
        <w:numPr>
          <w:ilvl w:val="1"/>
          <w:numId w:val="1"/>
        </w:numPr>
        <w:tabs>
          <w:tab w:val="clear" w:pos="1440"/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0B4179">
        <w:rPr>
          <w:rFonts w:ascii="Times New Roman" w:hAnsi="Times New Roman"/>
          <w:bCs/>
          <w:noProof/>
          <w:sz w:val="24"/>
          <w:szCs w:val="24"/>
          <w:lang w:val="sq-AL"/>
        </w:rPr>
        <w:t>Kolegji i Gjykatës në datën 19.10.2021 ka vendosur kalimin e çështjes për shqyrtim në seancë plenare publike.</w:t>
      </w:r>
    </w:p>
    <w:p w:rsidR="0015666A" w:rsidRPr="000B4179" w:rsidRDefault="0015666A" w:rsidP="0015666A">
      <w:pPr>
        <w:shd w:val="clear" w:color="auto" w:fill="FFFFFF" w:themeFill="background1"/>
        <w:tabs>
          <w:tab w:val="left" w:pos="85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</w:p>
    <w:p w:rsidR="0015666A" w:rsidRPr="000B4179" w:rsidRDefault="0015666A" w:rsidP="0015666A">
      <w:pPr>
        <w:shd w:val="clear" w:color="auto" w:fill="FFFFFF" w:themeFill="background1"/>
        <w:tabs>
          <w:tab w:val="left" w:pos="85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II</w:t>
      </w:r>
    </w:p>
    <w:p w:rsidR="0015666A" w:rsidRPr="000B4179" w:rsidRDefault="0015666A" w:rsidP="0015666A">
      <w:pPr>
        <w:shd w:val="clear" w:color="auto" w:fill="FFFFFF" w:themeFill="background1"/>
        <w:tabs>
          <w:tab w:val="left" w:pos="851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0B4179">
        <w:rPr>
          <w:rFonts w:ascii="Times New Roman" w:eastAsia="MS Mincho" w:hAnsi="Times New Roman" w:cs="Times New Roman"/>
          <w:b/>
          <w:noProof/>
          <w:sz w:val="24"/>
          <w:szCs w:val="24"/>
          <w:lang w:val="sq-AL"/>
        </w:rPr>
        <w:t>Pretendimet në Gjykatën Kushtetuese</w:t>
      </w:r>
    </w:p>
    <w:p w:rsidR="0015666A" w:rsidRPr="000B4179" w:rsidRDefault="0015666A" w:rsidP="0015666A">
      <w:pPr>
        <w:numPr>
          <w:ilvl w:val="0"/>
          <w:numId w:val="9"/>
        </w:numPr>
        <w:tabs>
          <w:tab w:val="left" w:pos="1080"/>
        </w:tabs>
        <w:spacing w:after="0" w:line="360" w:lineRule="auto"/>
        <w:ind w:hanging="795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/>
          <w:i/>
          <w:noProof/>
          <w:sz w:val="24"/>
          <w:szCs w:val="24"/>
          <w:lang w:val="sq-AL"/>
        </w:rPr>
        <w:t>Kërkuesi</w:t>
      </w:r>
      <w:r w:rsidR="00C665C5" w:rsidRPr="000B4179">
        <w:rPr>
          <w:rFonts w:ascii="Times New Roman" w:hAnsi="Times New Roman" w:cs="Times New Roman"/>
          <w:b/>
          <w:i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b/>
          <w:i/>
          <w:noProof/>
          <w:sz w:val="24"/>
          <w:szCs w:val="24"/>
          <w:lang w:val="sq-AL"/>
        </w:rPr>
        <w:t xml:space="preserve"> 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në ankimin drejtuar Gjykatës</w:t>
      </w:r>
      <w:r w:rsidR="00C665C5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ka parashtruar në mënyrë të përmbledhur:</w:t>
      </w:r>
    </w:p>
    <w:p w:rsidR="0015666A" w:rsidRPr="000B4179" w:rsidRDefault="0015666A" w:rsidP="0015666A">
      <w:pPr>
        <w:numPr>
          <w:ilvl w:val="1"/>
          <w:numId w:val="9"/>
        </w:numPr>
        <w:tabs>
          <w:tab w:val="left" w:pos="1440"/>
        </w:tabs>
        <w:spacing w:after="0" w:line="360" w:lineRule="auto"/>
        <w:ind w:left="1440" w:hanging="540"/>
        <w:contextualSpacing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</w:t>
      </w:r>
      <w:r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>Pë</w:t>
      </w:r>
      <w:r w:rsidR="00346C1B"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>r legjitimimin ratione temporis</w:t>
      </w:r>
    </w:p>
    <w:p w:rsidR="0015666A" w:rsidRPr="000B4179" w:rsidRDefault="0015666A" w:rsidP="0015666A">
      <w:pPr>
        <w:numPr>
          <w:ilvl w:val="2"/>
          <w:numId w:val="9"/>
        </w:numPr>
        <w:tabs>
          <w:tab w:val="left" w:pos="1620"/>
        </w:tabs>
        <w:spacing w:after="0" w:line="360" w:lineRule="auto"/>
        <w:ind w:left="1620" w:hanging="540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Kërkesa është paraqitur brenda afatit 15</w:t>
      </w:r>
      <w:r w:rsidR="00346C1B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-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ditor</w:t>
      </w:r>
      <w:r w:rsidR="00346C1B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,</w:t>
      </w:r>
      <w:r w:rsidR="001F4ECC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t</w:t>
      </w:r>
      <w:r w:rsidR="00030DB3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ë</w:t>
      </w:r>
      <w:r w:rsidR="001F4ECC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parashikuar nga pika 2 e nenit 115 t</w:t>
      </w:r>
      <w:r w:rsidR="00030DB3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ë</w:t>
      </w:r>
      <w:r w:rsidR="001F4ECC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Kushtetut</w:t>
      </w:r>
      <w:r w:rsidR="00030DB3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ë</w:t>
      </w:r>
      <w:r w:rsidR="001F4ECC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s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, pasi për vendimin e shkarkimit nga detyra ka marrë dijeni në datën </w:t>
      </w:r>
      <w:r w:rsidRPr="000B4179">
        <w:rPr>
          <w:rFonts w:ascii="Times New Roman" w:hAnsi="Times New Roman"/>
          <w:noProof/>
          <w:sz w:val="24"/>
          <w:szCs w:val="24"/>
          <w:lang w:val="sq-AL"/>
        </w:rPr>
        <w:t>29.07.2021, pas komunikimit me avokatët e zgjedhur në Gjykatën e Posaçme të Apelit për Korrupsionin dhe Krimin e Organizuar, ku po shqyrtohej ankimi ndaj vendimit për caktimin e masës së sigurimit.</w:t>
      </w:r>
    </w:p>
    <w:p w:rsidR="0015666A" w:rsidRPr="000B4179" w:rsidRDefault="0015666A" w:rsidP="0015666A">
      <w:pPr>
        <w:numPr>
          <w:ilvl w:val="1"/>
          <w:numId w:val="9"/>
        </w:numPr>
        <w:tabs>
          <w:tab w:val="left" w:pos="1440"/>
        </w:tabs>
        <w:spacing w:after="0" w:line="360" w:lineRule="auto"/>
        <w:ind w:hanging="604"/>
        <w:contextualSpacing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 xml:space="preserve">Për themelin e kërkesës </w:t>
      </w:r>
    </w:p>
    <w:p w:rsidR="0015666A" w:rsidRPr="000B4179" w:rsidRDefault="0015666A" w:rsidP="0015666A">
      <w:pPr>
        <w:tabs>
          <w:tab w:val="left" w:pos="1080"/>
        </w:tabs>
        <w:spacing w:after="0" w:line="360" w:lineRule="auto"/>
        <w:ind w:left="1440"/>
        <w:contextualSpacing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>Vendimi nr. 407/2021 cenon të drejtën për një proces të rregullt ligjor, e garantuar nga neni 42 i Kushtetutës në aspektet e mëposhtme:</w:t>
      </w:r>
    </w:p>
    <w:p w:rsidR="0015666A" w:rsidRPr="000B4179" w:rsidRDefault="0015666A" w:rsidP="0015666A">
      <w:pPr>
        <w:tabs>
          <w:tab w:val="left" w:pos="1620"/>
        </w:tabs>
        <w:spacing w:after="0" w:line="360" w:lineRule="auto"/>
        <w:ind w:left="1620" w:hanging="540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7.2.1. </w:t>
      </w:r>
      <w:r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>E drejta për t’u njoftuar dhe dëgjuar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, pasi nuk i janë njoftuar të gjitha aktet administrative dhe nuk i është dhënë mundësia për t’u dëgjuar ose për t’u mbrojtur përpara marrjes së masës disiplinore të shkarkimit nga detyra.</w:t>
      </w:r>
    </w:p>
    <w:p w:rsidR="0015666A" w:rsidRPr="000B4179" w:rsidRDefault="0015666A" w:rsidP="0015666A">
      <w:pPr>
        <w:tabs>
          <w:tab w:val="left" w:pos="1620"/>
        </w:tabs>
        <w:spacing w:after="0" w:line="360" w:lineRule="auto"/>
        <w:ind w:left="1620" w:hanging="540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7.2.2. </w:t>
      </w:r>
      <w:r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>Standardi i arsyetimit të vendimit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, pasi nuk është respektuar procedura dhe forma për nxjerrjen e tij. Vendimit i mungon përshkrimi, arsyetimi, përcaktimi i mjeteve ligjore dhe afati për kundërshtimin e tij. </w:t>
      </w:r>
    </w:p>
    <w:p w:rsidR="0015666A" w:rsidRPr="000B4179" w:rsidRDefault="0015666A" w:rsidP="0015666A">
      <w:pPr>
        <w:tabs>
          <w:tab w:val="left" w:pos="1620"/>
        </w:tabs>
        <w:spacing w:after="0" w:line="360" w:lineRule="auto"/>
        <w:ind w:left="1620" w:hanging="540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7.2.3. </w:t>
      </w:r>
      <w:r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>Parimi i prezumimit të pafajësisë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, pasi nuk ka asnjë vendim gjykate të formës së prerë për dënimin penalisht të tij. Referuar edhe praktikës së Gjykatës Kushtetuese, shkarkimi nga detyra vetëm për faktin e fillimit të një procedimi penal dhe për shkaqe që lidhen vetëm me veprën penale, nuk përbën shkelje të rëndë të ligjit, në kuptim të pikës 1 të nenit 115 të Kushtetutës.</w:t>
      </w:r>
    </w:p>
    <w:p w:rsidR="0015666A" w:rsidRPr="000B4179" w:rsidRDefault="0015666A" w:rsidP="0015666A">
      <w:pPr>
        <w:numPr>
          <w:ilvl w:val="0"/>
          <w:numId w:val="8"/>
        </w:numPr>
        <w:tabs>
          <w:tab w:val="left" w:pos="1080"/>
        </w:tabs>
        <w:spacing w:after="0" w:line="360" w:lineRule="auto"/>
        <w:ind w:hanging="731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0B4179">
        <w:rPr>
          <w:rFonts w:ascii="Times New Roman" w:eastAsia="Times New Roman" w:hAnsi="Times New Roman" w:cs="Times New Roman"/>
          <w:b/>
          <w:i/>
          <w:noProof/>
          <w:kern w:val="28"/>
          <w:sz w:val="24"/>
          <w:szCs w:val="24"/>
          <w:lang w:val="sq-AL"/>
        </w:rPr>
        <w:t>Subjekti i interesuar, Këshilli i Ministrave</w:t>
      </w:r>
      <w:r w:rsidRPr="000B4179">
        <w:rPr>
          <w:rFonts w:ascii="Times New Roman" w:eastAsia="Times New Roman" w:hAnsi="Times New Roman" w:cs="Times New Roman"/>
          <w:noProof/>
          <w:kern w:val="28"/>
          <w:sz w:val="24"/>
          <w:szCs w:val="24"/>
          <w:lang w:val="sq-AL"/>
        </w:rPr>
        <w:t xml:space="preserve">, </w:t>
      </w:r>
      <w:r w:rsidRPr="000B4179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ka prapësuar duke argumentuar:</w:t>
      </w:r>
    </w:p>
    <w:p w:rsidR="0015666A" w:rsidRPr="000B4179" w:rsidRDefault="0015666A" w:rsidP="0015666A">
      <w:pPr>
        <w:numPr>
          <w:ilvl w:val="1"/>
          <w:numId w:val="8"/>
        </w:numPr>
        <w:tabs>
          <w:tab w:val="left" w:pos="1080"/>
        </w:tabs>
        <w:spacing w:after="0" w:line="360" w:lineRule="auto"/>
        <w:ind w:hanging="731"/>
        <w:contextualSpacing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>Pë</w:t>
      </w:r>
      <w:r w:rsidR="00346C1B"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>r legjitimimin ratione temporis</w:t>
      </w:r>
    </w:p>
    <w:p w:rsidR="0015666A" w:rsidRPr="000B4179" w:rsidRDefault="0015666A" w:rsidP="0015666A">
      <w:pPr>
        <w:numPr>
          <w:ilvl w:val="2"/>
          <w:numId w:val="8"/>
        </w:numPr>
        <w:tabs>
          <w:tab w:val="left" w:pos="1620"/>
        </w:tabs>
        <w:spacing w:after="0" w:line="360" w:lineRule="auto"/>
        <w:ind w:left="1620" w:hanging="540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0B4179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Vendimi nr. 407/2021 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i është dërguar me shkresën nr. 3315/1 prot., datë 07.07.2021 Ministrisë së Brendshme, bashkisë Lushnjë dhe Qendrës së Botimeve Zyrtare. Vendimi është botuar në Fletoren Zyrtare nr. 108, datë 07.07.2021. </w:t>
      </w:r>
    </w:p>
    <w:p w:rsidR="0015666A" w:rsidRPr="000B4179" w:rsidRDefault="0015666A" w:rsidP="0015666A">
      <w:pPr>
        <w:numPr>
          <w:ilvl w:val="1"/>
          <w:numId w:val="8"/>
        </w:numPr>
        <w:tabs>
          <w:tab w:val="left" w:pos="1080"/>
        </w:tabs>
        <w:spacing w:after="0" w:line="360" w:lineRule="auto"/>
        <w:ind w:left="1080" w:hanging="371"/>
        <w:contextualSpacing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 xml:space="preserve"> Për shfu</w:t>
      </w:r>
      <w:r w:rsidR="00346C1B"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>qizimin e vendimit nr. 407/2021</w:t>
      </w:r>
    </w:p>
    <w:p w:rsidR="0015666A" w:rsidRPr="000B4179" w:rsidRDefault="0015666A" w:rsidP="0015666A">
      <w:pPr>
        <w:numPr>
          <w:ilvl w:val="2"/>
          <w:numId w:val="8"/>
        </w:numPr>
        <w:tabs>
          <w:tab w:val="left" w:pos="1620"/>
        </w:tabs>
        <w:spacing w:after="0" w:line="360" w:lineRule="auto"/>
        <w:ind w:left="1620" w:hanging="540"/>
        <w:contextualSpacing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Pretendimi se është mohuar </w:t>
      </w:r>
      <w:r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>e drejta për t’u njoftuar, dëgjuar ose mbrojtur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përpara marrjes së masës </w:t>
      </w:r>
      <w:r w:rsidRPr="000B4179">
        <w:rPr>
          <w:rFonts w:ascii="Times New Roman" w:hAnsi="Times New Roman" w:cs="Times New Roman"/>
          <w:bCs/>
          <w:sz w:val="24"/>
          <w:szCs w:val="24"/>
          <w:lang w:val="sq-AL"/>
        </w:rPr>
        <w:t>administrative</w:t>
      </w:r>
      <w:r w:rsidR="00346C1B" w:rsidRPr="000B4179">
        <w:rPr>
          <w:rFonts w:ascii="Times New Roman" w:hAnsi="Times New Roman" w:cs="Times New Roman"/>
          <w:bCs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është i pabazuar. Këshilli i Ministrave, pas</w:t>
      </w:r>
      <w:r w:rsidR="004A32C9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njoftimit në faqen zyrtare të SPAK-ut, i është drejtuar </w:t>
      </w:r>
      <w:r w:rsidR="004A32C9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menj</w:t>
      </w:r>
      <w:r w:rsidR="00191EF7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ë</w:t>
      </w:r>
      <w:r w:rsidR="004A32C9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her</w:t>
      </w:r>
      <w:r w:rsidR="00191EF7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ë</w:t>
      </w:r>
      <w:r w:rsidR="004A32C9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këtij institucioni për </w:t>
      </w:r>
      <w:r w:rsidR="004A32C9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marrjen e 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informacion</w:t>
      </w:r>
      <w:r w:rsidR="004A32C9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it p</w:t>
      </w:r>
      <w:r w:rsidR="00191EF7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ë</w:t>
      </w:r>
      <w:r w:rsidR="004A32C9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rkat</w:t>
      </w:r>
      <w:r w:rsidR="00191EF7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ë</w:t>
      </w:r>
      <w:r w:rsidR="004A32C9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s. 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SPAK</w:t>
      </w:r>
      <w:r w:rsidR="00346C1B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-u,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me shkresën nr. 5325/1</w:t>
      </w:r>
      <w:r w:rsidR="00B9736D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datë 06.07.2021</w:t>
      </w:r>
      <w:r w:rsidR="00346C1B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ka informuar </w:t>
      </w:r>
      <w:r w:rsidR="00346C1B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se në bazë të informacionit të Policisë G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jyqësore ka regjistruar procedimin penal mes të tjerëve edhe ndaj shtetasit Fatos Tushe, si person ndaj të cili</w:t>
      </w:r>
      <w:r w:rsidR="00346C1B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t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zhvillohen hetime për veprën penale “Shpërdori</w:t>
      </w:r>
      <w:r w:rsidR="002A2B8A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mi i detyrës”, të kryer në bashkëpunim, të parashikuar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nga </w:t>
      </w:r>
      <w:r w:rsidR="002A2B8A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nenet 25 dhe 248 të KP-së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Në këto kushte, pas vlerësimit të situatës, bazuar edhe në shkronjën “a” të nenit 89 të Kodit të Procedurave Administrative </w:t>
      </w:r>
      <w:r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>(KPA)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, Këshilli i Ministrave</w:t>
      </w:r>
      <w:r w:rsidR="002A2B8A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në kushtet e urgjencës</w:t>
      </w:r>
      <w:r w:rsidR="002A2B8A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ka marrë vendimin për shkarkimin nga detyra. Ndaj kërkuesit është ekzekut</w:t>
      </w:r>
      <w:r w:rsidR="002A2B8A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uar masa e sigurimit personal “A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rrest në burg”, gjë që ka sjellë pamundësi për të respektuar të drejtën për t’u dëgjuar, por</w:t>
      </w:r>
      <w:r w:rsidR="002A2B8A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gjithsesi</w:t>
      </w:r>
      <w:r w:rsidR="002A2B8A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akti nëpërmjet shkresës nr. 3315/1 prot., datë 07.07.2021 i</w:t>
      </w:r>
      <w:r w:rsidR="002A2B8A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u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është dërguar institucioneve përkatëse.</w:t>
      </w:r>
    </w:p>
    <w:p w:rsidR="0015666A" w:rsidRPr="000B4179" w:rsidRDefault="0015666A" w:rsidP="0015666A">
      <w:pPr>
        <w:numPr>
          <w:ilvl w:val="2"/>
          <w:numId w:val="8"/>
        </w:numPr>
        <w:tabs>
          <w:tab w:val="left" w:pos="1620"/>
        </w:tabs>
        <w:spacing w:after="0" w:line="360" w:lineRule="auto"/>
        <w:ind w:left="1620" w:hanging="540"/>
        <w:contextualSpacing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Vendimi nr. 407/2021 i plotëson detyrimet kushtetuese dhe ligjore në drejtim të vlefshmërisë formale dhe rregullave të teknikës së hartimit të akteve administrative individuale. Projektvendimi është i shoqëruar me relacionin shpjegues të ministrit të Brendshëm, për të cilin kërkuesi nuk ka paraqitur asnjë kërkesë për t’u njohur. Relacioni</w:t>
      </w:r>
      <w:r w:rsidR="002A2B8A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bazuar në nenin 100 të KPA-së përmban qëllimin, bazën ligjore dhe faktet konkrete, të cilat përbëjnë shkelje të rënda. Ndërsa </w:t>
      </w:r>
      <w:r w:rsidR="002A2B8A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mjetet e ankimit dhe afati janë 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përcaktuar drejtpërdrejt në Kushtetutë, e</w:t>
      </w:r>
      <w:r w:rsidR="002A2B8A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si rrjedhim</w:t>
      </w:r>
      <w:r w:rsidR="002A2B8A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pretendimi </w:t>
      </w:r>
      <w:r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>për cenimin e standardit të arsyetimit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është i pabazuar.</w:t>
      </w:r>
    </w:p>
    <w:p w:rsidR="0015666A" w:rsidRPr="000B4179" w:rsidRDefault="0015666A" w:rsidP="0015666A">
      <w:pPr>
        <w:numPr>
          <w:ilvl w:val="2"/>
          <w:numId w:val="8"/>
        </w:numPr>
        <w:tabs>
          <w:tab w:val="left" w:pos="1620"/>
        </w:tabs>
        <w:spacing w:after="0" w:line="360" w:lineRule="auto"/>
        <w:ind w:left="1440" w:hanging="540"/>
        <w:contextualSpacing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 xml:space="preserve"> 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Pretendimi për cenimin e </w:t>
      </w:r>
      <w:r w:rsidRPr="000B4179"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  <w:t>parimit të prezumimit të pafajësisë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është i pabazuar. Në rastet e shkarkimit të funksionarëve të lartë ky parim nuk zbatohet si në procesin penal, jo vetëm për shkak të natyrës administrativo-disiplinore të procesit, por edhe për shkak të përbërjes, organizimit dhe funksionit të Këshillit të Ministrave.  </w:t>
      </w:r>
    </w:p>
    <w:p w:rsidR="0015666A" w:rsidRPr="000B4179" w:rsidRDefault="0015666A" w:rsidP="0015666A">
      <w:pPr>
        <w:numPr>
          <w:ilvl w:val="2"/>
          <w:numId w:val="8"/>
        </w:numPr>
        <w:tabs>
          <w:tab w:val="left" w:pos="1620"/>
        </w:tabs>
        <w:spacing w:after="0" w:line="360" w:lineRule="auto"/>
        <w:ind w:left="1440" w:hanging="540"/>
        <w:contextualSpacing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Procedura e shkarkimit të kryetarit të bashkisë dhe ushtrimi i kompetencës nga autoritetet politike shtetërore karakterizohet nga një hapësirë vlerësimi diskrecionale, e cila vendos në baraspeshë vlerën e përfaqësimit të organeve të zgjedhura me përgjegjshmërinë dhe llogaridhënien e tyre, duke respektuar procesin e rregullt ligjor. Në vlerësimin e Këshillit të Ministrave</w:t>
      </w:r>
      <w:r w:rsidR="002A2B8A"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rrethanat dhe faktet për kërkuesin përbëjnë shkelje të rënda dhe shkak për shkarkimin e tij. Gjithashtu, ndaj tij ka nisur edhe një procedurë administrative për shkeljet, për të cilat është konstatuar përgjegjësi administrative dhe jo penale, duke arritur në vendimmarrje për shkarkimin e tij.</w:t>
      </w:r>
    </w:p>
    <w:p w:rsidR="0015666A" w:rsidRPr="000B4179" w:rsidRDefault="0015666A" w:rsidP="0015666A">
      <w:p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MS Mincho" w:hAnsi="Times New Roman" w:cs="Times New Roman"/>
          <w:b/>
          <w:noProof/>
          <w:sz w:val="24"/>
          <w:szCs w:val="24"/>
          <w:lang w:val="sq-AL"/>
        </w:rPr>
      </w:pPr>
    </w:p>
    <w:p w:rsidR="0015666A" w:rsidRPr="000B4179" w:rsidRDefault="0015666A" w:rsidP="0015666A">
      <w:p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MS Mincho" w:hAnsi="Times New Roman" w:cs="Times New Roman"/>
          <w:b/>
          <w:noProof/>
          <w:sz w:val="24"/>
          <w:szCs w:val="24"/>
          <w:lang w:val="sq-AL"/>
        </w:rPr>
      </w:pPr>
      <w:r w:rsidRPr="000B4179">
        <w:rPr>
          <w:rFonts w:ascii="Times New Roman" w:eastAsia="MS Mincho" w:hAnsi="Times New Roman" w:cs="Times New Roman"/>
          <w:b/>
          <w:noProof/>
          <w:sz w:val="24"/>
          <w:szCs w:val="24"/>
          <w:lang w:val="sq-AL"/>
        </w:rPr>
        <w:t>III</w:t>
      </w:r>
    </w:p>
    <w:p w:rsidR="0015666A" w:rsidRPr="000B4179" w:rsidRDefault="0015666A" w:rsidP="0015666A">
      <w:p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MS Mincho" w:hAnsi="Times New Roman" w:cs="Times New Roman"/>
          <w:b/>
          <w:noProof/>
          <w:sz w:val="24"/>
          <w:szCs w:val="24"/>
          <w:lang w:val="sq-AL"/>
        </w:rPr>
      </w:pPr>
      <w:r w:rsidRPr="000B4179">
        <w:rPr>
          <w:rFonts w:ascii="Times New Roman" w:eastAsia="MS Mincho" w:hAnsi="Times New Roman" w:cs="Times New Roman"/>
          <w:b/>
          <w:noProof/>
          <w:sz w:val="24"/>
          <w:szCs w:val="24"/>
          <w:lang w:val="sq-AL"/>
        </w:rPr>
        <w:t>Vlerësimi i Gjykatës Kushtetuese</w:t>
      </w:r>
    </w:p>
    <w:p w:rsidR="00EC023F" w:rsidRPr="000B4179" w:rsidRDefault="00AB1BF6" w:rsidP="00001DA2">
      <w:pPr>
        <w:pStyle w:val="ListParagraph"/>
        <w:numPr>
          <w:ilvl w:val="0"/>
          <w:numId w:val="32"/>
        </w:numPr>
        <w:tabs>
          <w:tab w:val="left" w:pos="1080"/>
        </w:tabs>
        <w:spacing w:after="0" w:line="360" w:lineRule="auto"/>
        <w:ind w:left="0" w:firstLine="720"/>
        <w:jc w:val="lowKashida"/>
        <w:rPr>
          <w:rFonts w:ascii="Times New Roman" w:hAnsi="Times New Roman" w:cs="Times New Roman"/>
          <w:i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Gjykata </w:t>
      </w:r>
      <w:r w:rsidR="00191EF7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fillimisht vëren se </w:t>
      </w:r>
      <w:r w:rsidR="00F4524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pas kalimit të çështjes për shqyrtim në seancë plenare, konkretisht në datën 18.12.2021</w:t>
      </w:r>
      <w:r w:rsidR="002A2B8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  <w:r w:rsidR="00F4524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001DA2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kërkuesi </w:t>
      </w:r>
      <w:r w:rsidR="00F4524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ka paraqitur kërkesë me objekt: “</w:t>
      </w:r>
      <w:r w:rsidR="00F4524D" w:rsidRPr="000B4179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Heqjen dorë</w:t>
      </w:r>
      <w:r w:rsidR="00F4524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F4524D" w:rsidRPr="000B4179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nga shqyrtimi i ankimit kushtetues të paraqitur pranë jush dhe i të drejtave që pretendonim të realizonim nëpërmjet tij</w:t>
      </w:r>
      <w:r w:rsidR="002A2B8A" w:rsidRPr="000B4179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.</w:t>
      </w:r>
      <w:r w:rsidR="00F4524D" w:rsidRPr="000B4179">
        <w:rPr>
          <w:rFonts w:ascii="Times New Roman" w:hAnsi="Times New Roman" w:cs="Times New Roman"/>
          <w:i/>
          <w:noProof/>
          <w:sz w:val="24"/>
          <w:szCs w:val="24"/>
          <w:lang w:val="sq-AL"/>
        </w:rPr>
        <w:t xml:space="preserve">”. </w:t>
      </w:r>
      <w:r w:rsidR="00F4524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Kjo kërkesë është depozituar </w:t>
      </w:r>
      <w:r w:rsidR="00001DA2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në </w:t>
      </w:r>
      <w:r w:rsidR="00885C91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dat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001DA2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</w:t>
      </w:r>
      <w:r w:rsidR="00885C91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001DA2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21.12.2021, para fillimit të seancës plenare publike</w:t>
      </w:r>
      <w:r w:rsidR="00F4524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, nga një person i paautorizuar për këtë qëllim nga kërkuesi. </w:t>
      </w:r>
      <w:r w:rsidR="00001DA2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:rsidR="005D58AA" w:rsidRPr="000B4179" w:rsidRDefault="005D58AA" w:rsidP="00EC3DBE">
      <w:pPr>
        <w:pStyle w:val="ListParagraph"/>
        <w:numPr>
          <w:ilvl w:val="0"/>
          <w:numId w:val="32"/>
        </w:numPr>
        <w:tabs>
          <w:tab w:val="left" w:pos="1080"/>
        </w:tabs>
        <w:spacing w:after="0" w:line="360" w:lineRule="auto"/>
        <w:ind w:left="0" w:firstLine="720"/>
        <w:jc w:val="lowKashida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Gjat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seanc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s plenare 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dat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s 21.12.2021, </w:t>
      </w:r>
      <w:r w:rsidR="00E238B5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Gjykata, pasi ka shqyrtuar </w:t>
      </w:r>
      <w:r w:rsidR="00F4524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paraprakisht </w:t>
      </w:r>
      <w:r w:rsidR="00E238B5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k</w:t>
      </w:r>
      <w:r w:rsidR="00030DB3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E238B5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rkes</w:t>
      </w:r>
      <w:r w:rsidR="00030DB3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E238B5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n 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e lartp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rmendur</w:t>
      </w:r>
      <w:r w:rsidR="002A2B8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7C4DFE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ka konstatuar se ajo</w:t>
      </w:r>
      <w:r w:rsidR="00DA42FE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ishte n</w:t>
      </w:r>
      <w:r w:rsidR="00EE475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DA42FE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nshkruar vet</w:t>
      </w:r>
      <w:r w:rsidR="00EE475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DA42FE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m nga k</w:t>
      </w:r>
      <w:r w:rsidR="00EE475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DA42FE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rkuesi, i cili ndodhet n</w:t>
      </w:r>
      <w:r w:rsidR="00EE475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DA42FE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mas</w:t>
      </w:r>
      <w:r w:rsidR="00EE475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2A2B8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 e sigurimit personal “A</w:t>
      </w:r>
      <w:r w:rsidR="00DA42FE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rrest n</w:t>
      </w:r>
      <w:r w:rsidR="00EE475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DA42FE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burg”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. Me q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llim </w:t>
      </w:r>
      <w:r w:rsidR="00DA42FE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konfirmimin e 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vullnetit 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shprehur nga k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rkuesi, Gjykata</w:t>
      </w:r>
      <w:r w:rsidR="002A2B8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me shkres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n nr. 1(F) 2021 </w:t>
      </w:r>
      <w:r w:rsidR="002A2B8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të Regjistrit Themeltar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dat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s 21.12.2021</w:t>
      </w:r>
      <w:r w:rsidR="002A2B8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i 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sht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drejtuar Institucionit 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A2B8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Ekzekutimit të Vendimeve Penale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nr. 313</w:t>
      </w:r>
      <w:r w:rsidR="002A2B8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Tiranë </w:t>
      </w:r>
      <w:r w:rsidR="007157BC" w:rsidRPr="000B4179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(IEVP),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pranë të cilit po ekzekutohe</w:t>
      </w:r>
      <w:r w:rsidR="003F6175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t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masa e sigurimit personal 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kërkuesit, duke </w:t>
      </w:r>
      <w:r w:rsidR="003F6175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vendosur 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shtyr</w:t>
      </w:r>
      <w:r w:rsidR="003F6175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jen e 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gjykimi</w:t>
      </w:r>
      <w:r w:rsidR="002A2B8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t të</w:t>
      </w:r>
      <w:r w:rsidR="003F6175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ç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shtjes p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r </w:t>
      </w:r>
      <w:r w:rsidR="002A2B8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në</w:t>
      </w:r>
      <w:r w:rsidR="003F6175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or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2A2B8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 12:</w:t>
      </w:r>
      <w:r w:rsidR="007157BC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30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. </w:t>
      </w:r>
    </w:p>
    <w:p w:rsidR="00CB2537" w:rsidRPr="000B4179" w:rsidRDefault="007157BC" w:rsidP="00EC3DBE">
      <w:pPr>
        <w:pStyle w:val="ListParagraph"/>
        <w:numPr>
          <w:ilvl w:val="0"/>
          <w:numId w:val="32"/>
        </w:numPr>
        <w:tabs>
          <w:tab w:val="left" w:pos="1080"/>
        </w:tabs>
        <w:spacing w:after="0" w:line="360" w:lineRule="auto"/>
        <w:ind w:left="0" w:firstLine="720"/>
        <w:jc w:val="lowKashida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Me shkres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 nr. 2601 prot., dat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21.12.2021 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IEVP-s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ë,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k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rkuesi ka</w:t>
      </w:r>
      <w:r w:rsidR="00DC424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konfirmuar 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vullnetin e tij p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r heqjen dor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nga shqyrtimi i ç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shtjes </w:t>
      </w:r>
      <w:r w:rsidR="002A2B8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të</w:t>
      </w:r>
      <w:r w:rsidR="00DC424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9A1A2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shprehur </w:t>
      </w:r>
      <w:r w:rsidR="002A2B8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kërkesë</w:t>
      </w:r>
      <w:r w:rsidR="009A1A2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 e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dat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s 18.12.2021. Ky </w:t>
      </w:r>
      <w:r w:rsidR="003F6175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konfirmim 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i k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rkuesit 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sht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04405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nënshkruar 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pre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j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tij </w:t>
      </w:r>
      <w:r w:rsidR="0004405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në prani të dy juristëve dhe të specialiste</w:t>
      </w:r>
      <w:r w:rsidR="0052737B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s</w:t>
      </w:r>
      <w:r w:rsidR="0004405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së edukimit t</w:t>
      </w:r>
      <w:r w:rsidR="00CB2537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04405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E75032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IE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V</w:t>
      </w:r>
      <w:r w:rsidR="00E75032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P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-</w:t>
      </w:r>
      <w:r w:rsidR="0052737B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s</w:t>
      </w:r>
      <w:r w:rsidR="006721ED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. </w:t>
      </w:r>
    </w:p>
    <w:p w:rsidR="007157BC" w:rsidRPr="000B4179" w:rsidRDefault="007157BC" w:rsidP="00EC3DBE">
      <w:pPr>
        <w:pStyle w:val="ListParagraph"/>
        <w:numPr>
          <w:ilvl w:val="0"/>
          <w:numId w:val="32"/>
        </w:numPr>
        <w:tabs>
          <w:tab w:val="left" w:pos="1080"/>
        </w:tabs>
        <w:spacing w:after="0" w:line="360" w:lineRule="auto"/>
        <w:ind w:left="0" w:firstLine="720"/>
        <w:jc w:val="lowKashida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Subjekti i interesuar, K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shilli i Ministrave, n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lidhje me k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rkes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 p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r heqje</w:t>
      </w:r>
      <w:r w:rsidR="00E75032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dor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k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rkuesit, gjat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seanc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s plenare k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rkoi </w:t>
      </w:r>
      <w:r w:rsidR="00DC424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pranimin e saj dhe 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pushimin e gjykimit</w:t>
      </w:r>
      <w:r w:rsidR="002A2B8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, pasi shqyrtimi </w:t>
      </w:r>
      <w:r w:rsidR="006B1BC8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nuk paraqet interes publik. </w:t>
      </w:r>
    </w:p>
    <w:p w:rsidR="00AB1BF6" w:rsidRPr="000B4179" w:rsidRDefault="00AB1BF6" w:rsidP="00EC3DBE">
      <w:pPr>
        <w:pStyle w:val="ListParagraph"/>
        <w:numPr>
          <w:ilvl w:val="0"/>
          <w:numId w:val="32"/>
        </w:numPr>
        <w:tabs>
          <w:tab w:val="left" w:pos="1080"/>
        </w:tabs>
        <w:spacing w:after="0" w:line="360" w:lineRule="auto"/>
        <w:ind w:left="0" w:firstLine="720"/>
        <w:jc w:val="lowKashida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Në nenin 31/b të ligjit nr. 8577/2000 parashikohet: “</w:t>
      </w:r>
      <w:r w:rsidRPr="000B4179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1. Kërkuesi mund të heqë dorë nga kërkesa përpara fillimit të shqyrtimit të saj nga Gjykata Kushtetuese. Në këtë rast Gjykata Kushtetuese vendos pushimin e gjykimit të çështjes. 2. Gjykata Kushtetuese vendos mospranimin e heqjes dorë nga kërkesa kur vlerëson se shqyrtimi i saj paraqet interes publik. Në këtë rast Gjykata Kushtetuese arsyeton vendimin për mospranimin e heqjes dorë.”.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Ndërsa në</w:t>
      </w:r>
      <w:r w:rsidR="0017135B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pik</w:t>
      </w:r>
      <w:r w:rsidR="00EE475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17135B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 2 t</w:t>
      </w:r>
      <w:r w:rsidR="00EE475A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17135B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neni</w:t>
      </w:r>
      <w:r w:rsidR="0017135B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>t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43/b</w:t>
      </w:r>
      <w:r w:rsidR="0017135B"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të po këtij ligji parashikohet: </w:t>
      </w:r>
      <w:r w:rsidRPr="000B4179">
        <w:rPr>
          <w:rFonts w:ascii="Times New Roman" w:hAnsi="Times New Roman" w:cs="Times New Roman"/>
          <w:i/>
          <w:noProof/>
          <w:sz w:val="24"/>
          <w:szCs w:val="24"/>
          <w:lang w:val="sq-AL"/>
        </w:rPr>
        <w:t>“Kërkuesi, në çdo fazë të procesit, deri në marrjen e vendimit nga Gjykata Kushtetuese, mund të kërkojë me shkrim pakësimin dhe shtimin e objektit të kërkimit ose heqjen dorë nga kërkesa.”.</w:t>
      </w:r>
      <w:r w:rsidRPr="000B4179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 </w:t>
      </w:r>
    </w:p>
    <w:p w:rsidR="006721ED" w:rsidRPr="000B4179" w:rsidRDefault="00AB1BF6" w:rsidP="006721ED">
      <w:pPr>
        <w:pStyle w:val="JuPara"/>
        <w:spacing w:line="360" w:lineRule="auto"/>
        <w:ind w:firstLine="288"/>
        <w:rPr>
          <w:rFonts w:ascii="Times New Roman" w:hAnsi="Times New Roman" w:cs="Times New Roman"/>
          <w:noProof/>
          <w:szCs w:val="24"/>
          <w:lang w:val="sq-AL"/>
        </w:rPr>
      </w:pPr>
      <w:r w:rsidRPr="000B4179">
        <w:rPr>
          <w:rFonts w:ascii="Times New Roman" w:hAnsi="Times New Roman" w:cs="Times New Roman"/>
          <w:noProof/>
          <w:szCs w:val="24"/>
          <w:lang w:val="sq-AL"/>
        </w:rPr>
        <w:tab/>
        <w:t>1</w:t>
      </w:r>
      <w:r w:rsidR="006B1BC8" w:rsidRPr="000B4179">
        <w:rPr>
          <w:rFonts w:ascii="Times New Roman" w:hAnsi="Times New Roman" w:cs="Times New Roman"/>
          <w:noProof/>
          <w:szCs w:val="24"/>
          <w:lang w:val="sq-AL"/>
        </w:rPr>
        <w:t>4</w:t>
      </w:r>
      <w:r w:rsidRPr="000B4179">
        <w:rPr>
          <w:rFonts w:ascii="Times New Roman" w:hAnsi="Times New Roman" w:cs="Times New Roman"/>
          <w:noProof/>
          <w:szCs w:val="24"/>
          <w:lang w:val="sq-AL"/>
        </w:rPr>
        <w:t xml:space="preserve">. </w:t>
      </w:r>
      <w:r w:rsidR="0017135B" w:rsidRPr="000B4179">
        <w:rPr>
          <w:rFonts w:ascii="Times New Roman" w:hAnsi="Times New Roman" w:cs="Times New Roman"/>
          <w:noProof/>
          <w:szCs w:val="24"/>
          <w:lang w:val="sq-AL"/>
        </w:rPr>
        <w:t>P</w:t>
      </w:r>
      <w:r w:rsidR="00EE475A" w:rsidRPr="000B4179">
        <w:rPr>
          <w:rFonts w:ascii="Times New Roman" w:hAnsi="Times New Roman" w:cs="Times New Roman"/>
          <w:noProof/>
          <w:szCs w:val="24"/>
          <w:lang w:val="sq-AL"/>
        </w:rPr>
        <w:t>ë</w:t>
      </w:r>
      <w:r w:rsidR="0017135B" w:rsidRPr="000B4179">
        <w:rPr>
          <w:rFonts w:ascii="Times New Roman" w:hAnsi="Times New Roman" w:cs="Times New Roman"/>
          <w:noProof/>
          <w:szCs w:val="24"/>
          <w:lang w:val="sq-AL"/>
        </w:rPr>
        <w:t>r sa m</w:t>
      </w:r>
      <w:r w:rsidR="00EE475A" w:rsidRPr="000B4179">
        <w:rPr>
          <w:rFonts w:ascii="Times New Roman" w:hAnsi="Times New Roman" w:cs="Times New Roman"/>
          <w:noProof/>
          <w:szCs w:val="24"/>
          <w:lang w:val="sq-AL"/>
        </w:rPr>
        <w:t>ë</w:t>
      </w:r>
      <w:r w:rsidR="0017135B" w:rsidRPr="000B4179">
        <w:rPr>
          <w:rFonts w:ascii="Times New Roman" w:hAnsi="Times New Roman" w:cs="Times New Roman"/>
          <w:noProof/>
          <w:szCs w:val="24"/>
          <w:lang w:val="sq-AL"/>
        </w:rPr>
        <w:t xml:space="preserve"> lart, </w:t>
      </w:r>
      <w:r w:rsidR="00191EF7" w:rsidRPr="000B4179">
        <w:rPr>
          <w:rFonts w:ascii="Times New Roman" w:hAnsi="Times New Roman" w:cs="Times New Roman"/>
          <w:noProof/>
          <w:szCs w:val="24"/>
          <w:lang w:val="sq-AL"/>
        </w:rPr>
        <w:t>Gjykata</w:t>
      </w:r>
      <w:r w:rsidR="002A2B8A" w:rsidRPr="000B4179">
        <w:rPr>
          <w:rFonts w:ascii="Times New Roman" w:hAnsi="Times New Roman" w:cs="Times New Roman"/>
          <w:noProof/>
          <w:szCs w:val="24"/>
          <w:lang w:val="sq-AL"/>
        </w:rPr>
        <w:t>,</w:t>
      </w:r>
      <w:r w:rsidR="00191EF7" w:rsidRPr="000B4179">
        <w:rPr>
          <w:rFonts w:ascii="Times New Roman" w:hAnsi="Times New Roman" w:cs="Times New Roman"/>
          <w:noProof/>
          <w:szCs w:val="24"/>
          <w:lang w:val="sq-AL"/>
        </w:rPr>
        <w:t xml:space="preserve"> bazuar n</w:t>
      </w:r>
      <w:r w:rsidR="006B1BC8" w:rsidRPr="000B4179">
        <w:rPr>
          <w:rFonts w:ascii="Times New Roman" w:hAnsi="Times New Roman" w:cs="Times New Roman"/>
          <w:noProof/>
          <w:szCs w:val="24"/>
          <w:lang w:val="sq-AL"/>
        </w:rPr>
        <w:t>ë</w:t>
      </w:r>
      <w:r w:rsidR="00191EF7" w:rsidRPr="000B4179">
        <w:rPr>
          <w:rFonts w:ascii="Times New Roman" w:hAnsi="Times New Roman" w:cs="Times New Roman"/>
          <w:noProof/>
          <w:szCs w:val="24"/>
          <w:lang w:val="sq-AL"/>
        </w:rPr>
        <w:t xml:space="preserve"> dispozitat e sipërcituara</w:t>
      </w:r>
      <w:r w:rsidR="006B1BC8" w:rsidRPr="000B4179">
        <w:rPr>
          <w:rFonts w:ascii="Times New Roman" w:hAnsi="Times New Roman" w:cs="Times New Roman"/>
          <w:noProof/>
          <w:szCs w:val="24"/>
          <w:lang w:val="sq-AL"/>
        </w:rPr>
        <w:t xml:space="preserve"> të ligjit nr. 8577/2000</w:t>
      </w:r>
      <w:r w:rsidR="002A2B8A" w:rsidRPr="000B4179">
        <w:rPr>
          <w:rFonts w:ascii="Times New Roman" w:hAnsi="Times New Roman" w:cs="Times New Roman"/>
          <w:noProof/>
          <w:szCs w:val="24"/>
          <w:lang w:val="sq-AL"/>
        </w:rPr>
        <w:t>,</w:t>
      </w:r>
      <w:r w:rsidR="00191EF7" w:rsidRPr="000B4179">
        <w:rPr>
          <w:rFonts w:ascii="Times New Roman" w:hAnsi="Times New Roman" w:cs="Times New Roman"/>
          <w:noProof/>
          <w:szCs w:val="24"/>
          <w:lang w:val="sq-AL"/>
        </w:rPr>
        <w:t xml:space="preserve"> vlerëson se </w:t>
      </w:r>
      <w:r w:rsidR="006B1BC8" w:rsidRPr="000B4179">
        <w:rPr>
          <w:rFonts w:ascii="Times New Roman" w:hAnsi="Times New Roman" w:cs="Times New Roman"/>
          <w:noProof/>
          <w:szCs w:val="24"/>
          <w:lang w:val="sq-AL"/>
        </w:rPr>
        <w:t xml:space="preserve">në rastin konkret shqyrtimi i çështjes nuk paraqet interes publik dhe se </w:t>
      </w:r>
      <w:r w:rsidR="00191EF7" w:rsidRPr="000B4179">
        <w:rPr>
          <w:rFonts w:ascii="Times New Roman" w:hAnsi="Times New Roman" w:cs="Times New Roman"/>
          <w:noProof/>
          <w:szCs w:val="24"/>
          <w:lang w:val="sq-AL"/>
        </w:rPr>
        <w:t xml:space="preserve">plotësohen kriteret për pushimin e gjykimit të </w:t>
      </w:r>
      <w:r w:rsidR="006B1BC8" w:rsidRPr="000B4179">
        <w:rPr>
          <w:rFonts w:ascii="Times New Roman" w:hAnsi="Times New Roman" w:cs="Times New Roman"/>
          <w:noProof/>
          <w:szCs w:val="24"/>
          <w:lang w:val="sq-AL"/>
        </w:rPr>
        <w:t>saj</w:t>
      </w:r>
      <w:r w:rsidR="00191EF7" w:rsidRPr="000B4179">
        <w:rPr>
          <w:rFonts w:ascii="Times New Roman" w:hAnsi="Times New Roman" w:cs="Times New Roman"/>
          <w:noProof/>
          <w:szCs w:val="24"/>
          <w:lang w:val="sq-AL"/>
        </w:rPr>
        <w:t xml:space="preserve">. </w:t>
      </w:r>
    </w:p>
    <w:p w:rsidR="006721ED" w:rsidRPr="000B4179" w:rsidRDefault="006721ED" w:rsidP="006721ED">
      <w:pPr>
        <w:pStyle w:val="JuPara"/>
        <w:spacing w:line="360" w:lineRule="auto"/>
        <w:ind w:firstLine="288"/>
        <w:rPr>
          <w:rFonts w:ascii="Times New Roman" w:hAnsi="Times New Roman" w:cs="Times New Roman"/>
          <w:noProof/>
          <w:szCs w:val="24"/>
          <w:lang w:val="sq-AL"/>
        </w:rPr>
      </w:pPr>
    </w:p>
    <w:p w:rsidR="00AB1BF6" w:rsidRPr="000B4179" w:rsidRDefault="006845C5" w:rsidP="006721ED">
      <w:pPr>
        <w:pStyle w:val="JuPara"/>
        <w:spacing w:line="360" w:lineRule="auto"/>
        <w:ind w:firstLine="288"/>
        <w:jc w:val="center"/>
        <w:rPr>
          <w:rFonts w:ascii="Times New Roman" w:hAnsi="Times New Roman"/>
          <w:b/>
          <w:noProof/>
          <w:szCs w:val="24"/>
          <w:lang w:val="sq-AL"/>
        </w:rPr>
      </w:pPr>
      <w:r w:rsidRPr="000B4179">
        <w:rPr>
          <w:rFonts w:ascii="Times New Roman" w:hAnsi="Times New Roman"/>
          <w:b/>
          <w:bCs/>
          <w:noProof/>
          <w:szCs w:val="24"/>
          <w:lang w:val="sq-AL"/>
        </w:rPr>
        <w:t>PËR KËTO</w:t>
      </w:r>
      <w:r w:rsidR="00AB1BF6" w:rsidRPr="000B4179">
        <w:rPr>
          <w:rFonts w:ascii="Times New Roman" w:hAnsi="Times New Roman"/>
          <w:b/>
          <w:bCs/>
          <w:noProof/>
          <w:szCs w:val="24"/>
          <w:lang w:val="sq-AL"/>
        </w:rPr>
        <w:t xml:space="preserve"> ARSYE,</w:t>
      </w:r>
    </w:p>
    <w:p w:rsidR="00AB1BF6" w:rsidRPr="000B4179" w:rsidRDefault="00AB1BF6" w:rsidP="00AB1BF6">
      <w:pPr>
        <w:pStyle w:val="JuPara"/>
        <w:spacing w:line="360" w:lineRule="auto"/>
        <w:ind w:firstLine="288"/>
        <w:rPr>
          <w:rFonts w:ascii="Times New Roman" w:hAnsi="Times New Roman"/>
          <w:noProof/>
          <w:szCs w:val="24"/>
          <w:lang w:val="sq-AL"/>
        </w:rPr>
      </w:pPr>
      <w:r w:rsidRPr="000B4179">
        <w:rPr>
          <w:rFonts w:ascii="Times New Roman" w:hAnsi="Times New Roman"/>
          <w:noProof/>
          <w:szCs w:val="24"/>
          <w:lang w:val="sq-AL"/>
        </w:rPr>
        <w:tab/>
        <w:t>Gjykata Kushtetuese e Republikës së Shqipërisë, bazuar në nenet 31/b dhe 43/b, pika 2, si dhe nenin 72 të ligjit nr. 8577, datë 10.02.2000 “Për organizimin dhe funksionimin e Gjykatës Kushtetuese të Republikës së Shqipërisë”,  të ndryshuar, njëzëri,  </w:t>
      </w:r>
    </w:p>
    <w:p w:rsidR="00AB1BF6" w:rsidRPr="000B4179" w:rsidRDefault="00AB1BF6" w:rsidP="00AB1BF6">
      <w:pPr>
        <w:pStyle w:val="JuPara"/>
        <w:spacing w:line="360" w:lineRule="auto"/>
        <w:ind w:firstLine="288"/>
        <w:rPr>
          <w:rFonts w:ascii="Times New Roman" w:hAnsi="Times New Roman"/>
          <w:bCs/>
          <w:noProof/>
          <w:szCs w:val="24"/>
          <w:u w:val="single"/>
          <w:lang w:val="sq-AL"/>
        </w:rPr>
      </w:pPr>
    </w:p>
    <w:p w:rsidR="00AB1BF6" w:rsidRPr="000B4179" w:rsidRDefault="00AB1BF6" w:rsidP="00AB1BF6">
      <w:pPr>
        <w:pStyle w:val="JuPara"/>
        <w:spacing w:line="360" w:lineRule="auto"/>
        <w:ind w:firstLine="0"/>
        <w:jc w:val="center"/>
        <w:rPr>
          <w:rFonts w:ascii="Times New Roman" w:hAnsi="Times New Roman"/>
          <w:b/>
          <w:bCs/>
          <w:noProof/>
          <w:szCs w:val="24"/>
          <w:lang w:val="sq-AL"/>
        </w:rPr>
      </w:pPr>
      <w:r w:rsidRPr="000B4179">
        <w:rPr>
          <w:rFonts w:ascii="Times New Roman" w:hAnsi="Times New Roman"/>
          <w:b/>
          <w:bCs/>
          <w:noProof/>
          <w:szCs w:val="24"/>
          <w:lang w:val="sq-AL"/>
        </w:rPr>
        <w:t>V E N D O S I:</w:t>
      </w:r>
    </w:p>
    <w:p w:rsidR="00AB1BF6" w:rsidRPr="000B4179" w:rsidRDefault="002A2B8A" w:rsidP="002A2B8A">
      <w:pPr>
        <w:pStyle w:val="JuPara"/>
        <w:spacing w:line="360" w:lineRule="auto"/>
        <w:ind w:left="1143" w:firstLine="0"/>
        <w:rPr>
          <w:rFonts w:ascii="Times New Roman" w:hAnsi="Times New Roman"/>
          <w:noProof/>
          <w:szCs w:val="24"/>
          <w:lang w:val="sq-AL"/>
        </w:rPr>
      </w:pPr>
      <w:r w:rsidRPr="000B4179">
        <w:rPr>
          <w:rFonts w:ascii="Times New Roman" w:hAnsi="Times New Roman"/>
          <w:noProof/>
          <w:szCs w:val="24"/>
          <w:lang w:val="sq-AL"/>
        </w:rPr>
        <w:t>1.</w:t>
      </w:r>
      <w:r w:rsidR="00AB1BF6" w:rsidRPr="000B4179">
        <w:rPr>
          <w:rFonts w:ascii="Times New Roman" w:hAnsi="Times New Roman"/>
          <w:noProof/>
          <w:szCs w:val="24"/>
          <w:lang w:val="sq-AL"/>
        </w:rPr>
        <w:t xml:space="preserve">Pushimin e gjykimit të çështjes. </w:t>
      </w:r>
    </w:p>
    <w:p w:rsidR="002C3DEC" w:rsidRPr="000B4179" w:rsidRDefault="002C3DEC" w:rsidP="002A2B8A">
      <w:pPr>
        <w:spacing w:after="0" w:line="360" w:lineRule="auto"/>
        <w:ind w:left="720" w:firstLine="423"/>
        <w:jc w:val="both"/>
        <w:rPr>
          <w:rFonts w:ascii="Times New Roman" w:hAnsi="Times New Roman"/>
          <w:noProof/>
          <w:sz w:val="24"/>
          <w:szCs w:val="24"/>
          <w:lang w:val="sq-AL"/>
        </w:rPr>
      </w:pPr>
      <w:r w:rsidRPr="000B4179">
        <w:rPr>
          <w:rFonts w:ascii="Times New Roman" w:hAnsi="Times New Roman"/>
          <w:noProof/>
          <w:sz w:val="24"/>
          <w:szCs w:val="24"/>
          <w:lang w:val="sq-AL"/>
        </w:rPr>
        <w:t>Ky vendim është përfundimtar, i formës së prerë dhe hyn në fuqi ditën e botimit në Fletoren Zyrtare.</w:t>
      </w:r>
      <w:r w:rsidRPr="000B4179">
        <w:rPr>
          <w:rFonts w:ascii="Times New Roman" w:hAnsi="Times New Roman"/>
          <w:b/>
          <w:bCs/>
          <w:noProof/>
          <w:sz w:val="24"/>
          <w:szCs w:val="24"/>
          <w:lang w:val="sq-AL"/>
        </w:rPr>
        <w:t xml:space="preserve"> </w:t>
      </w:r>
    </w:p>
    <w:p w:rsidR="0015666A" w:rsidRPr="000B4179" w:rsidRDefault="0015666A" w:rsidP="0015666A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  <w:t xml:space="preserve">Marrë më  </w:t>
      </w:r>
      <w:r w:rsidR="002C3DEC" w:rsidRPr="000B4179"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  <w:t>21.12.</w:t>
      </w:r>
      <w:r w:rsidRPr="000B4179"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  <w:t>2021</w:t>
      </w:r>
    </w:p>
    <w:p w:rsidR="0015666A" w:rsidRPr="000B4179" w:rsidRDefault="0015666A" w:rsidP="0015666A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</w:pPr>
      <w:r w:rsidRPr="000B4179"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  <w:t>Shpallur më</w:t>
      </w:r>
      <w:r w:rsidR="00821D3A"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  <w:t xml:space="preserve"> 19.01</w:t>
      </w:r>
      <w:r w:rsidRPr="000B4179"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  <w:t>.202</w:t>
      </w:r>
      <w:r w:rsidR="003130A2"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  <w:t>2</w:t>
      </w:r>
    </w:p>
    <w:p w:rsidR="0015666A" w:rsidRPr="000B4179" w:rsidRDefault="0015666A" w:rsidP="0015666A">
      <w:pPr>
        <w:shd w:val="clear" w:color="auto" w:fill="FFFFFF" w:themeFill="background1"/>
        <w:tabs>
          <w:tab w:val="left" w:pos="1080"/>
        </w:tabs>
        <w:spacing w:after="0" w:line="360" w:lineRule="auto"/>
        <w:contextualSpacing/>
        <w:rPr>
          <w:rFonts w:ascii="Times New Roman" w:hAnsi="Times New Roman"/>
          <w:b/>
          <w:bCs/>
          <w:noProof/>
          <w:sz w:val="24"/>
          <w:szCs w:val="24"/>
          <w:lang w:val="sq-AL"/>
        </w:rPr>
      </w:pPr>
    </w:p>
    <w:p w:rsidR="003A6B85" w:rsidRPr="00821D3A" w:rsidRDefault="003A6B85" w:rsidP="00821D3A">
      <w:pPr>
        <w:jc w:val="center"/>
        <w:rPr>
          <w:lang w:val="sq-AL"/>
        </w:rPr>
      </w:pPr>
    </w:p>
    <w:sectPr w:rsidR="003A6B85" w:rsidRPr="00821D3A" w:rsidSect="000B4179">
      <w:footerReference w:type="default" r:id="rId8"/>
      <w:pgSz w:w="11907" w:h="16839" w:code="9"/>
      <w:pgMar w:top="108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F01" w:rsidRDefault="00064F01" w:rsidP="00EC023F">
      <w:pPr>
        <w:spacing w:after="0" w:line="240" w:lineRule="auto"/>
      </w:pPr>
      <w:r>
        <w:separator/>
      </w:r>
    </w:p>
  </w:endnote>
  <w:endnote w:type="continuationSeparator" w:id="0">
    <w:p w:rsidR="00064F01" w:rsidRDefault="00064F01" w:rsidP="00EC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8063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D3A" w:rsidRDefault="00F8124E">
        <w:pPr>
          <w:pStyle w:val="Footer"/>
          <w:jc w:val="right"/>
        </w:pPr>
        <w:r>
          <w:fldChar w:fldCharType="begin"/>
        </w:r>
        <w:r w:rsidR="00821D3A">
          <w:instrText xml:space="preserve"> PAGE   \* MERGEFORMAT </w:instrText>
        </w:r>
        <w:r>
          <w:fldChar w:fldCharType="separate"/>
        </w:r>
        <w:r w:rsidR="005B42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C18" w:rsidRPr="00821D3A" w:rsidRDefault="00064F01" w:rsidP="00821D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F01" w:rsidRDefault="00064F01" w:rsidP="00EC023F">
      <w:pPr>
        <w:spacing w:after="0" w:line="240" w:lineRule="auto"/>
      </w:pPr>
      <w:r>
        <w:separator/>
      </w:r>
    </w:p>
  </w:footnote>
  <w:footnote w:type="continuationSeparator" w:id="0">
    <w:p w:rsidR="00064F01" w:rsidRDefault="00064F01" w:rsidP="00EC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65D"/>
    <w:multiLevelType w:val="hybridMultilevel"/>
    <w:tmpl w:val="25BE3798"/>
    <w:lvl w:ilvl="0" w:tplc="F1D635A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1286A"/>
    <w:multiLevelType w:val="multilevel"/>
    <w:tmpl w:val="43A69FB8"/>
    <w:lvl w:ilvl="0">
      <w:start w:val="1"/>
      <w:numFmt w:val="decimal"/>
      <w:lvlText w:val="%1."/>
      <w:lvlJc w:val="left"/>
      <w:pPr>
        <w:ind w:left="126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1B4D22"/>
    <w:multiLevelType w:val="hybridMultilevel"/>
    <w:tmpl w:val="B1D26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12681"/>
    <w:multiLevelType w:val="hybridMultilevel"/>
    <w:tmpl w:val="CCC09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C1CD4"/>
    <w:multiLevelType w:val="hybridMultilevel"/>
    <w:tmpl w:val="80C0BCAA"/>
    <w:lvl w:ilvl="0" w:tplc="60E813B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17F41F55"/>
    <w:multiLevelType w:val="hybridMultilevel"/>
    <w:tmpl w:val="B02E785C"/>
    <w:lvl w:ilvl="0" w:tplc="C98EC0E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B60C5"/>
    <w:multiLevelType w:val="hybridMultilevel"/>
    <w:tmpl w:val="1FCC3E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50122"/>
    <w:multiLevelType w:val="hybridMultilevel"/>
    <w:tmpl w:val="317A75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36EFD"/>
    <w:multiLevelType w:val="hybridMultilevel"/>
    <w:tmpl w:val="99CE0282"/>
    <w:lvl w:ilvl="0" w:tplc="78ACDDBE">
      <w:start w:val="9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E70671"/>
    <w:multiLevelType w:val="hybridMultilevel"/>
    <w:tmpl w:val="ACF010EE"/>
    <w:lvl w:ilvl="0" w:tplc="63F2970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37884"/>
    <w:multiLevelType w:val="hybridMultilevel"/>
    <w:tmpl w:val="8744A1C4"/>
    <w:lvl w:ilvl="0" w:tplc="A69C38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EC66FF"/>
    <w:multiLevelType w:val="hybridMultilevel"/>
    <w:tmpl w:val="06100034"/>
    <w:lvl w:ilvl="0" w:tplc="8252EF7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524EA"/>
    <w:multiLevelType w:val="multilevel"/>
    <w:tmpl w:val="D9C02C7E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  <w:i/>
      </w:rPr>
    </w:lvl>
  </w:abstractNum>
  <w:abstractNum w:abstractNumId="13">
    <w:nsid w:val="30003D76"/>
    <w:multiLevelType w:val="hybridMultilevel"/>
    <w:tmpl w:val="4B6E2948"/>
    <w:lvl w:ilvl="0" w:tplc="3A228D9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95A14"/>
    <w:multiLevelType w:val="hybridMultilevel"/>
    <w:tmpl w:val="90104EDE"/>
    <w:lvl w:ilvl="0" w:tplc="041C000F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F7F7D"/>
    <w:multiLevelType w:val="hybridMultilevel"/>
    <w:tmpl w:val="7F16E8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233FF0"/>
    <w:multiLevelType w:val="hybridMultilevel"/>
    <w:tmpl w:val="41362102"/>
    <w:lvl w:ilvl="0" w:tplc="E08A95E8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71FBE"/>
    <w:multiLevelType w:val="hybridMultilevel"/>
    <w:tmpl w:val="F3268A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F1244B"/>
    <w:multiLevelType w:val="hybridMultilevel"/>
    <w:tmpl w:val="569E66E8"/>
    <w:lvl w:ilvl="0" w:tplc="B992BD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B8095A"/>
    <w:multiLevelType w:val="hybridMultilevel"/>
    <w:tmpl w:val="CD9EAB40"/>
    <w:lvl w:ilvl="0" w:tplc="A100FFE0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0C3F4F"/>
    <w:multiLevelType w:val="hybridMultilevel"/>
    <w:tmpl w:val="EE1E8D5A"/>
    <w:lvl w:ilvl="0" w:tplc="30466EAE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E6C68"/>
    <w:multiLevelType w:val="hybridMultilevel"/>
    <w:tmpl w:val="FB720DEE"/>
    <w:lvl w:ilvl="0" w:tplc="C79A1CF8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C2085C"/>
    <w:multiLevelType w:val="multilevel"/>
    <w:tmpl w:val="EF9A7E50"/>
    <w:lvl w:ilvl="0">
      <w:start w:val="25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3B03F3B"/>
    <w:multiLevelType w:val="multilevel"/>
    <w:tmpl w:val="43A69FB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947384A"/>
    <w:multiLevelType w:val="hybridMultilevel"/>
    <w:tmpl w:val="39329F18"/>
    <w:lvl w:ilvl="0" w:tplc="FA6E037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C1360"/>
    <w:multiLevelType w:val="hybridMultilevel"/>
    <w:tmpl w:val="D604EAC4"/>
    <w:lvl w:ilvl="0" w:tplc="E3583C32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00E3BF5"/>
    <w:multiLevelType w:val="hybridMultilevel"/>
    <w:tmpl w:val="CCE4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F349E6"/>
    <w:multiLevelType w:val="hybridMultilevel"/>
    <w:tmpl w:val="8712629E"/>
    <w:lvl w:ilvl="0" w:tplc="86C604FE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64109"/>
    <w:multiLevelType w:val="hybridMultilevel"/>
    <w:tmpl w:val="6CAC739E"/>
    <w:lvl w:ilvl="0" w:tplc="B7F82394">
      <w:start w:val="1"/>
      <w:numFmt w:val="upp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i/>
      </w:rPr>
    </w:lvl>
    <w:lvl w:ilvl="1" w:tplc="DC4CD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C51A63"/>
    <w:multiLevelType w:val="hybridMultilevel"/>
    <w:tmpl w:val="E4B48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6260D"/>
    <w:multiLevelType w:val="hybridMultilevel"/>
    <w:tmpl w:val="D8CE08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39A3E2D"/>
    <w:multiLevelType w:val="hybridMultilevel"/>
    <w:tmpl w:val="1098D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B3D37"/>
    <w:multiLevelType w:val="multilevel"/>
    <w:tmpl w:val="8556AFD2"/>
    <w:lvl w:ilvl="0">
      <w:start w:val="7"/>
      <w:numFmt w:val="decimal"/>
      <w:lvlText w:val="%1."/>
      <w:lvlJc w:val="left"/>
      <w:pPr>
        <w:ind w:left="15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1800"/>
      </w:pPr>
      <w:rPr>
        <w:rFonts w:hint="default"/>
      </w:rPr>
    </w:lvl>
  </w:abstractNum>
  <w:num w:numId="1">
    <w:abstractNumId w:val="28"/>
  </w:num>
  <w:num w:numId="2">
    <w:abstractNumId w:val="21"/>
  </w:num>
  <w:num w:numId="3">
    <w:abstractNumId w:val="22"/>
  </w:num>
  <w:num w:numId="4">
    <w:abstractNumId w:val="24"/>
  </w:num>
  <w:num w:numId="5">
    <w:abstractNumId w:val="26"/>
  </w:num>
  <w:num w:numId="6">
    <w:abstractNumId w:val="7"/>
  </w:num>
  <w:num w:numId="7">
    <w:abstractNumId w:val="10"/>
  </w:num>
  <w:num w:numId="8">
    <w:abstractNumId w:val="12"/>
  </w:num>
  <w:num w:numId="9">
    <w:abstractNumId w:val="32"/>
  </w:num>
  <w:num w:numId="10">
    <w:abstractNumId w:val="31"/>
  </w:num>
  <w:num w:numId="11">
    <w:abstractNumId w:val="9"/>
  </w:num>
  <w:num w:numId="12">
    <w:abstractNumId w:val="17"/>
  </w:num>
  <w:num w:numId="13">
    <w:abstractNumId w:val="5"/>
  </w:num>
  <w:num w:numId="14">
    <w:abstractNumId w:val="2"/>
  </w:num>
  <w:num w:numId="15">
    <w:abstractNumId w:val="13"/>
  </w:num>
  <w:num w:numId="16">
    <w:abstractNumId w:val="23"/>
  </w:num>
  <w:num w:numId="17">
    <w:abstractNumId w:val="3"/>
  </w:num>
  <w:num w:numId="18">
    <w:abstractNumId w:val="15"/>
  </w:num>
  <w:num w:numId="19">
    <w:abstractNumId w:val="30"/>
  </w:num>
  <w:num w:numId="20">
    <w:abstractNumId w:val="29"/>
  </w:num>
  <w:num w:numId="21">
    <w:abstractNumId w:val="0"/>
  </w:num>
  <w:num w:numId="22">
    <w:abstractNumId w:val="27"/>
  </w:num>
  <w:num w:numId="23">
    <w:abstractNumId w:val="6"/>
  </w:num>
  <w:num w:numId="24">
    <w:abstractNumId w:val="14"/>
  </w:num>
  <w:num w:numId="25">
    <w:abstractNumId w:val="1"/>
  </w:num>
  <w:num w:numId="26">
    <w:abstractNumId w:val="16"/>
  </w:num>
  <w:num w:numId="27">
    <w:abstractNumId w:val="19"/>
  </w:num>
  <w:num w:numId="28">
    <w:abstractNumId w:val="18"/>
  </w:num>
  <w:num w:numId="29">
    <w:abstractNumId w:val="11"/>
  </w:num>
  <w:num w:numId="30">
    <w:abstractNumId w:val="20"/>
  </w:num>
  <w:num w:numId="31">
    <w:abstractNumId w:val="25"/>
  </w:num>
  <w:num w:numId="32">
    <w:abstractNumId w:val="8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66A"/>
    <w:rsid w:val="00001DA2"/>
    <w:rsid w:val="00030DB3"/>
    <w:rsid w:val="0004405D"/>
    <w:rsid w:val="000460C0"/>
    <w:rsid w:val="00064F01"/>
    <w:rsid w:val="00085153"/>
    <w:rsid w:val="000B4179"/>
    <w:rsid w:val="000B41C3"/>
    <w:rsid w:val="00155C18"/>
    <w:rsid w:val="0015666A"/>
    <w:rsid w:val="0017135B"/>
    <w:rsid w:val="00191EF7"/>
    <w:rsid w:val="001B738B"/>
    <w:rsid w:val="001F4ECC"/>
    <w:rsid w:val="00225993"/>
    <w:rsid w:val="00264B2B"/>
    <w:rsid w:val="002815B7"/>
    <w:rsid w:val="00286F4D"/>
    <w:rsid w:val="002A2B8A"/>
    <w:rsid w:val="002C14D2"/>
    <w:rsid w:val="002C3DEC"/>
    <w:rsid w:val="002F7D5E"/>
    <w:rsid w:val="003130A2"/>
    <w:rsid w:val="003172FE"/>
    <w:rsid w:val="00317928"/>
    <w:rsid w:val="00346C1B"/>
    <w:rsid w:val="003A6B85"/>
    <w:rsid w:val="003E74DD"/>
    <w:rsid w:val="003F6175"/>
    <w:rsid w:val="004061F0"/>
    <w:rsid w:val="004749C7"/>
    <w:rsid w:val="00481296"/>
    <w:rsid w:val="00496FAA"/>
    <w:rsid w:val="004A32C9"/>
    <w:rsid w:val="004B7CBC"/>
    <w:rsid w:val="00505B4A"/>
    <w:rsid w:val="0052737B"/>
    <w:rsid w:val="005A6170"/>
    <w:rsid w:val="005B4225"/>
    <w:rsid w:val="005C6227"/>
    <w:rsid w:val="005D58AA"/>
    <w:rsid w:val="00605E08"/>
    <w:rsid w:val="006274E4"/>
    <w:rsid w:val="00630594"/>
    <w:rsid w:val="00670DAC"/>
    <w:rsid w:val="006721ED"/>
    <w:rsid w:val="006845C5"/>
    <w:rsid w:val="006B1BC8"/>
    <w:rsid w:val="007157BC"/>
    <w:rsid w:val="00755963"/>
    <w:rsid w:val="007B3F2B"/>
    <w:rsid w:val="007C4DFE"/>
    <w:rsid w:val="00814D0B"/>
    <w:rsid w:val="00821D3A"/>
    <w:rsid w:val="008522C0"/>
    <w:rsid w:val="00885C91"/>
    <w:rsid w:val="008B093D"/>
    <w:rsid w:val="00930CCD"/>
    <w:rsid w:val="009759BB"/>
    <w:rsid w:val="00993564"/>
    <w:rsid w:val="009A1A2D"/>
    <w:rsid w:val="009D1C9A"/>
    <w:rsid w:val="00A80C13"/>
    <w:rsid w:val="00AB1BF6"/>
    <w:rsid w:val="00AB5CB8"/>
    <w:rsid w:val="00AE168B"/>
    <w:rsid w:val="00B001AA"/>
    <w:rsid w:val="00B30950"/>
    <w:rsid w:val="00B9736D"/>
    <w:rsid w:val="00BB34C1"/>
    <w:rsid w:val="00BD6828"/>
    <w:rsid w:val="00C665C5"/>
    <w:rsid w:val="00CA02F6"/>
    <w:rsid w:val="00CB2537"/>
    <w:rsid w:val="00CC2C8B"/>
    <w:rsid w:val="00D15ED6"/>
    <w:rsid w:val="00D45654"/>
    <w:rsid w:val="00D51314"/>
    <w:rsid w:val="00D7390E"/>
    <w:rsid w:val="00D7760F"/>
    <w:rsid w:val="00DA42FE"/>
    <w:rsid w:val="00DC424A"/>
    <w:rsid w:val="00E15B1A"/>
    <w:rsid w:val="00E238B5"/>
    <w:rsid w:val="00E23D21"/>
    <w:rsid w:val="00E75032"/>
    <w:rsid w:val="00EC023F"/>
    <w:rsid w:val="00EE475A"/>
    <w:rsid w:val="00F4524D"/>
    <w:rsid w:val="00F8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4E"/>
  </w:style>
  <w:style w:type="paragraph" w:styleId="Heading6">
    <w:name w:val="heading 6"/>
    <w:basedOn w:val="Normal"/>
    <w:next w:val="Normal"/>
    <w:link w:val="Heading6Char"/>
    <w:qFormat/>
    <w:rsid w:val="0015666A"/>
    <w:pPr>
      <w:spacing w:before="240" w:after="60" w:line="276" w:lineRule="auto"/>
      <w:outlineLvl w:val="5"/>
    </w:pPr>
    <w:rPr>
      <w:rFonts w:ascii="Calibri" w:eastAsia="Calibri" w:hAnsi="Calibri" w:cs="Times New Roman"/>
      <w:b/>
      <w:bCs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666A"/>
    <w:rPr>
      <w:rFonts w:ascii="Calibri" w:eastAsia="Calibri" w:hAnsi="Calibri" w:cs="Times New Roman"/>
      <w:b/>
      <w:bCs/>
      <w:lang w:val="sq-AL"/>
    </w:rPr>
  </w:style>
  <w:style w:type="paragraph" w:styleId="Header">
    <w:name w:val="header"/>
    <w:basedOn w:val="Normal"/>
    <w:link w:val="HeaderChar"/>
    <w:uiPriority w:val="99"/>
    <w:unhideWhenUsed/>
    <w:rsid w:val="00156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66A"/>
  </w:style>
  <w:style w:type="paragraph" w:styleId="Footer">
    <w:name w:val="footer"/>
    <w:basedOn w:val="Normal"/>
    <w:link w:val="FooterChar"/>
    <w:uiPriority w:val="99"/>
    <w:unhideWhenUsed/>
    <w:rsid w:val="00156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66A"/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15666A"/>
    <w:pPr>
      <w:ind w:left="720"/>
      <w:contextualSpacing/>
    </w:pPr>
  </w:style>
  <w:style w:type="character" w:customStyle="1" w:styleId="ListParagraphChar">
    <w:name w:val="List Paragraph Char"/>
    <w:aliases w:val="List Paragraph2 Char"/>
    <w:link w:val="ListParagraph"/>
    <w:uiPriority w:val="34"/>
    <w:locked/>
    <w:rsid w:val="0015666A"/>
  </w:style>
  <w:style w:type="character" w:styleId="CommentReference">
    <w:name w:val="annotation reference"/>
    <w:basedOn w:val="DefaultParagraphFont"/>
    <w:unhideWhenUsed/>
    <w:rsid w:val="0015666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6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6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6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66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66A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15666A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q-AL"/>
    </w:rPr>
  </w:style>
  <w:style w:type="character" w:customStyle="1" w:styleId="BodyTextIndentChar">
    <w:name w:val="Body Text Indent Char"/>
    <w:basedOn w:val="DefaultParagraphFont"/>
    <w:link w:val="BodyTextIndent"/>
    <w:rsid w:val="0015666A"/>
    <w:rPr>
      <w:rFonts w:ascii="Times New Roman" w:eastAsia="Times New Roman" w:hAnsi="Times New Roman" w:cs="Times New Roman"/>
      <w:sz w:val="24"/>
      <w:szCs w:val="20"/>
      <w:lang w:val="sq-AL"/>
    </w:rPr>
  </w:style>
  <w:style w:type="character" w:customStyle="1" w:styleId="JuParaCar">
    <w:name w:val="Ju_Para Car"/>
    <w:link w:val="JuPara"/>
    <w:locked/>
    <w:rsid w:val="00AB1BF6"/>
    <w:rPr>
      <w:sz w:val="24"/>
      <w:lang w:val="en-GB" w:eastAsia="fr-FR"/>
    </w:rPr>
  </w:style>
  <w:style w:type="paragraph" w:customStyle="1" w:styleId="JuPara">
    <w:name w:val="Ju_Para"/>
    <w:basedOn w:val="Normal"/>
    <w:link w:val="JuParaCar"/>
    <w:rsid w:val="00AB1BF6"/>
    <w:pPr>
      <w:suppressAutoHyphens/>
      <w:spacing w:after="0" w:line="240" w:lineRule="auto"/>
      <w:ind w:firstLine="284"/>
      <w:jc w:val="both"/>
    </w:pPr>
    <w:rPr>
      <w:sz w:val="24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A211-6B0E-4C4F-95AC-1BDFA119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cp:lastPrinted>2022-01-17T08:55:00Z</cp:lastPrinted>
  <dcterms:created xsi:type="dcterms:W3CDTF">2022-01-14T12:58:00Z</dcterms:created>
  <dcterms:modified xsi:type="dcterms:W3CDTF">2022-01-17T08:55:00Z</dcterms:modified>
</cp:coreProperties>
</file>