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CD9" w:rsidRDefault="00482FD8" w:rsidP="00C23CD9">
      <w:pPr>
        <w:spacing w:line="360" w:lineRule="auto"/>
        <w:ind w:firstLine="720"/>
        <w:jc w:val="center"/>
        <w:rPr>
          <w:b/>
        </w:rPr>
      </w:pPr>
      <w:r w:rsidRPr="001B718F">
        <w:rPr>
          <w:b/>
          <w:bCs/>
        </w:rPr>
        <w:t>V</w:t>
      </w:r>
      <w:r w:rsidR="00C23CD9">
        <w:rPr>
          <w:b/>
          <w:bCs/>
        </w:rPr>
        <w:t>endim nr. 45 dat</w:t>
      </w:r>
      <w:r w:rsidR="00C23CD9" w:rsidRPr="001B718F">
        <w:rPr>
          <w:b/>
        </w:rPr>
        <w:t xml:space="preserve">ë </w:t>
      </w:r>
      <w:r w:rsidR="00C23CD9">
        <w:rPr>
          <w:b/>
        </w:rPr>
        <w:t>29.06</w:t>
      </w:r>
      <w:r w:rsidR="00C23CD9" w:rsidRPr="001B718F">
        <w:rPr>
          <w:b/>
        </w:rPr>
        <w:t>.2015</w:t>
      </w:r>
    </w:p>
    <w:p w:rsidR="00C23CD9" w:rsidRPr="001B718F" w:rsidRDefault="00C23CD9" w:rsidP="00C23CD9">
      <w:pPr>
        <w:spacing w:line="360" w:lineRule="auto"/>
        <w:ind w:firstLine="720"/>
        <w:jc w:val="center"/>
        <w:rPr>
          <w:b/>
        </w:rPr>
      </w:pPr>
      <w:r>
        <w:rPr>
          <w:b/>
        </w:rPr>
        <w:t>(V-45/15)</w:t>
      </w:r>
    </w:p>
    <w:p w:rsidR="00AF6BDE" w:rsidRPr="001B718F" w:rsidRDefault="00482FD8" w:rsidP="00AF6BDE">
      <w:pPr>
        <w:spacing w:line="360" w:lineRule="auto"/>
        <w:ind w:firstLine="720"/>
        <w:jc w:val="both"/>
        <w:rPr>
          <w:b/>
          <w:bCs/>
        </w:rPr>
      </w:pPr>
      <w:r w:rsidRPr="001B718F">
        <w:rPr>
          <w:b/>
          <w:bCs/>
        </w:rPr>
        <w:tab/>
      </w:r>
    </w:p>
    <w:p w:rsidR="00482FD8" w:rsidRPr="001B718F" w:rsidRDefault="00C71EAB" w:rsidP="00AF6BDE">
      <w:pPr>
        <w:spacing w:line="360" w:lineRule="auto"/>
        <w:ind w:firstLine="720"/>
        <w:jc w:val="both"/>
      </w:pPr>
      <w:r w:rsidRPr="001B718F">
        <w:t>Gjykata Kushtetuese e Republikës së Shqipërisë, e përbërë nga:</w:t>
      </w:r>
      <w:r w:rsidR="00C23CD9">
        <w:t xml:space="preserve"> </w:t>
      </w:r>
      <w:r w:rsidR="00482FD8" w:rsidRPr="001B718F">
        <w:t xml:space="preserve">Bashkim Dedja, </w:t>
      </w:r>
      <w:r w:rsidR="00C23CD9">
        <w:t xml:space="preserve"> </w:t>
      </w:r>
      <w:r w:rsidR="00482FD8" w:rsidRPr="001B718F">
        <w:t>Kryetar</w:t>
      </w:r>
      <w:r w:rsidR="00C23CD9">
        <w:t xml:space="preserve">, </w:t>
      </w:r>
      <w:r w:rsidR="00482FD8" w:rsidRPr="001B718F">
        <w:t>Vladimir Kristo,</w:t>
      </w:r>
      <w:r w:rsidR="00C23CD9">
        <w:t xml:space="preserve"> </w:t>
      </w:r>
      <w:r w:rsidR="00482FD8" w:rsidRPr="001B718F">
        <w:t>Sokol Berberi,</w:t>
      </w:r>
      <w:r w:rsidR="00C23CD9">
        <w:t xml:space="preserve"> </w:t>
      </w:r>
      <w:r w:rsidR="00482FD8" w:rsidRPr="001B718F">
        <w:t>Vitore Tusha,</w:t>
      </w:r>
      <w:r w:rsidR="00C23CD9">
        <w:t xml:space="preserve"> </w:t>
      </w:r>
      <w:r w:rsidR="00482FD8" w:rsidRPr="001B718F">
        <w:t>Altina Xhoxhaj,</w:t>
      </w:r>
      <w:r w:rsidR="00C23CD9">
        <w:t xml:space="preserve"> </w:t>
      </w:r>
      <w:r w:rsidR="00482FD8" w:rsidRPr="001B718F">
        <w:t>Fatmir Hoxha,</w:t>
      </w:r>
      <w:r w:rsidR="00C23CD9">
        <w:t xml:space="preserve"> </w:t>
      </w:r>
      <w:r w:rsidR="00AF1B35" w:rsidRPr="001B718F">
        <w:t>Gani Dizdari,</w:t>
      </w:r>
      <w:r w:rsidR="00C23CD9" w:rsidRPr="001B718F">
        <w:t xml:space="preserve"> </w:t>
      </w:r>
      <w:r w:rsidR="00482FD8" w:rsidRPr="001B718F">
        <w:t>Fatos Lulo,</w:t>
      </w:r>
      <w:r w:rsidR="00C23CD9">
        <w:t xml:space="preserve"> </w:t>
      </w:r>
      <w:r w:rsidR="00482FD8" w:rsidRPr="001B718F">
        <w:t>Besnik Imeraj,</w:t>
      </w:r>
      <w:r w:rsidR="00C23CD9">
        <w:t xml:space="preserve"> a</w:t>
      </w:r>
      <w:r w:rsidR="00482FD8" w:rsidRPr="001B718F">
        <w:t>nëtar</w:t>
      </w:r>
      <w:r w:rsidR="00C23CD9">
        <w:t>ë, m</w:t>
      </w:r>
      <w:r w:rsidR="008A76C1" w:rsidRPr="001B718F">
        <w:t>e sekretare Blerina</w:t>
      </w:r>
      <w:r w:rsidR="00AF6BDE" w:rsidRPr="001B718F">
        <w:t xml:space="preserve"> </w:t>
      </w:r>
      <w:r w:rsidR="008A76C1" w:rsidRPr="001B718F">
        <w:t>(</w:t>
      </w:r>
      <w:r w:rsidR="001A060F" w:rsidRPr="001B718F">
        <w:t>Çinari) Basha</w:t>
      </w:r>
      <w:r w:rsidR="00171548">
        <w:t>,</w:t>
      </w:r>
      <w:r w:rsidR="001A060F" w:rsidRPr="001B718F">
        <w:t xml:space="preserve"> në</w:t>
      </w:r>
      <w:r w:rsidRPr="001B718F">
        <w:t xml:space="preserve"> dat</w:t>
      </w:r>
      <w:r w:rsidR="001A060F" w:rsidRPr="001B718F">
        <w:t>ë</w:t>
      </w:r>
      <w:r w:rsidRPr="001B718F">
        <w:t>n</w:t>
      </w:r>
      <w:r w:rsidR="0065401D">
        <w:t xml:space="preserve"> 03.02.2015 </w:t>
      </w:r>
      <w:r w:rsidR="008A76C1" w:rsidRPr="001B718F">
        <w:t>Gjykata Kushtetuese mori n</w:t>
      </w:r>
      <w:r w:rsidR="00BF1997" w:rsidRPr="001B718F">
        <w:t>ë</w:t>
      </w:r>
      <w:r w:rsidR="008A76C1" w:rsidRPr="001B718F">
        <w:t xml:space="preserve"> shqyrtim n</w:t>
      </w:r>
      <w:r w:rsidR="00BF1997" w:rsidRPr="001B718F">
        <w:t>ë</w:t>
      </w:r>
      <w:r w:rsidR="008A76C1" w:rsidRPr="001B718F">
        <w:t xml:space="preserve"> seanc</w:t>
      </w:r>
      <w:r w:rsidR="00BF1997" w:rsidRPr="001B718F">
        <w:t>ë</w:t>
      </w:r>
      <w:r w:rsidR="008A76C1" w:rsidRPr="001B718F">
        <w:t xml:space="preserve"> plenare</w:t>
      </w:r>
      <w:r w:rsidR="00171548">
        <w:t>,</w:t>
      </w:r>
      <w:r w:rsidR="008A76C1" w:rsidRPr="001B718F">
        <w:t xml:space="preserve"> mbi baz</w:t>
      </w:r>
      <w:r w:rsidR="00BF1997" w:rsidRPr="001B718F">
        <w:t>ë</w:t>
      </w:r>
      <w:r w:rsidR="00171548">
        <w:t xml:space="preserve"> dokumente</w:t>
      </w:r>
      <w:r w:rsidR="008A76C1" w:rsidRPr="001B718F">
        <w:t>sh</w:t>
      </w:r>
      <w:r w:rsidR="004A0A46">
        <w:t>,</w:t>
      </w:r>
      <w:r w:rsidR="008A76C1" w:rsidRPr="001B718F">
        <w:t xml:space="preserve"> çështjen me nr 67</w:t>
      </w:r>
      <w:r w:rsidR="007409EE">
        <w:t>/34</w:t>
      </w:r>
      <w:r w:rsidR="008A76C1" w:rsidRPr="001B718F">
        <w:t xml:space="preserve"> Akti, q</w:t>
      </w:r>
      <w:r w:rsidR="00BF1997" w:rsidRPr="001B718F">
        <w:t>ë</w:t>
      </w:r>
      <w:r w:rsidR="008A76C1" w:rsidRPr="001B718F">
        <w:t xml:space="preserve"> i p</w:t>
      </w:r>
      <w:r w:rsidR="00BF1997" w:rsidRPr="001B718F">
        <w:t>ë</w:t>
      </w:r>
      <w:r w:rsidR="008A76C1" w:rsidRPr="001B718F">
        <w:t>rket</w:t>
      </w:r>
      <w:r w:rsidR="00482FD8" w:rsidRPr="001B718F">
        <w:t xml:space="preserve">: </w:t>
      </w:r>
    </w:p>
    <w:p w:rsidR="00482FD8" w:rsidRPr="001B718F" w:rsidRDefault="00482FD8" w:rsidP="00AF6BDE">
      <w:pPr>
        <w:spacing w:line="360" w:lineRule="auto"/>
        <w:jc w:val="both"/>
        <w:rPr>
          <w:b/>
        </w:rPr>
      </w:pPr>
    </w:p>
    <w:p w:rsidR="00482FD8" w:rsidRDefault="00482FD8" w:rsidP="00AF6BDE">
      <w:pPr>
        <w:spacing w:line="360" w:lineRule="auto"/>
        <w:ind w:firstLine="720"/>
        <w:jc w:val="both"/>
        <w:rPr>
          <w:b/>
        </w:rPr>
      </w:pPr>
      <w:r w:rsidRPr="001B718F">
        <w:rPr>
          <w:b/>
        </w:rPr>
        <w:t>KËRKUES:</w:t>
      </w:r>
      <w:r w:rsidRPr="001B718F">
        <w:t xml:space="preserve"> </w:t>
      </w:r>
      <w:r w:rsidRPr="001B718F">
        <w:tab/>
      </w:r>
      <w:r w:rsidRPr="001B718F">
        <w:tab/>
      </w:r>
      <w:r w:rsidRPr="001B718F">
        <w:tab/>
      </w:r>
      <w:r w:rsidR="00171548" w:rsidRPr="001B718F">
        <w:rPr>
          <w:b/>
        </w:rPr>
        <w:t>BETIM TRUCI</w:t>
      </w:r>
      <w:r w:rsidR="00171548" w:rsidRPr="001B718F">
        <w:tab/>
      </w:r>
      <w:r w:rsidRPr="001B718F">
        <w:rPr>
          <w:b/>
        </w:rPr>
        <w:t xml:space="preserve"> </w:t>
      </w:r>
    </w:p>
    <w:p w:rsidR="00321058" w:rsidRDefault="00321058" w:rsidP="00AF6BDE">
      <w:pPr>
        <w:spacing w:line="360" w:lineRule="auto"/>
        <w:ind w:firstLine="720"/>
        <w:jc w:val="both"/>
        <w:rPr>
          <w:b/>
        </w:rPr>
      </w:pPr>
    </w:p>
    <w:p w:rsidR="00321058" w:rsidRDefault="00321058" w:rsidP="00AF6BDE">
      <w:pPr>
        <w:spacing w:line="360" w:lineRule="auto"/>
        <w:ind w:firstLine="720"/>
        <w:jc w:val="both"/>
        <w:rPr>
          <w:b/>
        </w:rPr>
      </w:pPr>
      <w:r>
        <w:rPr>
          <w:b/>
        </w:rPr>
        <w:t>SUBJEKT I INTERESUAR:</w:t>
      </w:r>
    </w:p>
    <w:p w:rsidR="00321058" w:rsidRPr="001B718F" w:rsidRDefault="00321058" w:rsidP="00AF6BDE">
      <w:pPr>
        <w:spacing w:line="360" w:lineRule="auto"/>
        <w:ind w:firstLine="720"/>
        <w:jc w:val="both"/>
        <w:rPr>
          <w:b/>
        </w:rPr>
      </w:pPr>
      <w:r>
        <w:rPr>
          <w:b/>
        </w:rPr>
        <w:tab/>
      </w:r>
      <w:r>
        <w:rPr>
          <w:b/>
        </w:rPr>
        <w:tab/>
      </w:r>
      <w:r>
        <w:rPr>
          <w:b/>
        </w:rPr>
        <w:tab/>
      </w:r>
      <w:r>
        <w:rPr>
          <w:b/>
        </w:rPr>
        <w:tab/>
        <w:t>KOMUNITETI MYSLIMAN I SHQIPËRISË</w:t>
      </w:r>
    </w:p>
    <w:p w:rsidR="00482FD8" w:rsidRPr="001B718F" w:rsidRDefault="00482FD8" w:rsidP="00AF6BDE">
      <w:pPr>
        <w:spacing w:line="360" w:lineRule="auto"/>
        <w:ind w:left="3600" w:hanging="3600"/>
        <w:jc w:val="both"/>
        <w:rPr>
          <w:b/>
        </w:rPr>
      </w:pPr>
    </w:p>
    <w:p w:rsidR="00482FD8" w:rsidRDefault="00482FD8" w:rsidP="0065401D">
      <w:pPr>
        <w:spacing w:line="360" w:lineRule="auto"/>
        <w:ind w:left="3600" w:hanging="2880"/>
        <w:jc w:val="both"/>
        <w:rPr>
          <w:b/>
        </w:rPr>
      </w:pPr>
      <w:r w:rsidRPr="001B718F">
        <w:rPr>
          <w:b/>
        </w:rPr>
        <w:t>OBJEKTI:</w:t>
      </w:r>
      <w:r w:rsidRPr="001B718F">
        <w:t xml:space="preserve"> </w:t>
      </w:r>
      <w:r w:rsidRPr="001B718F">
        <w:tab/>
      </w:r>
      <w:r w:rsidR="00304347">
        <w:rPr>
          <w:b/>
        </w:rPr>
        <w:t xml:space="preserve">Shfuqizimi si të papajtueshme </w:t>
      </w:r>
      <w:r w:rsidRPr="001B718F">
        <w:rPr>
          <w:b/>
        </w:rPr>
        <w:t xml:space="preserve">me Kushtetutën e Republikës së Shqipërisë </w:t>
      </w:r>
      <w:r w:rsidR="00DD7982">
        <w:rPr>
          <w:b/>
        </w:rPr>
        <w:t>i</w:t>
      </w:r>
      <w:r w:rsidRPr="001B718F">
        <w:rPr>
          <w:b/>
        </w:rPr>
        <w:t xml:space="preserve"> vendimeve nr. 00</w:t>
      </w:r>
      <w:r w:rsidR="008D53BF">
        <w:rPr>
          <w:b/>
        </w:rPr>
        <w:t>-</w:t>
      </w:r>
      <w:r w:rsidRPr="001B718F">
        <w:rPr>
          <w:b/>
        </w:rPr>
        <w:t>2013-1026</w:t>
      </w:r>
      <w:r w:rsidR="00BD6304" w:rsidRPr="001B718F">
        <w:rPr>
          <w:b/>
        </w:rPr>
        <w:t>,</w:t>
      </w:r>
      <w:r w:rsidRPr="001B718F">
        <w:rPr>
          <w:b/>
        </w:rPr>
        <w:t xml:space="preserve"> datë </w:t>
      </w:r>
      <w:r w:rsidR="00BD6304" w:rsidRPr="001B718F">
        <w:rPr>
          <w:b/>
        </w:rPr>
        <w:t>10.05.2013 të Gjykatës së Lartë</w:t>
      </w:r>
      <w:r w:rsidR="00757E39">
        <w:rPr>
          <w:b/>
        </w:rPr>
        <w:t xml:space="preserve"> dhe nr. 1446, datë 20.06.2011</w:t>
      </w:r>
      <w:r w:rsidRPr="001B718F">
        <w:rPr>
          <w:b/>
        </w:rPr>
        <w:t xml:space="preserve"> të Gjykatës së Apelit Tiranë</w:t>
      </w:r>
      <w:r w:rsidR="00304347">
        <w:rPr>
          <w:b/>
        </w:rPr>
        <w:t>.</w:t>
      </w:r>
      <w:r w:rsidRPr="001B718F">
        <w:rPr>
          <w:b/>
        </w:rPr>
        <w:t xml:space="preserve"> </w:t>
      </w:r>
    </w:p>
    <w:p w:rsidR="0065401D" w:rsidRPr="001B718F" w:rsidRDefault="0065401D" w:rsidP="0065401D">
      <w:pPr>
        <w:spacing w:line="360" w:lineRule="auto"/>
        <w:ind w:left="3600" w:hanging="2880"/>
        <w:jc w:val="both"/>
        <w:rPr>
          <w:b/>
        </w:rPr>
      </w:pPr>
    </w:p>
    <w:p w:rsidR="00BF1997" w:rsidRPr="001B718F" w:rsidRDefault="00BF1997" w:rsidP="00AF6BDE">
      <w:pPr>
        <w:spacing w:line="360" w:lineRule="auto"/>
        <w:ind w:left="3600" w:hanging="2880"/>
        <w:jc w:val="both"/>
      </w:pPr>
      <w:r w:rsidRPr="001B718F">
        <w:rPr>
          <w:b/>
        </w:rPr>
        <w:t>BAZA LIGJORE:</w:t>
      </w:r>
      <w:r w:rsidRPr="001B718F">
        <w:rPr>
          <w:b/>
        </w:rPr>
        <w:tab/>
      </w:r>
      <w:r w:rsidRPr="001B718F">
        <w:t>Nenet 42, 131/f, 134/g dhe 142/3 të Kushtetutës së Republikës së Shqipërisë</w:t>
      </w:r>
      <w:r w:rsidR="00171548">
        <w:t>.</w:t>
      </w:r>
    </w:p>
    <w:p w:rsidR="00757E39" w:rsidRDefault="00757E39" w:rsidP="00757E39">
      <w:pPr>
        <w:tabs>
          <w:tab w:val="left" w:pos="0"/>
        </w:tabs>
        <w:spacing w:line="360" w:lineRule="auto"/>
        <w:jc w:val="center"/>
        <w:rPr>
          <w:b/>
        </w:rPr>
      </w:pPr>
    </w:p>
    <w:p w:rsidR="00757E39" w:rsidRPr="00A13DDD" w:rsidRDefault="00757E39" w:rsidP="00757E39">
      <w:pPr>
        <w:tabs>
          <w:tab w:val="left" w:pos="0"/>
        </w:tabs>
        <w:spacing w:line="360" w:lineRule="auto"/>
        <w:jc w:val="center"/>
        <w:rPr>
          <w:b/>
        </w:rPr>
      </w:pPr>
      <w:r w:rsidRPr="00A13DDD">
        <w:rPr>
          <w:b/>
        </w:rPr>
        <w:t>GJYKATA KUSHTETUESE,</w:t>
      </w:r>
    </w:p>
    <w:p w:rsidR="00637EF2" w:rsidRPr="001B718F" w:rsidRDefault="00637EF2" w:rsidP="00AF6BDE">
      <w:pPr>
        <w:spacing w:line="360" w:lineRule="auto"/>
        <w:ind w:firstLine="720"/>
        <w:jc w:val="both"/>
      </w:pPr>
      <w:r w:rsidRPr="001B718F">
        <w:t>pasi dëgjoi relatorin e çështjes Besnik Imeraj; kërkuesi</w:t>
      </w:r>
      <w:r w:rsidR="00BF1997" w:rsidRPr="001B718F">
        <w:t>n</w:t>
      </w:r>
      <w:r w:rsidRPr="001B718F">
        <w:t xml:space="preserve"> që n</w:t>
      </w:r>
      <w:r w:rsidR="00BF1997" w:rsidRPr="001B718F">
        <w:t>ë</w:t>
      </w:r>
      <w:r w:rsidRPr="001B718F">
        <w:t xml:space="preserve"> parashtrim</w:t>
      </w:r>
      <w:r w:rsidR="00BF1997" w:rsidRPr="001B718F">
        <w:t>et</w:t>
      </w:r>
      <w:r w:rsidRPr="001B718F">
        <w:t xml:space="preserve"> e tij me shkrim ka kërkuar pranimin e kërkesës; </w:t>
      </w:r>
      <w:r w:rsidR="000F0DDB" w:rsidRPr="001B718F">
        <w:t>subjektin</w:t>
      </w:r>
      <w:r w:rsidRPr="001B718F">
        <w:t xml:space="preserve"> </w:t>
      </w:r>
      <w:r w:rsidR="000F0DDB" w:rsidRPr="001B718F">
        <w:t>e</w:t>
      </w:r>
      <w:r w:rsidRPr="001B718F">
        <w:t xml:space="preserve"> interesuar që ka kërkuar rrëzimin </w:t>
      </w:r>
      <w:r w:rsidR="00757E39">
        <w:t xml:space="preserve">e kërkesës, si dhe diskutoi </w:t>
      </w:r>
      <w:r w:rsidRPr="001B718F">
        <w:t>çështjen në tërësi,</w:t>
      </w:r>
    </w:p>
    <w:p w:rsidR="00482FD8" w:rsidRPr="001B718F" w:rsidRDefault="00482FD8" w:rsidP="00AF6BDE">
      <w:pPr>
        <w:suppressAutoHyphens/>
        <w:spacing w:line="360" w:lineRule="auto"/>
        <w:ind w:firstLine="720"/>
        <w:jc w:val="both"/>
        <w:outlineLvl w:val="0"/>
        <w:rPr>
          <w:lang w:eastAsia="fr-FR"/>
        </w:rPr>
      </w:pPr>
    </w:p>
    <w:p w:rsidR="00482FD8" w:rsidRPr="001B718F" w:rsidRDefault="00482FD8" w:rsidP="00D86BEB">
      <w:pPr>
        <w:spacing w:line="360" w:lineRule="auto"/>
        <w:jc w:val="center"/>
        <w:rPr>
          <w:b/>
          <w:bCs/>
        </w:rPr>
      </w:pPr>
      <w:r w:rsidRPr="001B718F">
        <w:rPr>
          <w:b/>
          <w:bCs/>
        </w:rPr>
        <w:t>V Ë R E N:</w:t>
      </w:r>
    </w:p>
    <w:p w:rsidR="00AD23F0" w:rsidRPr="001B718F" w:rsidRDefault="00AD23F0" w:rsidP="00AF6BDE">
      <w:pPr>
        <w:spacing w:line="360" w:lineRule="auto"/>
        <w:jc w:val="both"/>
        <w:rPr>
          <w:b/>
        </w:rPr>
      </w:pPr>
      <w:r w:rsidRPr="001B718F">
        <w:tab/>
      </w:r>
      <w:r w:rsidRPr="001B718F">
        <w:tab/>
      </w:r>
      <w:r w:rsidRPr="001B718F">
        <w:tab/>
      </w:r>
      <w:r w:rsidRPr="001B718F">
        <w:tab/>
      </w:r>
      <w:r w:rsidRPr="001B718F">
        <w:tab/>
      </w:r>
      <w:r w:rsidRPr="001B718F">
        <w:tab/>
      </w:r>
      <w:r w:rsidR="00637EF2" w:rsidRPr="001B718F">
        <w:t xml:space="preserve">     </w:t>
      </w:r>
      <w:r w:rsidRPr="001B718F">
        <w:rPr>
          <w:b/>
        </w:rPr>
        <w:t>I</w:t>
      </w:r>
    </w:p>
    <w:p w:rsidR="00AD23F0" w:rsidRPr="001B718F" w:rsidRDefault="00757E39" w:rsidP="00AF6BDE">
      <w:pPr>
        <w:pStyle w:val="ListParagraph"/>
        <w:numPr>
          <w:ilvl w:val="0"/>
          <w:numId w:val="3"/>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Kërkuesi</w:t>
      </w:r>
      <w:r w:rsidR="00AD23F0" w:rsidRPr="001B718F">
        <w:rPr>
          <w:rFonts w:ascii="Times New Roman" w:hAnsi="Times New Roman"/>
          <w:sz w:val="24"/>
          <w:szCs w:val="24"/>
        </w:rPr>
        <w:t xml:space="preserve"> Betim Truci ka qenë anëtar i Kryesisë së Këshillit të Përgjithshëm të Komunitetit Mysliman të Shqipërisë (KMSH</w:t>
      </w:r>
      <w:r>
        <w:rPr>
          <w:rFonts w:ascii="Times New Roman" w:hAnsi="Times New Roman"/>
          <w:sz w:val="24"/>
          <w:szCs w:val="24"/>
        </w:rPr>
        <w:t>-s</w:t>
      </w:r>
      <w:r w:rsidR="00846AB9">
        <w:rPr>
          <w:rFonts w:ascii="Times New Roman" w:hAnsi="Times New Roman"/>
          <w:sz w:val="24"/>
          <w:szCs w:val="24"/>
        </w:rPr>
        <w:t>ë</w:t>
      </w:r>
      <w:r>
        <w:rPr>
          <w:rFonts w:ascii="Times New Roman" w:hAnsi="Times New Roman"/>
          <w:sz w:val="24"/>
          <w:szCs w:val="24"/>
        </w:rPr>
        <w:t>). Me vendimet nr.12</w:t>
      </w:r>
      <w:r w:rsidR="00AD23F0" w:rsidRPr="001B718F">
        <w:rPr>
          <w:rFonts w:ascii="Times New Roman" w:hAnsi="Times New Roman"/>
          <w:sz w:val="24"/>
          <w:szCs w:val="24"/>
        </w:rPr>
        <w:t xml:space="preserve"> dhe nr.13 të datës 15.09.2010 të këtij këshilli është bërë shkarkimi i kërkuesit dhe tre anëtarëve të tjerë të KMSH-së.</w:t>
      </w:r>
    </w:p>
    <w:p w:rsidR="00AD23F0" w:rsidRPr="001B718F" w:rsidRDefault="00AD23F0" w:rsidP="00AF6BDE">
      <w:pPr>
        <w:pStyle w:val="ListParagraph"/>
        <w:numPr>
          <w:ilvl w:val="0"/>
          <w:numId w:val="3"/>
        </w:numPr>
        <w:tabs>
          <w:tab w:val="left" w:pos="1080"/>
        </w:tabs>
        <w:spacing w:after="0" w:line="360" w:lineRule="auto"/>
        <w:ind w:left="0" w:firstLine="720"/>
        <w:jc w:val="both"/>
        <w:rPr>
          <w:rFonts w:ascii="Times New Roman" w:hAnsi="Times New Roman"/>
          <w:sz w:val="24"/>
          <w:szCs w:val="24"/>
        </w:rPr>
      </w:pPr>
      <w:r w:rsidRPr="001B718F">
        <w:rPr>
          <w:rFonts w:ascii="Times New Roman" w:hAnsi="Times New Roman"/>
          <w:sz w:val="24"/>
          <w:szCs w:val="24"/>
        </w:rPr>
        <w:t xml:space="preserve">Kërkuesi ka pretenduar se </w:t>
      </w:r>
      <w:r w:rsidR="00757E39">
        <w:rPr>
          <w:rFonts w:ascii="Times New Roman" w:hAnsi="Times New Roman"/>
          <w:sz w:val="24"/>
          <w:szCs w:val="24"/>
        </w:rPr>
        <w:t>t</w:t>
      </w:r>
      <w:r w:rsidR="00846AB9">
        <w:rPr>
          <w:rFonts w:ascii="Times New Roman" w:hAnsi="Times New Roman"/>
          <w:sz w:val="24"/>
          <w:szCs w:val="24"/>
        </w:rPr>
        <w:t>ë</w:t>
      </w:r>
      <w:r w:rsidR="00757E39">
        <w:rPr>
          <w:rFonts w:ascii="Times New Roman" w:hAnsi="Times New Roman"/>
          <w:sz w:val="24"/>
          <w:szCs w:val="24"/>
        </w:rPr>
        <w:t xml:space="preserve"> </w:t>
      </w:r>
      <w:r w:rsidRPr="001B718F">
        <w:rPr>
          <w:rFonts w:ascii="Times New Roman" w:hAnsi="Times New Roman"/>
          <w:sz w:val="24"/>
          <w:szCs w:val="24"/>
        </w:rPr>
        <w:t>dy</w:t>
      </w:r>
      <w:r w:rsidR="00757E39">
        <w:rPr>
          <w:rFonts w:ascii="Times New Roman" w:hAnsi="Times New Roman"/>
          <w:sz w:val="24"/>
          <w:szCs w:val="24"/>
        </w:rPr>
        <w:t>ja</w:t>
      </w:r>
      <w:r w:rsidRPr="001B718F">
        <w:rPr>
          <w:rFonts w:ascii="Times New Roman" w:hAnsi="Times New Roman"/>
          <w:sz w:val="24"/>
          <w:szCs w:val="24"/>
        </w:rPr>
        <w:t xml:space="preserve"> mbledh</w:t>
      </w:r>
      <w:r w:rsidR="00757E39">
        <w:rPr>
          <w:rFonts w:ascii="Times New Roman" w:hAnsi="Times New Roman"/>
          <w:sz w:val="24"/>
          <w:szCs w:val="24"/>
        </w:rPr>
        <w:t>jet janë zhvilluar pa pas</w:t>
      </w:r>
      <w:r w:rsidRPr="001B718F">
        <w:rPr>
          <w:rFonts w:ascii="Times New Roman" w:hAnsi="Times New Roman"/>
          <w:sz w:val="24"/>
          <w:szCs w:val="24"/>
        </w:rPr>
        <w:t>ur ku</w:t>
      </w:r>
      <w:r w:rsidR="00757E39">
        <w:rPr>
          <w:rFonts w:ascii="Times New Roman" w:hAnsi="Times New Roman"/>
          <w:sz w:val="24"/>
          <w:szCs w:val="24"/>
        </w:rPr>
        <w:t>orumin e duhur të parashikuar n</w:t>
      </w:r>
      <w:r w:rsidR="00846AB9">
        <w:rPr>
          <w:rFonts w:ascii="Times New Roman" w:hAnsi="Times New Roman"/>
          <w:sz w:val="24"/>
          <w:szCs w:val="24"/>
        </w:rPr>
        <w:t>ë</w:t>
      </w:r>
      <w:r w:rsidR="00757E39">
        <w:rPr>
          <w:rFonts w:ascii="Times New Roman" w:hAnsi="Times New Roman"/>
          <w:sz w:val="24"/>
          <w:szCs w:val="24"/>
        </w:rPr>
        <w:t xml:space="preserve"> statut dhe rregullore, si rrjedhojë</w:t>
      </w:r>
      <w:r w:rsidRPr="001B718F">
        <w:rPr>
          <w:rFonts w:ascii="Times New Roman" w:hAnsi="Times New Roman"/>
          <w:sz w:val="24"/>
          <w:szCs w:val="24"/>
        </w:rPr>
        <w:t xml:space="preserve"> </w:t>
      </w:r>
      <w:r w:rsidR="00757E39" w:rsidRPr="001B718F">
        <w:rPr>
          <w:rFonts w:ascii="Times New Roman" w:hAnsi="Times New Roman"/>
          <w:sz w:val="24"/>
          <w:szCs w:val="24"/>
        </w:rPr>
        <w:t xml:space="preserve">vendimet që janë marrë në këto mbledhje </w:t>
      </w:r>
      <w:r w:rsidRPr="001B718F">
        <w:rPr>
          <w:rFonts w:ascii="Times New Roman" w:hAnsi="Times New Roman"/>
          <w:sz w:val="24"/>
          <w:szCs w:val="24"/>
        </w:rPr>
        <w:t xml:space="preserve">kanë qenë të pavlefshme. Për këto arsye, kërkuesi ka paraqitur padi </w:t>
      </w:r>
      <w:r w:rsidR="00757E39">
        <w:rPr>
          <w:rFonts w:ascii="Times New Roman" w:hAnsi="Times New Roman"/>
          <w:sz w:val="24"/>
          <w:szCs w:val="24"/>
        </w:rPr>
        <w:t>në Gjykatën e Tiranës me objekt</w:t>
      </w:r>
      <w:r w:rsidRPr="001B718F">
        <w:rPr>
          <w:rFonts w:ascii="Times New Roman" w:hAnsi="Times New Roman"/>
          <w:sz w:val="24"/>
          <w:szCs w:val="24"/>
        </w:rPr>
        <w:t xml:space="preserve">: </w:t>
      </w:r>
      <w:r w:rsidR="00757E39">
        <w:rPr>
          <w:rFonts w:ascii="Times New Roman" w:hAnsi="Times New Roman"/>
          <w:sz w:val="24"/>
          <w:szCs w:val="24"/>
        </w:rPr>
        <w:t>“</w:t>
      </w:r>
      <w:r w:rsidRPr="001B718F">
        <w:rPr>
          <w:rFonts w:ascii="Times New Roman" w:hAnsi="Times New Roman"/>
          <w:sz w:val="24"/>
          <w:szCs w:val="24"/>
        </w:rPr>
        <w:t>Shfuqizimin e vendimit të Këshillit të Përgjithshëm të Komunitetit Mysliman të Shqipërisë</w:t>
      </w:r>
      <w:r w:rsidR="00757E39">
        <w:rPr>
          <w:rFonts w:ascii="Times New Roman" w:hAnsi="Times New Roman"/>
          <w:sz w:val="24"/>
          <w:szCs w:val="24"/>
        </w:rPr>
        <w:t>,</w:t>
      </w:r>
      <w:r w:rsidRPr="001B718F">
        <w:rPr>
          <w:rFonts w:ascii="Times New Roman" w:hAnsi="Times New Roman"/>
          <w:sz w:val="24"/>
          <w:szCs w:val="24"/>
        </w:rPr>
        <w:t xml:space="preserve"> datë 18.09.2010 dhe </w:t>
      </w:r>
      <w:r w:rsidR="00757E39">
        <w:rPr>
          <w:rFonts w:ascii="Times New Roman" w:hAnsi="Times New Roman"/>
          <w:sz w:val="24"/>
          <w:szCs w:val="24"/>
        </w:rPr>
        <w:t>t</w:t>
      </w:r>
      <w:r w:rsidR="00846AB9">
        <w:rPr>
          <w:rFonts w:ascii="Times New Roman" w:hAnsi="Times New Roman"/>
          <w:sz w:val="24"/>
          <w:szCs w:val="24"/>
        </w:rPr>
        <w:t>ë</w:t>
      </w:r>
      <w:r w:rsidR="00757E39">
        <w:rPr>
          <w:rFonts w:ascii="Times New Roman" w:hAnsi="Times New Roman"/>
          <w:sz w:val="24"/>
          <w:szCs w:val="24"/>
        </w:rPr>
        <w:t xml:space="preserve"> </w:t>
      </w:r>
      <w:r w:rsidRPr="001B718F">
        <w:rPr>
          <w:rFonts w:ascii="Times New Roman" w:hAnsi="Times New Roman"/>
          <w:sz w:val="24"/>
          <w:szCs w:val="24"/>
        </w:rPr>
        <w:t>vendimeve nr.12 dhe nr.13</w:t>
      </w:r>
      <w:r w:rsidR="00757E39">
        <w:rPr>
          <w:rFonts w:ascii="Times New Roman" w:hAnsi="Times New Roman"/>
          <w:sz w:val="24"/>
          <w:szCs w:val="24"/>
        </w:rPr>
        <w:t>, datë 15.09.2010 të Kryesisë s</w:t>
      </w:r>
      <w:r w:rsidRPr="001B718F">
        <w:rPr>
          <w:rFonts w:ascii="Times New Roman" w:hAnsi="Times New Roman"/>
          <w:sz w:val="24"/>
          <w:szCs w:val="24"/>
        </w:rPr>
        <w:t>ë Komunitetit Mysliman të Shqipërisë</w:t>
      </w:r>
      <w:r w:rsidR="00757E39">
        <w:rPr>
          <w:rFonts w:ascii="Times New Roman" w:hAnsi="Times New Roman"/>
          <w:sz w:val="24"/>
          <w:szCs w:val="24"/>
        </w:rPr>
        <w:t>”</w:t>
      </w:r>
      <w:r w:rsidRPr="001B718F">
        <w:rPr>
          <w:rFonts w:ascii="Times New Roman" w:hAnsi="Times New Roman"/>
          <w:sz w:val="24"/>
          <w:szCs w:val="24"/>
        </w:rPr>
        <w:t>.</w:t>
      </w:r>
    </w:p>
    <w:p w:rsidR="00AD23F0" w:rsidRPr="001B718F" w:rsidRDefault="000F0DDB" w:rsidP="00AF6BDE">
      <w:pPr>
        <w:pStyle w:val="ListParagraph"/>
        <w:numPr>
          <w:ilvl w:val="0"/>
          <w:numId w:val="3"/>
        </w:numPr>
        <w:tabs>
          <w:tab w:val="left" w:pos="1080"/>
        </w:tabs>
        <w:spacing w:after="0" w:line="360" w:lineRule="auto"/>
        <w:ind w:left="0" w:firstLine="720"/>
        <w:jc w:val="both"/>
        <w:rPr>
          <w:rFonts w:ascii="Times New Roman" w:hAnsi="Times New Roman"/>
          <w:sz w:val="24"/>
          <w:szCs w:val="24"/>
        </w:rPr>
      </w:pPr>
      <w:r w:rsidRPr="001B718F">
        <w:rPr>
          <w:rFonts w:ascii="Times New Roman" w:hAnsi="Times New Roman"/>
          <w:sz w:val="24"/>
          <w:szCs w:val="24"/>
        </w:rPr>
        <w:t>Gjykata e Rrethit G</w:t>
      </w:r>
      <w:r w:rsidR="00AD23F0" w:rsidRPr="001B718F">
        <w:rPr>
          <w:rFonts w:ascii="Times New Roman" w:hAnsi="Times New Roman"/>
          <w:sz w:val="24"/>
          <w:szCs w:val="24"/>
        </w:rPr>
        <w:t>jyqësor Tiranë</w:t>
      </w:r>
      <w:r w:rsidR="00757E39">
        <w:rPr>
          <w:rFonts w:ascii="Times New Roman" w:hAnsi="Times New Roman"/>
          <w:sz w:val="24"/>
          <w:szCs w:val="24"/>
        </w:rPr>
        <w:t>,</w:t>
      </w:r>
      <w:r w:rsidR="00AD23F0" w:rsidRPr="001B718F">
        <w:rPr>
          <w:rFonts w:ascii="Times New Roman" w:hAnsi="Times New Roman"/>
          <w:sz w:val="24"/>
          <w:szCs w:val="24"/>
        </w:rPr>
        <w:t xml:space="preserve"> me vendimin nr.480</w:t>
      </w:r>
      <w:r w:rsidR="00757E39">
        <w:rPr>
          <w:rFonts w:ascii="Times New Roman" w:hAnsi="Times New Roman"/>
          <w:sz w:val="24"/>
          <w:szCs w:val="24"/>
        </w:rPr>
        <w:t>,</w:t>
      </w:r>
      <w:r w:rsidR="00AD23F0" w:rsidRPr="001B718F">
        <w:rPr>
          <w:rFonts w:ascii="Times New Roman" w:hAnsi="Times New Roman"/>
          <w:sz w:val="24"/>
          <w:szCs w:val="24"/>
        </w:rPr>
        <w:t xml:space="preserve"> datë 31.01.2011</w:t>
      </w:r>
      <w:r w:rsidR="00757E39">
        <w:rPr>
          <w:rFonts w:ascii="Times New Roman" w:hAnsi="Times New Roman"/>
          <w:sz w:val="24"/>
          <w:szCs w:val="24"/>
        </w:rPr>
        <w:t>,</w:t>
      </w:r>
      <w:r w:rsidR="00AD23F0" w:rsidRPr="001B718F">
        <w:rPr>
          <w:rFonts w:ascii="Times New Roman" w:hAnsi="Times New Roman"/>
          <w:sz w:val="24"/>
          <w:szCs w:val="24"/>
        </w:rPr>
        <w:t xml:space="preserve"> ka pranuar padinë</w:t>
      </w:r>
      <w:r w:rsidR="00757E39">
        <w:rPr>
          <w:rFonts w:ascii="Times New Roman" w:hAnsi="Times New Roman"/>
          <w:sz w:val="24"/>
          <w:szCs w:val="24"/>
        </w:rPr>
        <w:t>,</w:t>
      </w:r>
      <w:r w:rsidR="00AD23F0" w:rsidRPr="001B718F">
        <w:rPr>
          <w:rFonts w:ascii="Times New Roman" w:hAnsi="Times New Roman"/>
          <w:sz w:val="24"/>
          <w:szCs w:val="24"/>
        </w:rPr>
        <w:t xml:space="preserve"> duke konstatuar pavlefshmërinë absolute të vendimeve nr.12 dhe 13 t</w:t>
      </w:r>
      <w:r w:rsidR="00757E39">
        <w:rPr>
          <w:rFonts w:ascii="Times New Roman" w:hAnsi="Times New Roman"/>
          <w:sz w:val="24"/>
          <w:szCs w:val="24"/>
        </w:rPr>
        <w:t>ë datës 15.09.2010 të Kryesisë s</w:t>
      </w:r>
      <w:r w:rsidR="00AD23F0" w:rsidRPr="001B718F">
        <w:rPr>
          <w:rFonts w:ascii="Times New Roman" w:hAnsi="Times New Roman"/>
          <w:sz w:val="24"/>
          <w:szCs w:val="24"/>
        </w:rPr>
        <w:t>ë Komunitetit Mysliman të Shqipërisë.</w:t>
      </w:r>
    </w:p>
    <w:p w:rsidR="00AD23F0" w:rsidRPr="001B718F" w:rsidRDefault="00AD23F0" w:rsidP="00AF6BDE">
      <w:pPr>
        <w:pStyle w:val="ListParagraph"/>
        <w:numPr>
          <w:ilvl w:val="0"/>
          <w:numId w:val="3"/>
        </w:numPr>
        <w:tabs>
          <w:tab w:val="left" w:pos="1080"/>
        </w:tabs>
        <w:spacing w:after="0" w:line="360" w:lineRule="auto"/>
        <w:ind w:left="0" w:firstLine="720"/>
        <w:jc w:val="both"/>
        <w:rPr>
          <w:rFonts w:ascii="Times New Roman" w:hAnsi="Times New Roman"/>
        </w:rPr>
      </w:pPr>
      <w:r w:rsidRPr="001B718F">
        <w:rPr>
          <w:rFonts w:ascii="Times New Roman" w:hAnsi="Times New Roman"/>
          <w:sz w:val="24"/>
          <w:szCs w:val="24"/>
        </w:rPr>
        <w:t>Gjykata e Apelit Tiranë</w:t>
      </w:r>
      <w:r w:rsidR="00757E39">
        <w:rPr>
          <w:rFonts w:ascii="Times New Roman" w:hAnsi="Times New Roman"/>
          <w:sz w:val="24"/>
          <w:szCs w:val="24"/>
        </w:rPr>
        <w:t>,</w:t>
      </w:r>
      <w:r w:rsidRPr="001B718F">
        <w:rPr>
          <w:rFonts w:ascii="Times New Roman" w:hAnsi="Times New Roman"/>
          <w:sz w:val="24"/>
          <w:szCs w:val="24"/>
        </w:rPr>
        <w:t xml:space="preserve"> me vendimin nr. 1446</w:t>
      </w:r>
      <w:r w:rsidR="00757E39">
        <w:rPr>
          <w:rFonts w:ascii="Times New Roman" w:hAnsi="Times New Roman"/>
          <w:sz w:val="24"/>
          <w:szCs w:val="24"/>
        </w:rPr>
        <w:t>,</w:t>
      </w:r>
      <w:r w:rsidRPr="001B718F">
        <w:rPr>
          <w:rFonts w:ascii="Times New Roman" w:hAnsi="Times New Roman"/>
          <w:sz w:val="24"/>
          <w:szCs w:val="24"/>
        </w:rPr>
        <w:t xml:space="preserve"> datë 20</w:t>
      </w:r>
      <w:r w:rsidR="000F0DDB" w:rsidRPr="001B718F">
        <w:rPr>
          <w:rFonts w:ascii="Times New Roman" w:hAnsi="Times New Roman"/>
          <w:sz w:val="24"/>
          <w:szCs w:val="24"/>
        </w:rPr>
        <w:t>.06.2011 ka prishur vendimin e G</w:t>
      </w:r>
      <w:r w:rsidRPr="001B718F">
        <w:rPr>
          <w:rFonts w:ascii="Times New Roman" w:hAnsi="Times New Roman"/>
          <w:sz w:val="24"/>
          <w:szCs w:val="24"/>
        </w:rPr>
        <w:t>jykatës së</w:t>
      </w:r>
      <w:r w:rsidR="000F0DDB" w:rsidRPr="001B718F">
        <w:rPr>
          <w:rFonts w:ascii="Times New Roman" w:hAnsi="Times New Roman"/>
          <w:sz w:val="24"/>
          <w:szCs w:val="24"/>
        </w:rPr>
        <w:t xml:space="preserve"> R</w:t>
      </w:r>
      <w:r w:rsidRPr="001B718F">
        <w:rPr>
          <w:rFonts w:ascii="Times New Roman" w:hAnsi="Times New Roman"/>
          <w:sz w:val="24"/>
          <w:szCs w:val="24"/>
        </w:rPr>
        <w:t>rethit Tiranë</w:t>
      </w:r>
      <w:r w:rsidR="00757E39">
        <w:rPr>
          <w:rFonts w:ascii="Times New Roman" w:hAnsi="Times New Roman"/>
          <w:sz w:val="24"/>
          <w:szCs w:val="24"/>
        </w:rPr>
        <w:t>,</w:t>
      </w:r>
      <w:r w:rsidRPr="001B718F">
        <w:rPr>
          <w:rFonts w:ascii="Times New Roman" w:hAnsi="Times New Roman"/>
          <w:sz w:val="24"/>
          <w:szCs w:val="24"/>
        </w:rPr>
        <w:t xml:space="preserve"> duke pushuar gjykimin e kësaj çështje</w:t>
      </w:r>
      <w:r w:rsidR="00757E39">
        <w:rPr>
          <w:rFonts w:ascii="Times New Roman" w:hAnsi="Times New Roman"/>
          <w:sz w:val="24"/>
          <w:szCs w:val="24"/>
        </w:rPr>
        <w:t>je</w:t>
      </w:r>
      <w:r w:rsidRPr="001B718F">
        <w:rPr>
          <w:rFonts w:ascii="Times New Roman" w:hAnsi="Times New Roman"/>
          <w:sz w:val="24"/>
          <w:szCs w:val="24"/>
        </w:rPr>
        <w:t xml:space="preserve">. </w:t>
      </w:r>
      <w:r w:rsidR="00757E39">
        <w:rPr>
          <w:rFonts w:ascii="Times New Roman" w:hAnsi="Times New Roman"/>
          <w:sz w:val="24"/>
          <w:szCs w:val="24"/>
        </w:rPr>
        <w:t>( Gjykata e Apelit Tiranë ka ar</w:t>
      </w:r>
      <w:r w:rsidRPr="001B718F">
        <w:rPr>
          <w:rFonts w:ascii="Times New Roman" w:hAnsi="Times New Roman"/>
          <w:sz w:val="24"/>
          <w:szCs w:val="24"/>
        </w:rPr>
        <w:t>s</w:t>
      </w:r>
      <w:r w:rsidR="00757E39">
        <w:rPr>
          <w:rFonts w:ascii="Times New Roman" w:hAnsi="Times New Roman"/>
          <w:sz w:val="24"/>
          <w:szCs w:val="24"/>
        </w:rPr>
        <w:t>yetuar se padia e ngritur mbeti</w:t>
      </w:r>
      <w:r w:rsidRPr="001B718F">
        <w:rPr>
          <w:rFonts w:ascii="Times New Roman" w:hAnsi="Times New Roman"/>
          <w:sz w:val="24"/>
          <w:szCs w:val="24"/>
        </w:rPr>
        <w:t xml:space="preserve"> pa objekt </w:t>
      </w:r>
      <w:r w:rsidR="00757E39">
        <w:rPr>
          <w:rFonts w:ascii="Times New Roman" w:hAnsi="Times New Roman"/>
          <w:sz w:val="24"/>
          <w:szCs w:val="24"/>
        </w:rPr>
        <w:t>dhe se ajo duhet të konsiderohet</w:t>
      </w:r>
      <w:r w:rsidRPr="001B718F">
        <w:rPr>
          <w:rFonts w:ascii="Times New Roman" w:hAnsi="Times New Roman"/>
          <w:sz w:val="24"/>
          <w:szCs w:val="24"/>
        </w:rPr>
        <w:t xml:space="preserve"> si</w:t>
      </w:r>
      <w:r w:rsidR="00757E39">
        <w:rPr>
          <w:rFonts w:ascii="Times New Roman" w:hAnsi="Times New Roman"/>
          <w:sz w:val="24"/>
          <w:szCs w:val="24"/>
        </w:rPr>
        <w:t xml:space="preserve"> një padi që nuk mund të ngrihet</w:t>
      </w:r>
      <w:r w:rsidRPr="001B718F">
        <w:rPr>
          <w:rFonts w:ascii="Times New Roman" w:hAnsi="Times New Roman"/>
          <w:sz w:val="24"/>
          <w:szCs w:val="24"/>
        </w:rPr>
        <w:t>).</w:t>
      </w:r>
      <w:r w:rsidR="00757E39">
        <w:rPr>
          <w:rFonts w:ascii="Times New Roman" w:hAnsi="Times New Roman"/>
          <w:sz w:val="24"/>
          <w:szCs w:val="24"/>
        </w:rPr>
        <w:t xml:space="preserve"> </w:t>
      </w:r>
      <w:r w:rsidRPr="001B718F">
        <w:rPr>
          <w:rFonts w:ascii="Times New Roman" w:hAnsi="Times New Roman"/>
          <w:sz w:val="24"/>
          <w:szCs w:val="24"/>
        </w:rPr>
        <w:t>Gjykata e Lartë</w:t>
      </w:r>
      <w:r w:rsidR="00757E39">
        <w:rPr>
          <w:rFonts w:ascii="Times New Roman" w:hAnsi="Times New Roman"/>
          <w:sz w:val="24"/>
          <w:szCs w:val="24"/>
        </w:rPr>
        <w:t>,</w:t>
      </w:r>
      <w:r w:rsidRPr="001B718F">
        <w:rPr>
          <w:rFonts w:ascii="Times New Roman" w:hAnsi="Times New Roman"/>
          <w:sz w:val="24"/>
          <w:szCs w:val="24"/>
        </w:rPr>
        <w:t xml:space="preserve"> me vendimin nr. 00</w:t>
      </w:r>
      <w:r w:rsidR="00B2040C">
        <w:rPr>
          <w:rFonts w:ascii="Times New Roman" w:hAnsi="Times New Roman"/>
          <w:sz w:val="24"/>
          <w:szCs w:val="24"/>
        </w:rPr>
        <w:t>-</w:t>
      </w:r>
      <w:r w:rsidRPr="001B718F">
        <w:rPr>
          <w:rFonts w:ascii="Times New Roman" w:hAnsi="Times New Roman"/>
          <w:sz w:val="24"/>
          <w:szCs w:val="24"/>
        </w:rPr>
        <w:t>2013-1026</w:t>
      </w:r>
      <w:r w:rsidR="00757E39">
        <w:rPr>
          <w:rFonts w:ascii="Times New Roman" w:hAnsi="Times New Roman"/>
          <w:sz w:val="24"/>
          <w:szCs w:val="24"/>
        </w:rPr>
        <w:t>,</w:t>
      </w:r>
      <w:r w:rsidRPr="001B718F">
        <w:rPr>
          <w:rFonts w:ascii="Times New Roman" w:hAnsi="Times New Roman"/>
          <w:sz w:val="24"/>
          <w:szCs w:val="24"/>
        </w:rPr>
        <w:t xml:space="preserve"> datë 10.05.2013</w:t>
      </w:r>
      <w:r w:rsidR="00757E39">
        <w:rPr>
          <w:rFonts w:ascii="Times New Roman" w:hAnsi="Times New Roman"/>
          <w:sz w:val="24"/>
          <w:szCs w:val="24"/>
        </w:rPr>
        <w:t>,</w:t>
      </w:r>
      <w:r w:rsidRPr="001B718F">
        <w:rPr>
          <w:rFonts w:ascii="Times New Roman" w:hAnsi="Times New Roman"/>
          <w:sz w:val="24"/>
          <w:szCs w:val="24"/>
        </w:rPr>
        <w:t xml:space="preserve"> ka vendosur mospranimin e rekursit</w:t>
      </w:r>
      <w:r w:rsidRPr="001B718F">
        <w:rPr>
          <w:rFonts w:ascii="Times New Roman" w:hAnsi="Times New Roman"/>
        </w:rPr>
        <w:t>.</w:t>
      </w:r>
    </w:p>
    <w:p w:rsidR="00482FD8" w:rsidRPr="001B718F" w:rsidRDefault="00482FD8" w:rsidP="00AF6BDE">
      <w:pPr>
        <w:spacing w:line="360" w:lineRule="auto"/>
        <w:jc w:val="both"/>
      </w:pPr>
    </w:p>
    <w:p w:rsidR="00482FD8" w:rsidRPr="001B718F" w:rsidRDefault="00482FD8" w:rsidP="00D86BEB">
      <w:pPr>
        <w:spacing w:line="360" w:lineRule="auto"/>
        <w:jc w:val="center"/>
        <w:rPr>
          <w:b/>
        </w:rPr>
      </w:pPr>
      <w:r w:rsidRPr="001B718F">
        <w:rPr>
          <w:b/>
        </w:rPr>
        <w:t>II</w:t>
      </w:r>
    </w:p>
    <w:p w:rsidR="00482FD8" w:rsidRPr="001B718F" w:rsidRDefault="00482FD8" w:rsidP="00AF6BDE">
      <w:pPr>
        <w:pStyle w:val="ListParagraph"/>
        <w:numPr>
          <w:ilvl w:val="0"/>
          <w:numId w:val="8"/>
        </w:numPr>
        <w:tabs>
          <w:tab w:val="left" w:pos="1080"/>
        </w:tabs>
        <w:spacing w:line="360" w:lineRule="auto"/>
        <w:ind w:left="0" w:firstLine="720"/>
        <w:jc w:val="both"/>
        <w:rPr>
          <w:rFonts w:ascii="Times New Roman" w:hAnsi="Times New Roman"/>
          <w:sz w:val="24"/>
          <w:szCs w:val="24"/>
          <w:lang w:eastAsia="fr-FR"/>
        </w:rPr>
      </w:pPr>
      <w:r w:rsidRPr="00AF1B35">
        <w:rPr>
          <w:rFonts w:ascii="Times New Roman" w:hAnsi="Times New Roman"/>
          <w:b/>
          <w:i/>
          <w:sz w:val="24"/>
          <w:szCs w:val="24"/>
          <w:lang w:eastAsia="fr-FR"/>
        </w:rPr>
        <w:t xml:space="preserve">Kërkuesi </w:t>
      </w:r>
      <w:r w:rsidR="00637EF2" w:rsidRPr="001B718F">
        <w:rPr>
          <w:rFonts w:ascii="Times New Roman" w:hAnsi="Times New Roman"/>
          <w:sz w:val="24"/>
          <w:szCs w:val="24"/>
          <w:lang w:eastAsia="fr-FR"/>
        </w:rPr>
        <w:t xml:space="preserve">Betim Truci </w:t>
      </w:r>
      <w:r w:rsidRPr="001B718F">
        <w:rPr>
          <w:rFonts w:ascii="Times New Roman" w:hAnsi="Times New Roman"/>
          <w:sz w:val="24"/>
          <w:szCs w:val="24"/>
          <w:lang w:eastAsia="fr-FR"/>
        </w:rPr>
        <w:t>pretendon shqyrtimin e kërkesës së tij të paraqitur në Gjykatën Kushtetuese</w:t>
      </w:r>
      <w:r w:rsidR="006F5606" w:rsidRPr="001B718F">
        <w:rPr>
          <w:rFonts w:ascii="Times New Roman" w:hAnsi="Times New Roman"/>
          <w:sz w:val="24"/>
          <w:szCs w:val="24"/>
          <w:lang w:eastAsia="fr-FR"/>
        </w:rPr>
        <w:t>,</w:t>
      </w:r>
      <w:r w:rsidR="000F0DDB" w:rsidRPr="001B718F">
        <w:rPr>
          <w:rFonts w:ascii="Times New Roman" w:hAnsi="Times New Roman"/>
          <w:sz w:val="24"/>
          <w:szCs w:val="24"/>
          <w:lang w:eastAsia="fr-FR"/>
        </w:rPr>
        <w:t xml:space="preserve"> duke parashtruar</w:t>
      </w:r>
      <w:r w:rsidRPr="001B718F">
        <w:rPr>
          <w:rFonts w:ascii="Times New Roman" w:hAnsi="Times New Roman"/>
          <w:sz w:val="24"/>
          <w:szCs w:val="24"/>
          <w:lang w:eastAsia="fr-FR"/>
        </w:rPr>
        <w:t xml:space="preserve"> këto shkaqe:  </w:t>
      </w:r>
    </w:p>
    <w:p w:rsidR="006F5606" w:rsidRPr="001B718F" w:rsidRDefault="006F5606" w:rsidP="00AF6BDE">
      <w:pPr>
        <w:pStyle w:val="ListParagraph"/>
        <w:numPr>
          <w:ilvl w:val="1"/>
          <w:numId w:val="13"/>
        </w:numPr>
        <w:spacing w:after="0"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Nxjerrja jashtë juridiksionit gjyqësor ka shkelur të</w:t>
      </w:r>
      <w:r w:rsidR="00637EF2" w:rsidRPr="001B718F">
        <w:rPr>
          <w:rFonts w:ascii="Times New Roman" w:eastAsia="Times New Roman" w:hAnsi="Times New Roman"/>
          <w:sz w:val="24"/>
          <w:szCs w:val="24"/>
        </w:rPr>
        <w:t xml:space="preserve"> drejtat</w:t>
      </w:r>
      <w:r w:rsidRPr="001B718F">
        <w:rPr>
          <w:rFonts w:ascii="Times New Roman" w:eastAsia="Times New Roman" w:hAnsi="Times New Roman"/>
          <w:sz w:val="24"/>
          <w:szCs w:val="24"/>
        </w:rPr>
        <w:t xml:space="preserve"> kushtetuese.</w:t>
      </w:r>
    </w:p>
    <w:p w:rsidR="006F5606" w:rsidRPr="001B718F" w:rsidRDefault="006F5606" w:rsidP="00AF6BDE">
      <w:pPr>
        <w:pStyle w:val="ListParagraph"/>
        <w:numPr>
          <w:ilvl w:val="1"/>
          <w:numId w:val="13"/>
        </w:numPr>
        <w:spacing w:after="0"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Komuniteti Mysliman ka pranuar regjimin juridik të vendosur nga shteti shqiptar</w:t>
      </w:r>
      <w:r w:rsidR="00757E39">
        <w:rPr>
          <w:rFonts w:ascii="Times New Roman" w:eastAsia="Times New Roman" w:hAnsi="Times New Roman"/>
          <w:sz w:val="24"/>
          <w:szCs w:val="24"/>
        </w:rPr>
        <w:t xml:space="preserve">, duke u </w:t>
      </w:r>
      <w:r w:rsidRPr="001B718F">
        <w:rPr>
          <w:rFonts w:ascii="Times New Roman" w:eastAsia="Times New Roman" w:hAnsi="Times New Roman"/>
          <w:sz w:val="24"/>
          <w:szCs w:val="24"/>
        </w:rPr>
        <w:t>regjistruar sipas rregullave të përgjithshme</w:t>
      </w:r>
      <w:r w:rsidR="00757E39">
        <w:rPr>
          <w:rFonts w:ascii="Times New Roman" w:eastAsia="Times New Roman" w:hAnsi="Times New Roman"/>
          <w:sz w:val="24"/>
          <w:szCs w:val="24"/>
        </w:rPr>
        <w:t>,</w:t>
      </w:r>
      <w:r w:rsidRPr="001B718F">
        <w:rPr>
          <w:rFonts w:ascii="Times New Roman" w:eastAsia="Times New Roman" w:hAnsi="Times New Roman"/>
          <w:sz w:val="24"/>
          <w:szCs w:val="24"/>
        </w:rPr>
        <w:t xml:space="preserve"> dhe nuk ka se si </w:t>
      </w:r>
      <w:r w:rsidR="00757E39">
        <w:rPr>
          <w:rFonts w:ascii="Times New Roman" w:eastAsia="Times New Roman" w:hAnsi="Times New Roman"/>
          <w:sz w:val="24"/>
          <w:szCs w:val="24"/>
        </w:rPr>
        <w:t>t</w:t>
      </w:r>
      <w:r w:rsidR="00846AB9">
        <w:rPr>
          <w:rFonts w:ascii="Times New Roman" w:eastAsia="Times New Roman" w:hAnsi="Times New Roman"/>
          <w:sz w:val="24"/>
          <w:szCs w:val="24"/>
        </w:rPr>
        <w:t>ë</w:t>
      </w:r>
      <w:r w:rsidR="00757E39">
        <w:rPr>
          <w:rFonts w:ascii="Times New Roman" w:eastAsia="Times New Roman" w:hAnsi="Times New Roman"/>
          <w:sz w:val="24"/>
          <w:szCs w:val="24"/>
        </w:rPr>
        <w:t xml:space="preserve"> </w:t>
      </w:r>
      <w:r w:rsidRPr="001B718F">
        <w:rPr>
          <w:rFonts w:ascii="Times New Roman" w:eastAsia="Times New Roman" w:hAnsi="Times New Roman"/>
          <w:sz w:val="24"/>
          <w:szCs w:val="24"/>
        </w:rPr>
        <w:t>shmanget nga këto rregulla.</w:t>
      </w:r>
    </w:p>
    <w:p w:rsidR="00D86BEB" w:rsidRPr="005F1655" w:rsidRDefault="006F5606" w:rsidP="00D86BEB">
      <w:pPr>
        <w:pStyle w:val="ListParagraph"/>
        <w:numPr>
          <w:ilvl w:val="1"/>
          <w:numId w:val="13"/>
        </w:numPr>
        <w:spacing w:after="0" w:line="360" w:lineRule="auto"/>
        <w:ind w:left="1080" w:hanging="450"/>
        <w:jc w:val="both"/>
        <w:rPr>
          <w:rFonts w:ascii="Times New Roman" w:eastAsia="Times New Roman" w:hAnsi="Times New Roman"/>
          <w:sz w:val="24"/>
          <w:szCs w:val="24"/>
        </w:rPr>
      </w:pPr>
      <w:r w:rsidRPr="005F1655">
        <w:rPr>
          <w:rFonts w:ascii="Times New Roman" w:eastAsia="Times New Roman" w:hAnsi="Times New Roman"/>
          <w:sz w:val="24"/>
          <w:szCs w:val="24"/>
        </w:rPr>
        <w:t>Komuniteti Mysliman</w:t>
      </w:r>
      <w:r w:rsidR="00637EF2" w:rsidRPr="005F1655">
        <w:rPr>
          <w:rFonts w:ascii="Times New Roman" w:eastAsia="Times New Roman" w:hAnsi="Times New Roman"/>
          <w:sz w:val="24"/>
          <w:szCs w:val="24"/>
        </w:rPr>
        <w:t xml:space="preserve"> i Shqip</w:t>
      </w:r>
      <w:r w:rsidR="00BF1997" w:rsidRPr="005F1655">
        <w:rPr>
          <w:rFonts w:ascii="Times New Roman" w:eastAsia="Times New Roman" w:hAnsi="Times New Roman"/>
          <w:sz w:val="24"/>
          <w:szCs w:val="24"/>
        </w:rPr>
        <w:t>ë</w:t>
      </w:r>
      <w:r w:rsidR="00637EF2" w:rsidRPr="005F1655">
        <w:rPr>
          <w:rFonts w:ascii="Times New Roman" w:eastAsia="Times New Roman" w:hAnsi="Times New Roman"/>
          <w:sz w:val="24"/>
          <w:szCs w:val="24"/>
        </w:rPr>
        <w:t>ris</w:t>
      </w:r>
      <w:r w:rsidR="00BF1997" w:rsidRPr="005F1655">
        <w:rPr>
          <w:rFonts w:ascii="Times New Roman" w:eastAsia="Times New Roman" w:hAnsi="Times New Roman"/>
          <w:sz w:val="24"/>
          <w:szCs w:val="24"/>
        </w:rPr>
        <w:t>ë</w:t>
      </w:r>
      <w:r w:rsidR="00AF1B35">
        <w:rPr>
          <w:rFonts w:ascii="Times New Roman" w:eastAsia="Times New Roman" w:hAnsi="Times New Roman"/>
          <w:sz w:val="24"/>
          <w:szCs w:val="24"/>
        </w:rPr>
        <w:t xml:space="preserve"> </w:t>
      </w:r>
      <w:r w:rsidR="00637EF2" w:rsidRPr="005F1655">
        <w:rPr>
          <w:rFonts w:ascii="Times New Roman" w:eastAsia="Times New Roman" w:hAnsi="Times New Roman"/>
          <w:sz w:val="24"/>
          <w:szCs w:val="24"/>
        </w:rPr>
        <w:t>(KMSH-ja)</w:t>
      </w:r>
      <w:r w:rsidR="00A80967" w:rsidRPr="005F1655">
        <w:rPr>
          <w:rFonts w:ascii="Times New Roman" w:eastAsia="Times New Roman" w:hAnsi="Times New Roman"/>
          <w:sz w:val="24"/>
          <w:szCs w:val="24"/>
        </w:rPr>
        <w:t xml:space="preserve"> është një shoqatë jofitim</w:t>
      </w:r>
      <w:r w:rsidRPr="005F1655">
        <w:rPr>
          <w:rFonts w:ascii="Times New Roman" w:eastAsia="Times New Roman" w:hAnsi="Times New Roman"/>
          <w:sz w:val="24"/>
          <w:szCs w:val="24"/>
        </w:rPr>
        <w:t>prurëse</w:t>
      </w:r>
      <w:r w:rsidR="00A80967" w:rsidRPr="005F1655">
        <w:rPr>
          <w:rFonts w:ascii="Times New Roman" w:eastAsia="Times New Roman" w:hAnsi="Times New Roman"/>
          <w:sz w:val="24"/>
          <w:szCs w:val="24"/>
        </w:rPr>
        <w:t>,</w:t>
      </w:r>
      <w:r w:rsidRPr="005F1655">
        <w:rPr>
          <w:rFonts w:ascii="Times New Roman" w:eastAsia="Times New Roman" w:hAnsi="Times New Roman"/>
          <w:sz w:val="24"/>
          <w:szCs w:val="24"/>
        </w:rPr>
        <w:t xml:space="preserve"> por është e qartë</w:t>
      </w:r>
      <w:r w:rsidR="00A80967" w:rsidRPr="005F1655">
        <w:rPr>
          <w:rFonts w:ascii="Times New Roman" w:eastAsia="Times New Roman" w:hAnsi="Times New Roman"/>
          <w:sz w:val="24"/>
          <w:szCs w:val="24"/>
        </w:rPr>
        <w:t>,</w:t>
      </w:r>
      <w:r w:rsidRPr="005F1655">
        <w:rPr>
          <w:rFonts w:ascii="Times New Roman" w:eastAsia="Times New Roman" w:hAnsi="Times New Roman"/>
          <w:sz w:val="24"/>
          <w:szCs w:val="24"/>
        </w:rPr>
        <w:t xml:space="preserve"> gjithashtu</w:t>
      </w:r>
      <w:r w:rsidR="00A80967" w:rsidRPr="005F1655">
        <w:rPr>
          <w:rFonts w:ascii="Times New Roman" w:eastAsia="Times New Roman" w:hAnsi="Times New Roman"/>
          <w:sz w:val="24"/>
          <w:szCs w:val="24"/>
        </w:rPr>
        <w:t>,</w:t>
      </w:r>
      <w:r w:rsidRPr="005F1655">
        <w:rPr>
          <w:rFonts w:ascii="Times New Roman" w:eastAsia="Times New Roman" w:hAnsi="Times New Roman"/>
          <w:sz w:val="24"/>
          <w:szCs w:val="24"/>
        </w:rPr>
        <w:t xml:space="preserve"> se ka st</w:t>
      </w:r>
      <w:r w:rsidR="00A80967" w:rsidRPr="005F1655">
        <w:rPr>
          <w:rFonts w:ascii="Times New Roman" w:eastAsia="Times New Roman" w:hAnsi="Times New Roman"/>
          <w:sz w:val="24"/>
          <w:szCs w:val="24"/>
        </w:rPr>
        <w:t>atutin e personit juridik dhe</w:t>
      </w:r>
      <w:r w:rsidRPr="005F1655">
        <w:rPr>
          <w:rFonts w:ascii="Times New Roman" w:eastAsia="Times New Roman" w:hAnsi="Times New Roman"/>
          <w:sz w:val="24"/>
          <w:szCs w:val="24"/>
        </w:rPr>
        <w:t xml:space="preserve"> është i detyruar të zbatojë legjislacionin në fuqi.</w:t>
      </w:r>
    </w:p>
    <w:p w:rsidR="006F5606" w:rsidRPr="001B718F" w:rsidRDefault="00A80967" w:rsidP="00AF1B35">
      <w:pPr>
        <w:pStyle w:val="ListParagraph"/>
        <w:numPr>
          <w:ilvl w:val="0"/>
          <w:numId w:val="13"/>
        </w:numPr>
        <w:tabs>
          <w:tab w:val="left" w:pos="990"/>
        </w:tabs>
        <w:spacing w:after="0" w:line="360" w:lineRule="auto"/>
        <w:ind w:left="0" w:firstLine="720"/>
        <w:jc w:val="both"/>
        <w:rPr>
          <w:rFonts w:ascii="Times New Roman" w:eastAsia="Times New Roman" w:hAnsi="Times New Roman"/>
          <w:sz w:val="24"/>
          <w:szCs w:val="24"/>
        </w:rPr>
      </w:pPr>
      <w:r w:rsidRPr="00AF1B35">
        <w:rPr>
          <w:rFonts w:ascii="Times New Roman" w:eastAsia="Times New Roman" w:hAnsi="Times New Roman"/>
          <w:b/>
          <w:i/>
          <w:sz w:val="24"/>
          <w:szCs w:val="24"/>
        </w:rPr>
        <w:t>Subjekti i i</w:t>
      </w:r>
      <w:r w:rsidR="006F5606" w:rsidRPr="00AF1B35">
        <w:rPr>
          <w:rFonts w:ascii="Times New Roman" w:eastAsia="Times New Roman" w:hAnsi="Times New Roman"/>
          <w:b/>
          <w:i/>
          <w:sz w:val="24"/>
          <w:szCs w:val="24"/>
        </w:rPr>
        <w:t>nteresuar</w:t>
      </w:r>
      <w:r w:rsidR="006F5606" w:rsidRPr="001B718F">
        <w:rPr>
          <w:rFonts w:ascii="Times New Roman" w:eastAsia="Times New Roman" w:hAnsi="Times New Roman"/>
          <w:sz w:val="24"/>
          <w:szCs w:val="24"/>
        </w:rPr>
        <w:t>, Komuniteti Mysliman i Shqipërisë</w:t>
      </w:r>
      <w:r>
        <w:rPr>
          <w:rFonts w:ascii="Times New Roman" w:eastAsia="Times New Roman" w:hAnsi="Times New Roman"/>
          <w:sz w:val="24"/>
          <w:szCs w:val="24"/>
        </w:rPr>
        <w:t>,</w:t>
      </w:r>
      <w:r w:rsidR="006F5606" w:rsidRPr="001B718F">
        <w:rPr>
          <w:rFonts w:ascii="Times New Roman" w:eastAsia="Times New Roman" w:hAnsi="Times New Roman"/>
          <w:sz w:val="24"/>
          <w:szCs w:val="24"/>
        </w:rPr>
        <w:t xml:space="preserve"> parashtron si më poshtë:</w:t>
      </w:r>
    </w:p>
    <w:p w:rsidR="006F5606" w:rsidRPr="001B718F" w:rsidRDefault="006F5606" w:rsidP="00AF6BDE">
      <w:pPr>
        <w:pStyle w:val="ListParagraph"/>
        <w:numPr>
          <w:ilvl w:val="1"/>
          <w:numId w:val="13"/>
        </w:numPr>
        <w:spacing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 xml:space="preserve">Neni 10 i Kushtetutës së Republikës </w:t>
      </w:r>
      <w:r w:rsidR="00A80967">
        <w:rPr>
          <w:rFonts w:ascii="Times New Roman" w:eastAsia="Times New Roman" w:hAnsi="Times New Roman"/>
          <w:sz w:val="24"/>
          <w:szCs w:val="24"/>
        </w:rPr>
        <w:t>s</w:t>
      </w:r>
      <w:r w:rsidRPr="001B718F">
        <w:rPr>
          <w:rFonts w:ascii="Times New Roman" w:eastAsia="Times New Roman" w:hAnsi="Times New Roman"/>
          <w:sz w:val="24"/>
          <w:szCs w:val="24"/>
        </w:rPr>
        <w:t>ë Shqipërisë garanton pavarësinë e bashkësive fetare nga shteti.</w:t>
      </w:r>
    </w:p>
    <w:p w:rsidR="006F5606" w:rsidRPr="001B718F" w:rsidRDefault="006F5606" w:rsidP="00AF6BDE">
      <w:pPr>
        <w:pStyle w:val="ListParagraph"/>
        <w:numPr>
          <w:ilvl w:val="1"/>
          <w:numId w:val="13"/>
        </w:numPr>
        <w:spacing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KMSH-ja nuk është organizatë jofitimprurëse</w:t>
      </w:r>
      <w:r w:rsidR="00A80967">
        <w:rPr>
          <w:rFonts w:ascii="Times New Roman" w:eastAsia="Times New Roman" w:hAnsi="Times New Roman"/>
          <w:sz w:val="24"/>
          <w:szCs w:val="24"/>
        </w:rPr>
        <w:t>,</w:t>
      </w:r>
      <w:r w:rsidRPr="001B718F">
        <w:rPr>
          <w:rFonts w:ascii="Times New Roman" w:eastAsia="Times New Roman" w:hAnsi="Times New Roman"/>
          <w:sz w:val="24"/>
          <w:szCs w:val="24"/>
        </w:rPr>
        <w:t xml:space="preserve"> dhe gëzon një status të veçantë.</w:t>
      </w:r>
    </w:p>
    <w:p w:rsidR="006F5606" w:rsidRPr="001B718F" w:rsidRDefault="006F5606" w:rsidP="00AF6BDE">
      <w:pPr>
        <w:pStyle w:val="ListParagraph"/>
        <w:numPr>
          <w:ilvl w:val="1"/>
          <w:numId w:val="13"/>
        </w:numPr>
        <w:spacing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KMSH-ja është një bashkësi fetare që gëzon personalitet juridik.</w:t>
      </w:r>
    </w:p>
    <w:p w:rsidR="006F5606" w:rsidRPr="001B718F" w:rsidRDefault="006F5606" w:rsidP="00AF6BDE">
      <w:pPr>
        <w:pStyle w:val="ListParagraph"/>
        <w:numPr>
          <w:ilvl w:val="1"/>
          <w:numId w:val="13"/>
        </w:numPr>
        <w:spacing w:line="360" w:lineRule="auto"/>
        <w:ind w:left="1080" w:hanging="450"/>
        <w:jc w:val="both"/>
        <w:rPr>
          <w:rFonts w:ascii="Times New Roman" w:eastAsia="Times New Roman" w:hAnsi="Times New Roman"/>
          <w:sz w:val="24"/>
          <w:szCs w:val="24"/>
        </w:rPr>
      </w:pPr>
      <w:r w:rsidRPr="001B718F">
        <w:rPr>
          <w:rFonts w:ascii="Times New Roman" w:hAnsi="Times New Roman"/>
          <w:sz w:val="24"/>
          <w:szCs w:val="24"/>
        </w:rPr>
        <w:t xml:space="preserve">Shteti shqiptar ka ratifikuar </w:t>
      </w:r>
      <w:r w:rsidR="00A80967">
        <w:rPr>
          <w:rFonts w:ascii="Times New Roman" w:eastAsia="Times New Roman" w:hAnsi="Times New Roman"/>
          <w:bCs/>
          <w:kern w:val="36"/>
          <w:sz w:val="24"/>
          <w:szCs w:val="24"/>
        </w:rPr>
        <w:t>ligjin nr.10056, dat</w:t>
      </w:r>
      <w:r w:rsidR="00846AB9">
        <w:rPr>
          <w:rFonts w:ascii="Times New Roman" w:eastAsia="Times New Roman" w:hAnsi="Times New Roman"/>
          <w:bCs/>
          <w:kern w:val="36"/>
          <w:sz w:val="24"/>
          <w:szCs w:val="24"/>
        </w:rPr>
        <w:t>ë</w:t>
      </w:r>
      <w:r w:rsidRPr="001B718F">
        <w:rPr>
          <w:rFonts w:ascii="Times New Roman" w:eastAsia="Times New Roman" w:hAnsi="Times New Roman"/>
          <w:bCs/>
          <w:kern w:val="36"/>
          <w:sz w:val="24"/>
          <w:szCs w:val="24"/>
        </w:rPr>
        <w:t xml:space="preserve"> 22.01.2009 “Për ratifikimin e marrëveshjes ndërmjet Këshillit të Ministrave të Republikës së Shqipërisë dhe Komunitetit Mysliman të Shqipërisë për rregullimin e marrëdhënieve të ndërsjella</w:t>
      </w:r>
      <w:r w:rsidR="00637EF2" w:rsidRPr="001B718F">
        <w:rPr>
          <w:rFonts w:ascii="Times New Roman" w:eastAsia="Times New Roman" w:hAnsi="Times New Roman"/>
          <w:bCs/>
          <w:kern w:val="36"/>
          <w:sz w:val="24"/>
          <w:szCs w:val="24"/>
        </w:rPr>
        <w:t>”</w:t>
      </w:r>
      <w:r w:rsidRPr="001B718F">
        <w:rPr>
          <w:rFonts w:ascii="Times New Roman" w:eastAsia="Times New Roman" w:hAnsi="Times New Roman"/>
          <w:bCs/>
          <w:kern w:val="36"/>
          <w:sz w:val="24"/>
          <w:szCs w:val="24"/>
        </w:rPr>
        <w:t>.</w:t>
      </w:r>
    </w:p>
    <w:p w:rsidR="006F5606" w:rsidRPr="001B718F" w:rsidRDefault="006F5606" w:rsidP="00AF6BDE">
      <w:pPr>
        <w:pStyle w:val="ListParagraph"/>
        <w:numPr>
          <w:ilvl w:val="1"/>
          <w:numId w:val="13"/>
        </w:numPr>
        <w:spacing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 xml:space="preserve">Vendimet e KMSH-së nuk mund të ankimohen në gjykatë për shkak të karakterit </w:t>
      </w:r>
      <w:r w:rsidRPr="00A80967">
        <w:rPr>
          <w:rFonts w:ascii="Times New Roman" w:eastAsia="Times New Roman" w:hAnsi="Times New Roman"/>
          <w:i/>
          <w:sz w:val="24"/>
          <w:szCs w:val="24"/>
        </w:rPr>
        <w:t xml:space="preserve">“sui generis” </w:t>
      </w:r>
      <w:r w:rsidRPr="001B718F">
        <w:rPr>
          <w:rFonts w:ascii="Times New Roman" w:eastAsia="Times New Roman" w:hAnsi="Times New Roman"/>
          <w:sz w:val="24"/>
          <w:szCs w:val="24"/>
        </w:rPr>
        <w:t>të bashkësive fetare.</w:t>
      </w:r>
    </w:p>
    <w:p w:rsidR="006F5606" w:rsidRPr="001B718F" w:rsidRDefault="006F5606" w:rsidP="00AF6BDE">
      <w:pPr>
        <w:pStyle w:val="ListParagraph"/>
        <w:numPr>
          <w:ilvl w:val="1"/>
          <w:numId w:val="13"/>
        </w:numPr>
        <w:spacing w:line="360" w:lineRule="auto"/>
        <w:ind w:left="1080" w:hanging="450"/>
        <w:jc w:val="both"/>
        <w:rPr>
          <w:rFonts w:ascii="Times New Roman" w:eastAsia="Times New Roman" w:hAnsi="Times New Roman"/>
          <w:sz w:val="24"/>
          <w:szCs w:val="24"/>
        </w:rPr>
      </w:pPr>
      <w:r w:rsidRPr="001B718F">
        <w:rPr>
          <w:rFonts w:ascii="Times New Roman" w:eastAsia="Times New Roman" w:hAnsi="Times New Roman"/>
          <w:sz w:val="24"/>
          <w:szCs w:val="24"/>
        </w:rPr>
        <w:t>Bashkësitë fetare gëzojnë tradicionalisht një autonomi organizative të garantuar në kuadër të nenit 9 të KEDNJ-së</w:t>
      </w:r>
      <w:r w:rsidR="00637EF2" w:rsidRPr="001B718F">
        <w:rPr>
          <w:rFonts w:ascii="Times New Roman" w:eastAsia="Times New Roman" w:hAnsi="Times New Roman"/>
          <w:sz w:val="24"/>
          <w:szCs w:val="24"/>
        </w:rPr>
        <w:t>.</w:t>
      </w:r>
    </w:p>
    <w:p w:rsidR="00AF6BDE" w:rsidRPr="001B718F" w:rsidRDefault="00AF6BDE" w:rsidP="001B718F">
      <w:pPr>
        <w:pStyle w:val="ListParagraph"/>
        <w:spacing w:after="0" w:line="360" w:lineRule="auto"/>
        <w:ind w:left="0"/>
        <w:jc w:val="both"/>
        <w:rPr>
          <w:rFonts w:ascii="Times New Roman" w:eastAsia="Times New Roman" w:hAnsi="Times New Roman"/>
          <w:sz w:val="24"/>
          <w:szCs w:val="24"/>
        </w:rPr>
      </w:pPr>
    </w:p>
    <w:p w:rsidR="00482FD8" w:rsidRDefault="00482FD8" w:rsidP="001B718F">
      <w:pPr>
        <w:pStyle w:val="Title"/>
        <w:tabs>
          <w:tab w:val="left" w:pos="720"/>
        </w:tabs>
        <w:spacing w:before="0" w:after="0" w:line="360" w:lineRule="auto"/>
        <w:rPr>
          <w:rFonts w:ascii="Times New Roman" w:hAnsi="Times New Roman"/>
          <w:bCs w:val="0"/>
          <w:sz w:val="24"/>
          <w:szCs w:val="24"/>
          <w:lang w:val="sq-AL"/>
        </w:rPr>
      </w:pPr>
      <w:r w:rsidRPr="001B718F">
        <w:rPr>
          <w:rFonts w:ascii="Times New Roman" w:hAnsi="Times New Roman"/>
          <w:bCs w:val="0"/>
          <w:sz w:val="24"/>
          <w:szCs w:val="24"/>
          <w:lang w:val="sq-AL"/>
        </w:rPr>
        <w:t>III</w:t>
      </w:r>
    </w:p>
    <w:p w:rsidR="00A80967" w:rsidRPr="001B718F" w:rsidRDefault="00A80967" w:rsidP="001B718F">
      <w:pPr>
        <w:pStyle w:val="Title"/>
        <w:tabs>
          <w:tab w:val="left" w:pos="720"/>
        </w:tabs>
        <w:spacing w:before="0" w:after="0" w:line="360" w:lineRule="auto"/>
        <w:rPr>
          <w:rFonts w:ascii="Times New Roman" w:hAnsi="Times New Roman"/>
          <w:bCs w:val="0"/>
          <w:sz w:val="24"/>
          <w:szCs w:val="24"/>
          <w:lang w:val="sq-AL"/>
        </w:rPr>
      </w:pPr>
      <w:r>
        <w:rPr>
          <w:rFonts w:ascii="Times New Roman" w:hAnsi="Times New Roman"/>
          <w:bCs w:val="0"/>
          <w:sz w:val="24"/>
          <w:szCs w:val="24"/>
          <w:lang w:val="sq-AL"/>
        </w:rPr>
        <w:t>Vler</w:t>
      </w:r>
      <w:r w:rsidR="00846AB9">
        <w:rPr>
          <w:rFonts w:ascii="Times New Roman" w:hAnsi="Times New Roman"/>
          <w:bCs w:val="0"/>
          <w:sz w:val="24"/>
          <w:szCs w:val="24"/>
          <w:lang w:val="sq-AL"/>
        </w:rPr>
        <w:t>ë</w:t>
      </w:r>
      <w:r>
        <w:rPr>
          <w:rFonts w:ascii="Times New Roman" w:hAnsi="Times New Roman"/>
          <w:bCs w:val="0"/>
          <w:sz w:val="24"/>
          <w:szCs w:val="24"/>
          <w:lang w:val="sq-AL"/>
        </w:rPr>
        <w:t xml:space="preserve">simi i </w:t>
      </w:r>
      <w:r w:rsidR="00462503">
        <w:rPr>
          <w:rFonts w:ascii="Times New Roman" w:hAnsi="Times New Roman"/>
          <w:bCs w:val="0"/>
          <w:sz w:val="24"/>
          <w:szCs w:val="24"/>
          <w:lang w:val="sq-AL"/>
        </w:rPr>
        <w:t>Gjykatës</w:t>
      </w:r>
    </w:p>
    <w:p w:rsidR="00482FD8" w:rsidRPr="001B718F" w:rsidRDefault="00637EF2" w:rsidP="001B718F">
      <w:pPr>
        <w:pStyle w:val="Title"/>
        <w:numPr>
          <w:ilvl w:val="0"/>
          <w:numId w:val="13"/>
        </w:numPr>
        <w:tabs>
          <w:tab w:val="left" w:pos="0"/>
          <w:tab w:val="left" w:pos="1080"/>
        </w:tabs>
        <w:spacing w:before="0" w:after="0" w:line="360" w:lineRule="auto"/>
        <w:ind w:left="0" w:firstLine="720"/>
        <w:jc w:val="both"/>
        <w:rPr>
          <w:rFonts w:ascii="Times New Roman" w:hAnsi="Times New Roman"/>
          <w:b w:val="0"/>
          <w:bCs w:val="0"/>
          <w:sz w:val="24"/>
          <w:szCs w:val="24"/>
          <w:lang w:val="sq-AL"/>
        </w:rPr>
      </w:pPr>
      <w:r w:rsidRPr="001B718F">
        <w:rPr>
          <w:rFonts w:ascii="Times New Roman" w:hAnsi="Times New Roman"/>
          <w:b w:val="0"/>
          <w:bCs w:val="0"/>
          <w:sz w:val="24"/>
          <w:szCs w:val="24"/>
          <w:lang w:val="sq-AL"/>
        </w:rPr>
        <w:t>Gjykata</w:t>
      </w:r>
      <w:r w:rsidR="00482FD8" w:rsidRPr="001B718F">
        <w:rPr>
          <w:rFonts w:ascii="Times New Roman" w:hAnsi="Times New Roman"/>
          <w:b w:val="0"/>
          <w:bCs w:val="0"/>
          <w:sz w:val="24"/>
          <w:szCs w:val="24"/>
          <w:lang w:val="sq-AL"/>
        </w:rPr>
        <w:t xml:space="preserve"> Kushtetuese</w:t>
      </w:r>
      <w:r w:rsidR="00A80967">
        <w:rPr>
          <w:rFonts w:ascii="Times New Roman" w:hAnsi="Times New Roman"/>
          <w:b w:val="0"/>
          <w:bCs w:val="0"/>
          <w:sz w:val="24"/>
          <w:szCs w:val="24"/>
          <w:lang w:val="sq-AL"/>
        </w:rPr>
        <w:t xml:space="preserve"> </w:t>
      </w:r>
      <w:r w:rsidRPr="001B718F">
        <w:rPr>
          <w:rFonts w:ascii="Times New Roman" w:hAnsi="Times New Roman"/>
          <w:b w:val="0"/>
          <w:bCs w:val="0"/>
          <w:sz w:val="24"/>
          <w:szCs w:val="24"/>
          <w:lang w:val="sq-AL"/>
        </w:rPr>
        <w:t>(Gjykata)</w:t>
      </w:r>
      <w:r w:rsidR="00482FD8" w:rsidRPr="001B718F">
        <w:rPr>
          <w:rFonts w:ascii="Times New Roman" w:hAnsi="Times New Roman"/>
          <w:b w:val="0"/>
          <w:bCs w:val="0"/>
          <w:sz w:val="24"/>
          <w:szCs w:val="24"/>
          <w:lang w:val="sq-AL"/>
        </w:rPr>
        <w:t xml:space="preserve"> vlerëson se pretendimet e ngritura nga kërkuesi janë haptazi të pabazuara. </w:t>
      </w:r>
    </w:p>
    <w:p w:rsidR="000E1D0E" w:rsidRPr="00D00F25" w:rsidRDefault="000E1D0E"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cs="Times New Roman"/>
          <w:b w:val="0"/>
          <w:bCs w:val="0"/>
          <w:sz w:val="24"/>
          <w:szCs w:val="24"/>
          <w:lang w:val="sq-AL"/>
        </w:rPr>
      </w:pPr>
      <w:r w:rsidRPr="001B718F">
        <w:rPr>
          <w:rFonts w:ascii="Times New Roman" w:hAnsi="Times New Roman" w:cs="Times New Roman"/>
          <w:b w:val="0"/>
          <w:sz w:val="24"/>
          <w:szCs w:val="24"/>
          <w:lang w:val="sq-AL"/>
        </w:rPr>
        <w:t xml:space="preserve">Në referim të kritereve ligjore për legjitimimin, </w:t>
      </w:r>
      <w:r w:rsidR="00637EF2" w:rsidRPr="001B718F">
        <w:rPr>
          <w:rFonts w:ascii="Times New Roman" w:hAnsi="Times New Roman" w:cs="Times New Roman"/>
          <w:b w:val="0"/>
          <w:sz w:val="24"/>
          <w:szCs w:val="24"/>
          <w:lang w:val="sq-AL"/>
        </w:rPr>
        <w:t>Gjykata</w:t>
      </w:r>
      <w:r w:rsidRPr="001B718F">
        <w:rPr>
          <w:rFonts w:ascii="Times New Roman" w:hAnsi="Times New Roman" w:cs="Times New Roman"/>
          <w:b w:val="0"/>
          <w:sz w:val="24"/>
          <w:szCs w:val="24"/>
          <w:lang w:val="sq-AL"/>
        </w:rPr>
        <w:t xml:space="preserve"> vëren se kërkuesi legjitimohet </w:t>
      </w:r>
      <w:r w:rsidRPr="001B718F">
        <w:rPr>
          <w:rFonts w:ascii="Times New Roman" w:hAnsi="Times New Roman" w:cs="Times New Roman"/>
          <w:b w:val="0"/>
          <w:i/>
          <w:sz w:val="24"/>
          <w:szCs w:val="24"/>
          <w:lang w:val="sq-AL"/>
        </w:rPr>
        <w:t xml:space="preserve">ratione personae </w:t>
      </w:r>
      <w:r w:rsidRPr="001B718F">
        <w:rPr>
          <w:rFonts w:ascii="Times New Roman" w:hAnsi="Times New Roman" w:cs="Times New Roman"/>
          <w:b w:val="0"/>
          <w:sz w:val="24"/>
          <w:szCs w:val="24"/>
          <w:lang w:val="sq-AL"/>
        </w:rPr>
        <w:t xml:space="preserve">dhe </w:t>
      </w:r>
      <w:r w:rsidRPr="001B718F">
        <w:rPr>
          <w:rFonts w:ascii="Times New Roman" w:hAnsi="Times New Roman" w:cs="Times New Roman"/>
          <w:b w:val="0"/>
          <w:i/>
          <w:sz w:val="24"/>
          <w:szCs w:val="24"/>
          <w:lang w:val="sq-AL"/>
        </w:rPr>
        <w:t>ratione temporis,</w:t>
      </w:r>
      <w:r w:rsidRPr="001B718F">
        <w:rPr>
          <w:rFonts w:ascii="Times New Roman" w:hAnsi="Times New Roman" w:cs="Times New Roman"/>
          <w:b w:val="0"/>
          <w:sz w:val="24"/>
          <w:szCs w:val="24"/>
          <w:lang w:val="sq-AL"/>
        </w:rPr>
        <w:t xml:space="preserve"> pasi kërkesa ka të bëjë me ank</w:t>
      </w:r>
      <w:r w:rsidR="00A80967">
        <w:rPr>
          <w:rFonts w:ascii="Times New Roman" w:hAnsi="Times New Roman" w:cs="Times New Roman"/>
          <w:b w:val="0"/>
          <w:sz w:val="24"/>
          <w:szCs w:val="24"/>
          <w:lang w:val="sq-AL"/>
        </w:rPr>
        <w:t>imin individual për shkeljen e s</w:t>
      </w:r>
      <w:r w:rsidRPr="001B718F">
        <w:rPr>
          <w:rFonts w:ascii="Times New Roman" w:hAnsi="Times New Roman" w:cs="Times New Roman"/>
          <w:b w:val="0"/>
          <w:sz w:val="24"/>
          <w:szCs w:val="24"/>
          <w:lang w:val="sq-AL"/>
        </w:rPr>
        <w:t xml:space="preserve">ë drejtës për një proces të rregullt ligjor dhe është paraqitur brenda afatit 2-vjeçar të kërkuar nga ligji. </w:t>
      </w:r>
    </w:p>
    <w:p w:rsidR="00D00F25" w:rsidRPr="001B718F" w:rsidRDefault="00D00F25" w:rsidP="00D00F25">
      <w:pPr>
        <w:pStyle w:val="Title"/>
        <w:tabs>
          <w:tab w:val="left" w:pos="720"/>
          <w:tab w:val="left" w:pos="1080"/>
        </w:tabs>
        <w:spacing w:before="0" w:after="0" w:line="360" w:lineRule="auto"/>
        <w:ind w:left="720"/>
        <w:jc w:val="both"/>
        <w:rPr>
          <w:rFonts w:ascii="Times New Roman" w:hAnsi="Times New Roman" w:cs="Times New Roman"/>
          <w:b w:val="0"/>
          <w:bCs w:val="0"/>
          <w:sz w:val="24"/>
          <w:szCs w:val="24"/>
          <w:lang w:val="sq-AL"/>
        </w:rPr>
      </w:pPr>
    </w:p>
    <w:p w:rsidR="00516A3E" w:rsidRPr="001B718F" w:rsidRDefault="00516A3E" w:rsidP="001B718F">
      <w:pPr>
        <w:pStyle w:val="Title"/>
        <w:numPr>
          <w:ilvl w:val="0"/>
          <w:numId w:val="10"/>
        </w:numPr>
        <w:tabs>
          <w:tab w:val="left" w:pos="0"/>
          <w:tab w:val="left" w:pos="1080"/>
        </w:tabs>
        <w:spacing w:before="0" w:after="0" w:line="360" w:lineRule="auto"/>
        <w:ind w:left="0" w:firstLine="720"/>
        <w:jc w:val="both"/>
        <w:rPr>
          <w:rFonts w:ascii="Times New Roman" w:hAnsi="Times New Roman" w:cs="Times New Roman"/>
          <w:b w:val="0"/>
          <w:i/>
          <w:sz w:val="24"/>
          <w:szCs w:val="24"/>
          <w:lang w:val="sq-AL"/>
        </w:rPr>
      </w:pPr>
      <w:r w:rsidRPr="001B718F">
        <w:rPr>
          <w:rFonts w:ascii="Times New Roman" w:hAnsi="Times New Roman" w:cs="Times New Roman"/>
          <w:b w:val="0"/>
          <w:i/>
          <w:sz w:val="24"/>
          <w:szCs w:val="24"/>
          <w:lang w:val="sq-AL"/>
        </w:rPr>
        <w:t xml:space="preserve">Lidhur me cenimin e së drejtës për t’iu drejtuar gjykatës </w:t>
      </w:r>
      <w:r w:rsidRPr="001B718F">
        <w:rPr>
          <w:rFonts w:ascii="Times New Roman" w:hAnsi="Times New Roman" w:cs="Times New Roman"/>
          <w:b w:val="0"/>
          <w:sz w:val="24"/>
          <w:szCs w:val="24"/>
          <w:lang w:val="sq-AL"/>
        </w:rPr>
        <w:t>(e drejta e aksesit në gjykatë)</w:t>
      </w:r>
    </w:p>
    <w:p w:rsidR="000F3D61" w:rsidRPr="001B718F" w:rsidRDefault="00516A3E"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b w:val="0"/>
          <w:bCs w:val="0"/>
          <w:sz w:val="24"/>
          <w:szCs w:val="24"/>
          <w:lang w:val="sq-AL"/>
        </w:rPr>
      </w:pPr>
      <w:r w:rsidRPr="001B718F">
        <w:rPr>
          <w:rFonts w:ascii="Times New Roman" w:hAnsi="Times New Roman"/>
          <w:b w:val="0"/>
          <w:bCs w:val="0"/>
          <w:sz w:val="24"/>
          <w:szCs w:val="24"/>
          <w:lang w:val="sq-AL"/>
        </w:rPr>
        <w:t>Gjykata konstaton se k</w:t>
      </w:r>
      <w:r w:rsidR="00415037" w:rsidRPr="001B718F">
        <w:rPr>
          <w:rFonts w:ascii="Times New Roman" w:hAnsi="Times New Roman"/>
          <w:b w:val="0"/>
          <w:bCs w:val="0"/>
          <w:sz w:val="24"/>
          <w:szCs w:val="24"/>
          <w:lang w:val="sq-AL"/>
        </w:rPr>
        <w:t>ë</w:t>
      </w:r>
      <w:r w:rsidRPr="001B718F">
        <w:rPr>
          <w:rFonts w:ascii="Times New Roman" w:hAnsi="Times New Roman"/>
          <w:b w:val="0"/>
          <w:bCs w:val="0"/>
          <w:sz w:val="24"/>
          <w:szCs w:val="24"/>
          <w:lang w:val="sq-AL"/>
        </w:rPr>
        <w:t>rkuesi</w:t>
      </w:r>
      <w:r w:rsidR="00A80967">
        <w:rPr>
          <w:rFonts w:ascii="Times New Roman" w:hAnsi="Times New Roman"/>
          <w:b w:val="0"/>
          <w:bCs w:val="0"/>
          <w:sz w:val="24"/>
          <w:szCs w:val="24"/>
          <w:lang w:val="sq-AL"/>
        </w:rPr>
        <w:t>,</w:t>
      </w:r>
      <w:r w:rsidRPr="001B718F">
        <w:rPr>
          <w:rFonts w:ascii="Times New Roman" w:hAnsi="Times New Roman"/>
          <w:b w:val="0"/>
          <w:bCs w:val="0"/>
          <w:sz w:val="24"/>
          <w:szCs w:val="24"/>
          <w:lang w:val="sq-AL"/>
        </w:rPr>
        <w:t xml:space="preserve"> duke pretenduar se Gjykata e Apelit </w:t>
      </w:r>
      <w:r w:rsidR="000F0DDB" w:rsidRPr="001B718F">
        <w:rPr>
          <w:rFonts w:ascii="Times New Roman" w:hAnsi="Times New Roman"/>
          <w:b w:val="0"/>
          <w:bCs w:val="0"/>
          <w:sz w:val="24"/>
          <w:szCs w:val="24"/>
          <w:lang w:val="sq-AL"/>
        </w:rPr>
        <w:t xml:space="preserve">Tiranë </w:t>
      </w:r>
      <w:r w:rsidRPr="001B718F">
        <w:rPr>
          <w:rFonts w:ascii="Times New Roman" w:hAnsi="Times New Roman"/>
          <w:b w:val="0"/>
          <w:bCs w:val="0"/>
          <w:sz w:val="24"/>
          <w:szCs w:val="24"/>
          <w:lang w:val="sq-AL"/>
        </w:rPr>
        <w:t>ka nxjerr</w:t>
      </w:r>
      <w:r w:rsidR="00415037" w:rsidRPr="001B718F">
        <w:rPr>
          <w:rFonts w:ascii="Times New Roman" w:hAnsi="Times New Roman"/>
          <w:b w:val="0"/>
          <w:bCs w:val="0"/>
          <w:sz w:val="24"/>
          <w:szCs w:val="24"/>
          <w:lang w:val="sq-AL"/>
        </w:rPr>
        <w:t>ë</w:t>
      </w:r>
      <w:r w:rsidRPr="001B718F">
        <w:rPr>
          <w:rFonts w:ascii="Times New Roman" w:hAnsi="Times New Roman"/>
          <w:b w:val="0"/>
          <w:bCs w:val="0"/>
          <w:sz w:val="24"/>
          <w:szCs w:val="24"/>
          <w:lang w:val="sq-AL"/>
        </w:rPr>
        <w:t xml:space="preserve"> </w:t>
      </w:r>
      <w:r w:rsidR="000F0DDB" w:rsidRPr="001B718F">
        <w:rPr>
          <w:rFonts w:ascii="Times New Roman" w:hAnsi="Times New Roman"/>
          <w:b w:val="0"/>
          <w:bCs w:val="0"/>
          <w:sz w:val="24"/>
          <w:szCs w:val="24"/>
          <w:lang w:val="sq-AL"/>
        </w:rPr>
        <w:t xml:space="preserve">pa të drejtë </w:t>
      </w:r>
      <w:r w:rsidRPr="001B718F">
        <w:rPr>
          <w:rFonts w:ascii="Times New Roman" w:hAnsi="Times New Roman"/>
          <w:b w:val="0"/>
          <w:bCs w:val="0"/>
          <w:sz w:val="24"/>
          <w:szCs w:val="24"/>
          <w:lang w:val="sq-AL"/>
        </w:rPr>
        <w:t>çështjen jashtë juridiksionit</w:t>
      </w:r>
      <w:r w:rsidR="00A315DD" w:rsidRPr="001B718F">
        <w:rPr>
          <w:rFonts w:ascii="Times New Roman" w:hAnsi="Times New Roman"/>
          <w:b w:val="0"/>
          <w:bCs w:val="0"/>
          <w:sz w:val="24"/>
          <w:szCs w:val="24"/>
          <w:lang w:val="sq-AL"/>
        </w:rPr>
        <w:t xml:space="preserve"> </w:t>
      </w:r>
      <w:r w:rsidR="00F8626C" w:rsidRPr="001B718F">
        <w:rPr>
          <w:rFonts w:ascii="Times New Roman" w:hAnsi="Times New Roman"/>
          <w:b w:val="0"/>
          <w:bCs w:val="0"/>
          <w:sz w:val="24"/>
          <w:szCs w:val="24"/>
          <w:lang w:val="sq-AL"/>
        </w:rPr>
        <w:t>gjyqësor</w:t>
      </w:r>
      <w:r w:rsidRPr="001B718F">
        <w:rPr>
          <w:rFonts w:ascii="Times New Roman" w:hAnsi="Times New Roman"/>
          <w:b w:val="0"/>
          <w:bCs w:val="0"/>
          <w:sz w:val="24"/>
          <w:szCs w:val="24"/>
          <w:lang w:val="sq-AL"/>
        </w:rPr>
        <w:t>, sipas standardeve kushtetuese</w:t>
      </w:r>
      <w:r w:rsidR="000F0DDB" w:rsidRPr="001B718F">
        <w:rPr>
          <w:rFonts w:ascii="Times New Roman" w:hAnsi="Times New Roman"/>
          <w:b w:val="0"/>
          <w:bCs w:val="0"/>
          <w:sz w:val="24"/>
          <w:szCs w:val="24"/>
          <w:lang w:val="sq-AL"/>
        </w:rPr>
        <w:t>,</w:t>
      </w:r>
      <w:r w:rsidRPr="001B718F">
        <w:rPr>
          <w:rFonts w:ascii="Times New Roman" w:hAnsi="Times New Roman"/>
          <w:b w:val="0"/>
          <w:bCs w:val="0"/>
          <w:sz w:val="24"/>
          <w:szCs w:val="24"/>
          <w:lang w:val="sq-AL"/>
        </w:rPr>
        <w:t xml:space="preserve"> ky pretendim lidhet me mohimin e aksesit p</w:t>
      </w:r>
      <w:r w:rsidR="00415037" w:rsidRPr="001B718F">
        <w:rPr>
          <w:rFonts w:ascii="Times New Roman" w:hAnsi="Times New Roman"/>
          <w:b w:val="0"/>
          <w:bCs w:val="0"/>
          <w:sz w:val="24"/>
          <w:szCs w:val="24"/>
          <w:lang w:val="sq-AL"/>
        </w:rPr>
        <w:t>ë</w:t>
      </w:r>
      <w:r w:rsidR="00A80967">
        <w:rPr>
          <w:rFonts w:ascii="Times New Roman" w:hAnsi="Times New Roman"/>
          <w:b w:val="0"/>
          <w:bCs w:val="0"/>
          <w:sz w:val="24"/>
          <w:szCs w:val="24"/>
          <w:lang w:val="sq-AL"/>
        </w:rPr>
        <w:t>r t’i</w:t>
      </w:r>
      <w:r w:rsidRPr="001B718F">
        <w:rPr>
          <w:rFonts w:ascii="Times New Roman" w:hAnsi="Times New Roman"/>
          <w:b w:val="0"/>
          <w:bCs w:val="0"/>
          <w:sz w:val="24"/>
          <w:szCs w:val="24"/>
          <w:lang w:val="sq-AL"/>
        </w:rPr>
        <w:t>u drejtuar Gjykat</w:t>
      </w:r>
      <w:r w:rsidR="00415037" w:rsidRPr="001B718F">
        <w:rPr>
          <w:rFonts w:ascii="Times New Roman" w:hAnsi="Times New Roman"/>
          <w:b w:val="0"/>
          <w:bCs w:val="0"/>
          <w:sz w:val="24"/>
          <w:szCs w:val="24"/>
          <w:lang w:val="sq-AL"/>
        </w:rPr>
        <w:t>ë</w:t>
      </w:r>
      <w:r w:rsidRPr="001B718F">
        <w:rPr>
          <w:rFonts w:ascii="Times New Roman" w:hAnsi="Times New Roman"/>
          <w:b w:val="0"/>
          <w:bCs w:val="0"/>
          <w:sz w:val="24"/>
          <w:szCs w:val="24"/>
          <w:lang w:val="sq-AL"/>
        </w:rPr>
        <w:t>s .</w:t>
      </w:r>
      <w:r w:rsidR="00BF64D0" w:rsidRPr="001B718F">
        <w:rPr>
          <w:rFonts w:ascii="Times New Roman" w:hAnsi="Times New Roman"/>
          <w:b w:val="0"/>
          <w:bCs w:val="0"/>
          <w:sz w:val="24"/>
          <w:szCs w:val="24"/>
          <w:lang w:val="sq-AL"/>
        </w:rPr>
        <w:t xml:space="preserve"> </w:t>
      </w:r>
    </w:p>
    <w:p w:rsidR="00EB4F4F" w:rsidRPr="001B718F" w:rsidRDefault="00516A3E"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b w:val="0"/>
          <w:bCs w:val="0"/>
          <w:sz w:val="24"/>
          <w:szCs w:val="24"/>
          <w:lang w:val="sq-AL"/>
        </w:rPr>
      </w:pPr>
      <w:r w:rsidRPr="001B718F">
        <w:rPr>
          <w:rFonts w:ascii="Times New Roman" w:hAnsi="Times New Roman"/>
          <w:b w:val="0"/>
          <w:bCs w:val="0"/>
          <w:sz w:val="24"/>
          <w:szCs w:val="24"/>
          <w:lang w:val="sq-AL"/>
        </w:rPr>
        <w:t>Subjekti i inter</w:t>
      </w:r>
      <w:r w:rsidR="003920C1" w:rsidRPr="001B718F">
        <w:rPr>
          <w:rFonts w:ascii="Times New Roman" w:hAnsi="Times New Roman"/>
          <w:b w:val="0"/>
          <w:bCs w:val="0"/>
          <w:sz w:val="24"/>
          <w:szCs w:val="24"/>
          <w:lang w:val="sq-AL"/>
        </w:rPr>
        <w:t>e</w:t>
      </w:r>
      <w:r w:rsidRPr="001B718F">
        <w:rPr>
          <w:rFonts w:ascii="Times New Roman" w:hAnsi="Times New Roman"/>
          <w:b w:val="0"/>
          <w:bCs w:val="0"/>
          <w:sz w:val="24"/>
          <w:szCs w:val="24"/>
          <w:lang w:val="sq-AL"/>
        </w:rPr>
        <w:t>suar ka parashtruar se</w:t>
      </w:r>
      <w:r w:rsidRPr="001B718F">
        <w:rPr>
          <w:rFonts w:ascii="Times New Roman" w:hAnsi="Times New Roman" w:cs="Times New Roman"/>
          <w:i/>
          <w:sz w:val="24"/>
          <w:szCs w:val="24"/>
          <w:lang w:val="sq-AL"/>
        </w:rPr>
        <w:t xml:space="preserve"> </w:t>
      </w:r>
      <w:r w:rsidRPr="001B718F">
        <w:rPr>
          <w:rFonts w:ascii="Times New Roman" w:hAnsi="Times New Roman" w:cs="Times New Roman"/>
          <w:b w:val="0"/>
          <w:sz w:val="24"/>
          <w:szCs w:val="24"/>
          <w:lang w:val="sq-AL"/>
        </w:rPr>
        <w:t xml:space="preserve">neni 10 i Kushtetutës së Republikës </w:t>
      </w:r>
      <w:r w:rsidR="00BF64D0" w:rsidRPr="001B718F">
        <w:rPr>
          <w:rFonts w:ascii="Times New Roman" w:hAnsi="Times New Roman" w:cs="Times New Roman"/>
          <w:b w:val="0"/>
          <w:sz w:val="24"/>
          <w:szCs w:val="24"/>
          <w:lang w:val="sq-AL"/>
        </w:rPr>
        <w:t>s</w:t>
      </w:r>
      <w:r w:rsidRPr="001B718F">
        <w:rPr>
          <w:rFonts w:ascii="Times New Roman" w:hAnsi="Times New Roman" w:cs="Times New Roman"/>
          <w:b w:val="0"/>
          <w:sz w:val="24"/>
          <w:szCs w:val="24"/>
          <w:lang w:val="sq-AL"/>
        </w:rPr>
        <w:t>ë Shqipërisë garanton pavarësinë e bashkësive fetare nga shteti</w:t>
      </w:r>
      <w:r w:rsidR="00331FC3" w:rsidRPr="001B718F">
        <w:rPr>
          <w:rFonts w:ascii="Times New Roman" w:hAnsi="Times New Roman" w:cs="Times New Roman"/>
          <w:i/>
          <w:sz w:val="24"/>
          <w:szCs w:val="24"/>
          <w:lang w:val="sq-AL"/>
        </w:rPr>
        <w:t xml:space="preserve"> </w:t>
      </w:r>
      <w:r w:rsidR="00331FC3" w:rsidRPr="001B718F">
        <w:rPr>
          <w:rFonts w:ascii="Times New Roman" w:hAnsi="Times New Roman" w:cs="Times New Roman"/>
          <w:b w:val="0"/>
          <w:sz w:val="24"/>
          <w:szCs w:val="24"/>
          <w:lang w:val="sq-AL"/>
        </w:rPr>
        <w:t>dhe se vendimet e KMSH-së nuk mund të ankimohen në gjykatë për shkak të karakterit “</w:t>
      </w:r>
      <w:r w:rsidR="00331FC3" w:rsidRPr="00A80967">
        <w:rPr>
          <w:rFonts w:ascii="Times New Roman" w:hAnsi="Times New Roman" w:cs="Times New Roman"/>
          <w:b w:val="0"/>
          <w:i/>
          <w:sz w:val="24"/>
          <w:szCs w:val="24"/>
          <w:lang w:val="sq-AL"/>
        </w:rPr>
        <w:t>sui generis</w:t>
      </w:r>
      <w:r w:rsidR="00331FC3" w:rsidRPr="001B718F">
        <w:rPr>
          <w:rFonts w:ascii="Times New Roman" w:hAnsi="Times New Roman" w:cs="Times New Roman"/>
          <w:b w:val="0"/>
          <w:sz w:val="24"/>
          <w:szCs w:val="24"/>
          <w:lang w:val="sq-AL"/>
        </w:rPr>
        <w:t>” të bashkësive fetare</w:t>
      </w:r>
      <w:r w:rsidR="00A80967">
        <w:rPr>
          <w:rFonts w:ascii="Times New Roman" w:hAnsi="Times New Roman" w:cs="Times New Roman"/>
          <w:b w:val="0"/>
          <w:sz w:val="24"/>
          <w:szCs w:val="24"/>
          <w:lang w:val="sq-AL"/>
        </w:rPr>
        <w:t>.</w:t>
      </w:r>
    </w:p>
    <w:p w:rsidR="00516A3E" w:rsidRPr="001B718F" w:rsidRDefault="00516A3E"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cs="Times New Roman"/>
          <w:b w:val="0"/>
          <w:bCs w:val="0"/>
          <w:sz w:val="24"/>
          <w:szCs w:val="24"/>
          <w:lang w:val="sq-AL"/>
        </w:rPr>
      </w:pPr>
      <w:r w:rsidRPr="001B718F">
        <w:rPr>
          <w:rFonts w:ascii="Times New Roman" w:hAnsi="Times New Roman" w:cs="Times New Roman"/>
          <w:b w:val="0"/>
          <w:sz w:val="24"/>
          <w:lang w:val="sq-AL"/>
        </w:rPr>
        <w:t>Gjykata vë në dukje, se Kushtetuta e Republikës së Shqipërisë, në nenin 42 të saj, ka garantuar të drejtën e individëve për një proces të rregullt ligjor për mbrojtjen e të drejtave, lirive e interesave të tyre kushtetuese dhe ligjore,</w:t>
      </w:r>
      <w:r w:rsidR="00A80967">
        <w:rPr>
          <w:rFonts w:ascii="Times New Roman" w:hAnsi="Times New Roman" w:cs="Times New Roman"/>
          <w:b w:val="0"/>
          <w:sz w:val="24"/>
          <w:lang w:val="sq-AL"/>
        </w:rPr>
        <w:t xml:space="preserve"> ku një aspekt i rëndësishëm i s</w:t>
      </w:r>
      <w:r w:rsidRPr="001B718F">
        <w:rPr>
          <w:rFonts w:ascii="Times New Roman" w:hAnsi="Times New Roman" w:cs="Times New Roman"/>
          <w:b w:val="0"/>
          <w:sz w:val="24"/>
          <w:lang w:val="sq-AL"/>
        </w:rPr>
        <w:t xml:space="preserve">ë cilës është edhe e drejta për t’iu drejtuar gjykatës (e drejta e aksesit). E drejta e aksesit nënkupton jo vetëm të drejtën e individit për t’iu drejtuar gjykatës, por edhe detyrimin e shtetit që t’ia garantojë atij këtë mundësi </w:t>
      </w:r>
      <w:r w:rsidR="00A80967">
        <w:rPr>
          <w:rFonts w:ascii="Times New Roman" w:hAnsi="Times New Roman" w:cs="Times New Roman"/>
          <w:b w:val="0"/>
          <w:i/>
          <w:sz w:val="24"/>
          <w:lang w:val="sq-AL"/>
        </w:rPr>
        <w:t>(s</w:t>
      </w:r>
      <w:r w:rsidRPr="001B718F">
        <w:rPr>
          <w:rFonts w:ascii="Times New Roman" w:hAnsi="Times New Roman" w:cs="Times New Roman"/>
          <w:b w:val="0"/>
          <w:i/>
          <w:sz w:val="24"/>
          <w:lang w:val="sq-AL"/>
        </w:rPr>
        <w:t>hih vendimet e Gjykatës Kushtetuese nr.15, datë 17.04.2003; nr.9, datë 02.04.2003; nr.17, datë 18.07.2008; nr.5, datë 06.03.2009</w:t>
      </w:r>
      <w:r w:rsidRPr="001B718F">
        <w:rPr>
          <w:rFonts w:ascii="Times New Roman" w:hAnsi="Times New Roman" w:cs="Times New Roman"/>
          <w:b w:val="0"/>
          <w:sz w:val="24"/>
          <w:lang w:val="sq-AL"/>
        </w:rPr>
        <w:t xml:space="preserve">).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Pr="001B718F">
        <w:rPr>
          <w:rFonts w:ascii="Times New Roman" w:hAnsi="Times New Roman" w:cs="Times New Roman"/>
          <w:b w:val="0"/>
          <w:sz w:val="24"/>
          <w:lang w:val="sq-AL"/>
        </w:rPr>
        <w:tab/>
      </w:r>
    </w:p>
    <w:p w:rsidR="00516A3E" w:rsidRPr="001B718F" w:rsidRDefault="00516A3E"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cs="Times New Roman"/>
          <w:b w:val="0"/>
          <w:bCs w:val="0"/>
          <w:sz w:val="24"/>
          <w:szCs w:val="24"/>
          <w:lang w:val="sq-AL"/>
        </w:rPr>
      </w:pPr>
      <w:r w:rsidRPr="001B718F">
        <w:rPr>
          <w:rFonts w:ascii="Times New Roman" w:hAnsi="Times New Roman"/>
          <w:b w:val="0"/>
          <w:sz w:val="24"/>
          <w:lang w:val="sq-AL"/>
        </w:rPr>
        <w:t xml:space="preserve">Gjykata </w:t>
      </w:r>
      <w:r w:rsidR="000F3D61" w:rsidRPr="001B718F">
        <w:rPr>
          <w:rFonts w:ascii="Times New Roman" w:hAnsi="Times New Roman"/>
          <w:b w:val="0"/>
          <w:sz w:val="24"/>
          <w:lang w:val="sq-AL"/>
        </w:rPr>
        <w:t>p</w:t>
      </w:r>
      <w:r w:rsidR="00BF1997" w:rsidRPr="001B718F">
        <w:rPr>
          <w:rFonts w:ascii="Times New Roman" w:hAnsi="Times New Roman"/>
          <w:b w:val="0"/>
          <w:sz w:val="24"/>
          <w:lang w:val="sq-AL"/>
        </w:rPr>
        <w:t>ë</w:t>
      </w:r>
      <w:r w:rsidR="000F3D61" w:rsidRPr="001B718F">
        <w:rPr>
          <w:rFonts w:ascii="Times New Roman" w:hAnsi="Times New Roman"/>
          <w:b w:val="0"/>
          <w:sz w:val="24"/>
          <w:lang w:val="sq-AL"/>
        </w:rPr>
        <w:t>r rastin n</w:t>
      </w:r>
      <w:r w:rsidR="00BF1997" w:rsidRPr="001B718F">
        <w:rPr>
          <w:rFonts w:ascii="Times New Roman" w:hAnsi="Times New Roman"/>
          <w:b w:val="0"/>
          <w:sz w:val="24"/>
          <w:lang w:val="sq-AL"/>
        </w:rPr>
        <w:t>ë</w:t>
      </w:r>
      <w:r w:rsidR="00A80967">
        <w:rPr>
          <w:rFonts w:ascii="Times New Roman" w:hAnsi="Times New Roman"/>
          <w:b w:val="0"/>
          <w:sz w:val="24"/>
          <w:lang w:val="sq-AL"/>
        </w:rPr>
        <w:t xml:space="preserve"> shqyrtim</w:t>
      </w:r>
      <w:r w:rsidR="000F0DDB" w:rsidRPr="001B718F">
        <w:rPr>
          <w:rFonts w:ascii="Times New Roman" w:hAnsi="Times New Roman"/>
          <w:b w:val="0"/>
          <w:sz w:val="24"/>
          <w:lang w:val="sq-AL"/>
        </w:rPr>
        <w:t xml:space="preserve"> </w:t>
      </w:r>
      <w:r w:rsidRPr="001B718F">
        <w:rPr>
          <w:rFonts w:ascii="Times New Roman" w:hAnsi="Times New Roman"/>
          <w:b w:val="0"/>
          <w:sz w:val="24"/>
          <w:lang w:val="sq-AL"/>
        </w:rPr>
        <w:t>e gjen t</w:t>
      </w:r>
      <w:r w:rsidR="00415037" w:rsidRPr="001B718F">
        <w:rPr>
          <w:rFonts w:ascii="Times New Roman" w:hAnsi="Times New Roman"/>
          <w:b w:val="0"/>
          <w:sz w:val="24"/>
          <w:lang w:val="sq-AL"/>
        </w:rPr>
        <w:t>ë</w:t>
      </w:r>
      <w:r w:rsidRPr="001B718F">
        <w:rPr>
          <w:rFonts w:ascii="Times New Roman" w:hAnsi="Times New Roman"/>
          <w:b w:val="0"/>
          <w:sz w:val="24"/>
          <w:lang w:val="sq-AL"/>
        </w:rPr>
        <w:t xml:space="preserve"> arsyeshme t</w:t>
      </w:r>
      <w:r w:rsidR="00415037" w:rsidRPr="001B718F">
        <w:rPr>
          <w:rFonts w:ascii="Times New Roman" w:hAnsi="Times New Roman"/>
          <w:b w:val="0"/>
          <w:sz w:val="24"/>
          <w:lang w:val="sq-AL"/>
        </w:rPr>
        <w:t>ë</w:t>
      </w:r>
      <w:r w:rsidRPr="001B718F">
        <w:rPr>
          <w:rFonts w:ascii="Times New Roman" w:hAnsi="Times New Roman"/>
          <w:b w:val="0"/>
          <w:sz w:val="24"/>
          <w:lang w:val="sq-AL"/>
        </w:rPr>
        <w:t xml:space="preserve"> analizoj</w:t>
      </w:r>
      <w:r w:rsidR="00415037" w:rsidRPr="001B718F">
        <w:rPr>
          <w:rFonts w:ascii="Times New Roman" w:hAnsi="Times New Roman"/>
          <w:b w:val="0"/>
          <w:sz w:val="24"/>
          <w:lang w:val="sq-AL"/>
        </w:rPr>
        <w:t>ë</w:t>
      </w:r>
      <w:r w:rsidR="000F3D61" w:rsidRPr="001B718F">
        <w:rPr>
          <w:rFonts w:ascii="Times New Roman" w:hAnsi="Times New Roman"/>
          <w:b w:val="0"/>
          <w:sz w:val="24"/>
          <w:lang w:val="sq-AL"/>
        </w:rPr>
        <w:t xml:space="preserve"> shkurtimisht </w:t>
      </w:r>
      <w:r w:rsidRPr="001B718F">
        <w:rPr>
          <w:rFonts w:ascii="Times New Roman" w:hAnsi="Times New Roman"/>
          <w:b w:val="0"/>
          <w:sz w:val="24"/>
          <w:lang w:val="sq-AL"/>
        </w:rPr>
        <w:t>tablon</w:t>
      </w:r>
      <w:r w:rsidR="00415037" w:rsidRPr="001B718F">
        <w:rPr>
          <w:rFonts w:ascii="Times New Roman" w:hAnsi="Times New Roman"/>
          <w:b w:val="0"/>
          <w:sz w:val="24"/>
          <w:lang w:val="sq-AL"/>
        </w:rPr>
        <w:t>ë</w:t>
      </w:r>
      <w:r w:rsidRPr="001B718F">
        <w:rPr>
          <w:rFonts w:ascii="Times New Roman" w:hAnsi="Times New Roman"/>
          <w:b w:val="0"/>
          <w:sz w:val="24"/>
          <w:lang w:val="sq-AL"/>
        </w:rPr>
        <w:t xml:space="preserve"> ligjore dhe marr</w:t>
      </w:r>
      <w:r w:rsidR="00415037" w:rsidRPr="001B718F">
        <w:rPr>
          <w:rFonts w:ascii="Times New Roman" w:hAnsi="Times New Roman"/>
          <w:b w:val="0"/>
          <w:sz w:val="24"/>
          <w:lang w:val="sq-AL"/>
        </w:rPr>
        <w:t>ë</w:t>
      </w:r>
      <w:r w:rsidRPr="001B718F">
        <w:rPr>
          <w:rFonts w:ascii="Times New Roman" w:hAnsi="Times New Roman"/>
          <w:b w:val="0"/>
          <w:sz w:val="24"/>
          <w:lang w:val="sq-AL"/>
        </w:rPr>
        <w:t>dh</w:t>
      </w:r>
      <w:r w:rsidR="00415037" w:rsidRPr="001B718F">
        <w:rPr>
          <w:rFonts w:ascii="Times New Roman" w:hAnsi="Times New Roman"/>
          <w:b w:val="0"/>
          <w:sz w:val="24"/>
          <w:lang w:val="sq-AL"/>
        </w:rPr>
        <w:t>ë</w:t>
      </w:r>
      <w:r w:rsidRPr="001B718F">
        <w:rPr>
          <w:rFonts w:ascii="Times New Roman" w:hAnsi="Times New Roman"/>
          <w:b w:val="0"/>
          <w:sz w:val="24"/>
          <w:lang w:val="sq-AL"/>
        </w:rPr>
        <w:t>nien juridike t</w:t>
      </w:r>
      <w:r w:rsidR="00415037" w:rsidRPr="001B718F">
        <w:rPr>
          <w:rFonts w:ascii="Times New Roman" w:hAnsi="Times New Roman"/>
          <w:b w:val="0"/>
          <w:sz w:val="24"/>
          <w:lang w:val="sq-AL"/>
        </w:rPr>
        <w:t>ë</w:t>
      </w:r>
      <w:r w:rsidR="00A80967">
        <w:rPr>
          <w:rFonts w:ascii="Times New Roman" w:hAnsi="Times New Roman"/>
          <w:b w:val="0"/>
          <w:sz w:val="24"/>
          <w:lang w:val="sq-AL"/>
        </w:rPr>
        <w:t xml:space="preserve"> shtetit shqiptar </w:t>
      </w:r>
      <w:r w:rsidRPr="001B718F">
        <w:rPr>
          <w:rFonts w:ascii="Times New Roman" w:hAnsi="Times New Roman"/>
          <w:b w:val="0"/>
          <w:sz w:val="24"/>
          <w:lang w:val="sq-AL"/>
        </w:rPr>
        <w:t>me Komu</w:t>
      </w:r>
      <w:r w:rsidR="00BF64D0" w:rsidRPr="001B718F">
        <w:rPr>
          <w:rFonts w:ascii="Times New Roman" w:hAnsi="Times New Roman"/>
          <w:b w:val="0"/>
          <w:sz w:val="24"/>
          <w:lang w:val="sq-AL"/>
        </w:rPr>
        <w:t>n</w:t>
      </w:r>
      <w:r w:rsidRPr="001B718F">
        <w:rPr>
          <w:rFonts w:ascii="Times New Roman" w:hAnsi="Times New Roman"/>
          <w:b w:val="0"/>
          <w:sz w:val="24"/>
          <w:lang w:val="sq-AL"/>
        </w:rPr>
        <w:t>i</w:t>
      </w:r>
      <w:r w:rsidR="000F3D61" w:rsidRPr="001B718F">
        <w:rPr>
          <w:rFonts w:ascii="Times New Roman" w:hAnsi="Times New Roman"/>
          <w:b w:val="0"/>
          <w:sz w:val="24"/>
          <w:lang w:val="sq-AL"/>
        </w:rPr>
        <w:t>tetin Fetar Mysliman</w:t>
      </w:r>
      <w:r w:rsidR="00A80967">
        <w:rPr>
          <w:rFonts w:ascii="Times New Roman" w:hAnsi="Times New Roman"/>
          <w:b w:val="0"/>
          <w:sz w:val="24"/>
          <w:lang w:val="sq-AL"/>
        </w:rPr>
        <w:t>,</w:t>
      </w:r>
      <w:r w:rsidR="000F3D61" w:rsidRPr="001B718F">
        <w:rPr>
          <w:rFonts w:ascii="Times New Roman" w:hAnsi="Times New Roman"/>
          <w:b w:val="0"/>
          <w:sz w:val="24"/>
          <w:lang w:val="sq-AL"/>
        </w:rPr>
        <w:t xml:space="preserve"> i cili ushtron aktivitetin e tij</w:t>
      </w:r>
      <w:r w:rsidRPr="001B718F">
        <w:rPr>
          <w:rFonts w:ascii="Times New Roman" w:hAnsi="Times New Roman"/>
          <w:b w:val="0"/>
          <w:sz w:val="24"/>
          <w:lang w:val="sq-AL"/>
        </w:rPr>
        <w:t xml:space="preserve"> n</w:t>
      </w:r>
      <w:r w:rsidR="00415037" w:rsidRPr="001B718F">
        <w:rPr>
          <w:rFonts w:ascii="Times New Roman" w:hAnsi="Times New Roman"/>
          <w:b w:val="0"/>
          <w:sz w:val="24"/>
          <w:lang w:val="sq-AL"/>
        </w:rPr>
        <w:t>ë</w:t>
      </w:r>
      <w:r w:rsidRPr="001B718F">
        <w:rPr>
          <w:rFonts w:ascii="Times New Roman" w:hAnsi="Times New Roman"/>
          <w:b w:val="0"/>
          <w:sz w:val="24"/>
          <w:lang w:val="sq-AL"/>
        </w:rPr>
        <w:t xml:space="preserve"> Shqip</w:t>
      </w:r>
      <w:r w:rsidR="00415037" w:rsidRPr="001B718F">
        <w:rPr>
          <w:rFonts w:ascii="Times New Roman" w:hAnsi="Times New Roman"/>
          <w:b w:val="0"/>
          <w:sz w:val="24"/>
          <w:lang w:val="sq-AL"/>
        </w:rPr>
        <w:t>ë</w:t>
      </w:r>
      <w:r w:rsidRPr="001B718F">
        <w:rPr>
          <w:rFonts w:ascii="Times New Roman" w:hAnsi="Times New Roman"/>
          <w:b w:val="0"/>
          <w:sz w:val="24"/>
          <w:lang w:val="sq-AL"/>
        </w:rPr>
        <w:t xml:space="preserve">ri.  </w:t>
      </w:r>
    </w:p>
    <w:p w:rsidR="000F0DDB" w:rsidRPr="001B718F" w:rsidRDefault="000F0DDB"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cs="Times New Roman"/>
          <w:b w:val="0"/>
          <w:bCs w:val="0"/>
          <w:sz w:val="24"/>
          <w:szCs w:val="24"/>
          <w:lang w:val="sq-AL"/>
        </w:rPr>
      </w:pPr>
      <w:r w:rsidRPr="001B718F">
        <w:rPr>
          <w:rFonts w:ascii="Times New Roman" w:hAnsi="Times New Roman" w:cs="Times New Roman"/>
          <w:b w:val="0"/>
          <w:sz w:val="24"/>
          <w:szCs w:val="24"/>
          <w:lang w:val="sq-AL"/>
        </w:rPr>
        <w:t>E mbrojtur nga neni 9, liria e mendimit, ndërgj</w:t>
      </w:r>
      <w:r w:rsidR="00DD63EC" w:rsidRPr="001B718F">
        <w:rPr>
          <w:rFonts w:ascii="Times New Roman" w:hAnsi="Times New Roman" w:cs="Times New Roman"/>
          <w:b w:val="0"/>
          <w:sz w:val="24"/>
          <w:szCs w:val="24"/>
          <w:lang w:val="sq-AL"/>
        </w:rPr>
        <w:t>e</w:t>
      </w:r>
      <w:r w:rsidRPr="001B718F">
        <w:rPr>
          <w:rFonts w:ascii="Times New Roman" w:hAnsi="Times New Roman" w:cs="Times New Roman"/>
          <w:b w:val="0"/>
          <w:sz w:val="24"/>
          <w:szCs w:val="24"/>
          <w:lang w:val="sq-AL"/>
        </w:rPr>
        <w:t>gjes dhe fesë përfaqëson një prej themeleve të një “shoqërie demokratike”</w:t>
      </w:r>
      <w:r w:rsidR="00A80967">
        <w:rPr>
          <w:rFonts w:ascii="Times New Roman" w:hAnsi="Times New Roman" w:cs="Times New Roman"/>
          <w:b w:val="0"/>
          <w:sz w:val="24"/>
          <w:szCs w:val="24"/>
          <w:lang w:val="sq-AL"/>
        </w:rPr>
        <w:t xml:space="preserve"> </w:t>
      </w:r>
      <w:r w:rsidRPr="001B718F">
        <w:rPr>
          <w:rFonts w:ascii="Times New Roman" w:hAnsi="Times New Roman" w:cs="Times New Roman"/>
          <w:b w:val="0"/>
          <w:sz w:val="24"/>
          <w:szCs w:val="24"/>
          <w:lang w:val="sq-AL"/>
        </w:rPr>
        <w:t>sipas kuptimit të Konventës Europiane për të Drejtat e Njeriut</w:t>
      </w:r>
      <w:r w:rsidR="00813454">
        <w:rPr>
          <w:rFonts w:ascii="Times New Roman" w:hAnsi="Times New Roman" w:cs="Times New Roman"/>
          <w:b w:val="0"/>
          <w:sz w:val="24"/>
          <w:szCs w:val="24"/>
          <w:lang w:val="sq-AL"/>
        </w:rPr>
        <w:t xml:space="preserve"> </w:t>
      </w:r>
      <w:r w:rsidRPr="001B718F">
        <w:rPr>
          <w:rFonts w:ascii="Times New Roman" w:hAnsi="Times New Roman" w:cs="Times New Roman"/>
          <w:b w:val="0"/>
          <w:sz w:val="24"/>
          <w:szCs w:val="24"/>
          <w:lang w:val="sq-AL"/>
        </w:rPr>
        <w:t>(KEDNJ</w:t>
      </w:r>
      <w:r w:rsidR="00A80967">
        <w:rPr>
          <w:rFonts w:ascii="Times New Roman" w:hAnsi="Times New Roman" w:cs="Times New Roman"/>
          <w:b w:val="0"/>
          <w:sz w:val="24"/>
          <w:szCs w:val="24"/>
          <w:lang w:val="sq-AL"/>
        </w:rPr>
        <w:t>-s</w:t>
      </w:r>
      <w:r w:rsidR="00846AB9">
        <w:rPr>
          <w:rFonts w:ascii="Times New Roman" w:hAnsi="Times New Roman" w:cs="Times New Roman"/>
          <w:b w:val="0"/>
          <w:sz w:val="24"/>
          <w:szCs w:val="24"/>
          <w:lang w:val="sq-AL"/>
        </w:rPr>
        <w:t>ë</w:t>
      </w:r>
      <w:r w:rsidRPr="001B718F">
        <w:rPr>
          <w:rFonts w:ascii="Times New Roman" w:hAnsi="Times New Roman" w:cs="Times New Roman"/>
          <w:b w:val="0"/>
          <w:sz w:val="24"/>
          <w:szCs w:val="24"/>
          <w:lang w:val="sq-AL"/>
        </w:rPr>
        <w:t xml:space="preserve">). Neni 10 i Kushtetutës së Republikës </w:t>
      </w:r>
      <w:r w:rsidR="00A80967">
        <w:rPr>
          <w:rFonts w:ascii="Times New Roman" w:hAnsi="Times New Roman" w:cs="Times New Roman"/>
          <w:b w:val="0"/>
          <w:sz w:val="24"/>
          <w:szCs w:val="24"/>
          <w:lang w:val="sq-AL"/>
        </w:rPr>
        <w:t>s</w:t>
      </w:r>
      <w:r w:rsidRPr="001B718F">
        <w:rPr>
          <w:rFonts w:ascii="Times New Roman" w:hAnsi="Times New Roman" w:cs="Times New Roman"/>
          <w:b w:val="0"/>
          <w:sz w:val="24"/>
          <w:szCs w:val="24"/>
          <w:lang w:val="sq-AL"/>
        </w:rPr>
        <w:t>ë Shqipërisë garanton pavarësinë e bashkësive fetare nga shteti.</w:t>
      </w:r>
    </w:p>
    <w:p w:rsidR="00A315DD" w:rsidRPr="001B718F" w:rsidRDefault="003920C1" w:rsidP="001B718F">
      <w:pPr>
        <w:pStyle w:val="Title"/>
        <w:numPr>
          <w:ilvl w:val="0"/>
          <w:numId w:val="13"/>
        </w:numPr>
        <w:tabs>
          <w:tab w:val="left" w:pos="720"/>
          <w:tab w:val="left" w:pos="1080"/>
        </w:tabs>
        <w:spacing w:before="0" w:after="0" w:line="360" w:lineRule="auto"/>
        <w:ind w:left="0" w:firstLine="720"/>
        <w:jc w:val="both"/>
        <w:rPr>
          <w:rFonts w:ascii="Times New Roman" w:hAnsi="Times New Roman" w:cs="Times New Roman"/>
          <w:b w:val="0"/>
          <w:bCs w:val="0"/>
          <w:sz w:val="24"/>
          <w:szCs w:val="24"/>
          <w:lang w:val="sq-AL"/>
        </w:rPr>
      </w:pPr>
      <w:r w:rsidRPr="001B718F">
        <w:rPr>
          <w:rFonts w:ascii="Times New Roman" w:hAnsi="Times New Roman" w:cs="Times New Roman"/>
          <w:b w:val="0"/>
          <w:sz w:val="24"/>
          <w:szCs w:val="24"/>
          <w:lang w:val="sq-AL"/>
        </w:rPr>
        <w:t>Gjykata konstaton se shteti shqiptar në plotësimin e kuadrit ligjor mb</w:t>
      </w:r>
      <w:r w:rsidR="00A80967">
        <w:rPr>
          <w:rFonts w:ascii="Times New Roman" w:hAnsi="Times New Roman" w:cs="Times New Roman"/>
          <w:b w:val="0"/>
          <w:sz w:val="24"/>
          <w:szCs w:val="24"/>
          <w:lang w:val="sq-AL"/>
        </w:rPr>
        <w:t>i marrëdhëniet e s</w:t>
      </w:r>
      <w:r w:rsidRPr="001B718F">
        <w:rPr>
          <w:rFonts w:ascii="Times New Roman" w:hAnsi="Times New Roman" w:cs="Times New Roman"/>
          <w:b w:val="0"/>
          <w:sz w:val="24"/>
          <w:szCs w:val="24"/>
          <w:lang w:val="sq-AL"/>
        </w:rPr>
        <w:t>htetit me fenë, ruajtjen dhe zhvillimin e harmonisë ndërfetare në vend, përveç marr</w:t>
      </w:r>
      <w:r w:rsidR="00415037" w:rsidRPr="001B718F">
        <w:rPr>
          <w:rFonts w:ascii="Times New Roman" w:hAnsi="Times New Roman" w:cs="Times New Roman"/>
          <w:b w:val="0"/>
          <w:sz w:val="24"/>
          <w:szCs w:val="24"/>
          <w:lang w:val="sq-AL"/>
        </w:rPr>
        <w:t>ë</w:t>
      </w:r>
      <w:r w:rsidR="00A80967">
        <w:rPr>
          <w:rFonts w:ascii="Times New Roman" w:hAnsi="Times New Roman" w:cs="Times New Roman"/>
          <w:b w:val="0"/>
          <w:sz w:val="24"/>
          <w:szCs w:val="24"/>
          <w:lang w:val="sq-AL"/>
        </w:rPr>
        <w:t>veshjeve me komunitete të tjera,</w:t>
      </w:r>
      <w:r w:rsidRPr="001B718F">
        <w:rPr>
          <w:rFonts w:ascii="Times New Roman" w:hAnsi="Times New Roman" w:cs="Times New Roman"/>
          <w:b w:val="0"/>
          <w:sz w:val="24"/>
          <w:szCs w:val="24"/>
          <w:lang w:val="sq-AL"/>
        </w:rPr>
        <w:t xml:space="preserve"> me Komunitetin Mysliman në Shqipëri ka ratifikuar </w:t>
      </w:r>
      <w:r w:rsidRPr="001B718F">
        <w:rPr>
          <w:rFonts w:ascii="Times New Roman" w:hAnsi="Times New Roman" w:cs="Times New Roman"/>
          <w:b w:val="0"/>
          <w:kern w:val="36"/>
          <w:sz w:val="24"/>
          <w:szCs w:val="24"/>
          <w:lang w:val="sq-AL"/>
        </w:rPr>
        <w:t>ligjin nr.10056, d</w:t>
      </w:r>
      <w:r w:rsidR="00A80967">
        <w:rPr>
          <w:rFonts w:ascii="Times New Roman" w:hAnsi="Times New Roman" w:cs="Times New Roman"/>
          <w:b w:val="0"/>
          <w:kern w:val="36"/>
          <w:sz w:val="24"/>
          <w:szCs w:val="24"/>
          <w:lang w:val="sq-AL"/>
        </w:rPr>
        <w:t>at</w:t>
      </w:r>
      <w:r w:rsidR="00846AB9">
        <w:rPr>
          <w:rFonts w:ascii="Times New Roman" w:hAnsi="Times New Roman" w:cs="Times New Roman"/>
          <w:b w:val="0"/>
          <w:kern w:val="36"/>
          <w:sz w:val="24"/>
          <w:szCs w:val="24"/>
          <w:lang w:val="sq-AL"/>
        </w:rPr>
        <w:t>ë</w:t>
      </w:r>
      <w:r w:rsidRPr="001B718F">
        <w:rPr>
          <w:rFonts w:ascii="Times New Roman" w:hAnsi="Times New Roman" w:cs="Times New Roman"/>
          <w:b w:val="0"/>
          <w:kern w:val="36"/>
          <w:sz w:val="24"/>
          <w:szCs w:val="24"/>
          <w:lang w:val="sq-AL"/>
        </w:rPr>
        <w:t xml:space="preserve"> 22.01.2009 “Për ratifikimin e marrëveshjes ndërmjet Këshillit të Ministrave të Republikës së Shqipërisë dhe Komunitetit Mysliman të Shqipërisë për rregullimin e marrëdhënieve të ndërsjella”</w:t>
      </w:r>
      <w:r w:rsidR="00A80967">
        <w:rPr>
          <w:rFonts w:ascii="Times New Roman" w:hAnsi="Times New Roman" w:cs="Times New Roman"/>
          <w:b w:val="0"/>
          <w:sz w:val="24"/>
          <w:szCs w:val="24"/>
          <w:lang w:val="sq-AL"/>
        </w:rPr>
        <w:t>. N</w:t>
      </w:r>
      <w:r w:rsidR="00846AB9">
        <w:rPr>
          <w:rFonts w:ascii="Times New Roman" w:hAnsi="Times New Roman" w:cs="Times New Roman"/>
          <w:b w:val="0"/>
          <w:sz w:val="24"/>
          <w:szCs w:val="24"/>
          <w:lang w:val="sq-AL"/>
        </w:rPr>
        <w:t>ë</w:t>
      </w:r>
      <w:r w:rsidRPr="001B718F">
        <w:rPr>
          <w:rFonts w:ascii="Times New Roman" w:hAnsi="Times New Roman" w:cs="Times New Roman"/>
          <w:b w:val="0"/>
          <w:sz w:val="24"/>
          <w:szCs w:val="24"/>
          <w:lang w:val="sq-AL"/>
        </w:rPr>
        <w:t xml:space="preserve"> </w:t>
      </w:r>
      <w:r w:rsidR="00A80967">
        <w:rPr>
          <w:rFonts w:ascii="Times New Roman" w:hAnsi="Times New Roman" w:cs="Times New Roman"/>
          <w:b w:val="0"/>
          <w:kern w:val="36"/>
          <w:sz w:val="24"/>
          <w:szCs w:val="24"/>
          <w:lang w:val="sq-AL"/>
        </w:rPr>
        <w:t>nenin</w:t>
      </w:r>
      <w:r w:rsidRPr="001B718F">
        <w:rPr>
          <w:rFonts w:ascii="Times New Roman" w:hAnsi="Times New Roman" w:cs="Times New Roman"/>
          <w:b w:val="0"/>
          <w:kern w:val="36"/>
          <w:sz w:val="24"/>
          <w:szCs w:val="24"/>
          <w:lang w:val="sq-AL"/>
        </w:rPr>
        <w:t xml:space="preserve"> 11 të kësaj marrëveshje</w:t>
      </w:r>
      <w:r w:rsidR="00A80967">
        <w:rPr>
          <w:rFonts w:ascii="Times New Roman" w:hAnsi="Times New Roman" w:cs="Times New Roman"/>
          <w:b w:val="0"/>
          <w:kern w:val="36"/>
          <w:sz w:val="24"/>
          <w:szCs w:val="24"/>
          <w:lang w:val="sq-AL"/>
        </w:rPr>
        <w:t>,</w:t>
      </w:r>
      <w:r w:rsidRPr="001B718F">
        <w:rPr>
          <w:rFonts w:ascii="Times New Roman" w:hAnsi="Times New Roman" w:cs="Times New Roman"/>
          <w:b w:val="0"/>
          <w:kern w:val="36"/>
          <w:sz w:val="24"/>
          <w:szCs w:val="24"/>
          <w:lang w:val="sq-AL"/>
        </w:rPr>
        <w:t xml:space="preserve"> i cili rregullon organizimin e Komunitetit Mysliman t</w:t>
      </w:r>
      <w:r w:rsidR="00415037" w:rsidRPr="001B718F">
        <w:rPr>
          <w:rFonts w:ascii="Times New Roman" w:hAnsi="Times New Roman" w:cs="Times New Roman"/>
          <w:b w:val="0"/>
          <w:kern w:val="36"/>
          <w:sz w:val="24"/>
          <w:szCs w:val="24"/>
          <w:lang w:val="sq-AL"/>
        </w:rPr>
        <w:t>ë</w:t>
      </w:r>
      <w:r w:rsidRPr="001B718F">
        <w:rPr>
          <w:rFonts w:ascii="Times New Roman" w:hAnsi="Times New Roman" w:cs="Times New Roman"/>
          <w:b w:val="0"/>
          <w:kern w:val="36"/>
          <w:sz w:val="24"/>
          <w:szCs w:val="24"/>
          <w:lang w:val="sq-AL"/>
        </w:rPr>
        <w:t xml:space="preserve"> Shqip</w:t>
      </w:r>
      <w:r w:rsidR="00415037" w:rsidRPr="001B718F">
        <w:rPr>
          <w:rFonts w:ascii="Times New Roman" w:hAnsi="Times New Roman" w:cs="Times New Roman"/>
          <w:b w:val="0"/>
          <w:kern w:val="36"/>
          <w:sz w:val="24"/>
          <w:szCs w:val="24"/>
          <w:lang w:val="sq-AL"/>
        </w:rPr>
        <w:t>ë</w:t>
      </w:r>
      <w:r w:rsidRPr="001B718F">
        <w:rPr>
          <w:rFonts w:ascii="Times New Roman" w:hAnsi="Times New Roman" w:cs="Times New Roman"/>
          <w:b w:val="0"/>
          <w:kern w:val="36"/>
          <w:sz w:val="24"/>
          <w:szCs w:val="24"/>
          <w:lang w:val="sq-AL"/>
        </w:rPr>
        <w:t>ris</w:t>
      </w:r>
      <w:r w:rsidR="00415037" w:rsidRPr="001B718F">
        <w:rPr>
          <w:rFonts w:ascii="Times New Roman" w:hAnsi="Times New Roman" w:cs="Times New Roman"/>
          <w:b w:val="0"/>
          <w:kern w:val="36"/>
          <w:sz w:val="24"/>
          <w:szCs w:val="24"/>
          <w:lang w:val="sq-AL"/>
        </w:rPr>
        <w:t>ë</w:t>
      </w:r>
      <w:r w:rsidR="00A80967">
        <w:rPr>
          <w:rFonts w:ascii="Times New Roman" w:hAnsi="Times New Roman" w:cs="Times New Roman"/>
          <w:b w:val="0"/>
          <w:kern w:val="36"/>
          <w:sz w:val="24"/>
          <w:szCs w:val="24"/>
          <w:lang w:val="sq-AL"/>
        </w:rPr>
        <w:t>,</w:t>
      </w:r>
      <w:r w:rsidRPr="001B718F">
        <w:rPr>
          <w:rFonts w:ascii="Times New Roman" w:hAnsi="Times New Roman" w:cs="Times New Roman"/>
          <w:b w:val="0"/>
          <w:kern w:val="36"/>
          <w:sz w:val="24"/>
          <w:szCs w:val="24"/>
          <w:lang w:val="sq-AL"/>
        </w:rPr>
        <w:t xml:space="preserve"> citohet se  “</w:t>
      </w:r>
      <w:r w:rsidRPr="001B718F">
        <w:rPr>
          <w:rFonts w:ascii="Times New Roman" w:hAnsi="Times New Roman" w:cs="Times New Roman"/>
          <w:b w:val="0"/>
          <w:i/>
          <w:kern w:val="36"/>
          <w:sz w:val="24"/>
          <w:szCs w:val="24"/>
          <w:lang w:val="sq-AL"/>
        </w:rPr>
        <w:t>n</w:t>
      </w:r>
      <w:r w:rsidRPr="001B718F">
        <w:rPr>
          <w:rFonts w:ascii="Times New Roman" w:hAnsi="Times New Roman" w:cs="Times New Roman"/>
          <w:b w:val="0"/>
          <w:i/>
          <w:sz w:val="24"/>
          <w:szCs w:val="24"/>
          <w:lang w:val="sq-AL"/>
        </w:rPr>
        <w:t>ë marrëdhëniet me organet, institucionet dhe organizatat e tjera laike e fetare, brenda dhe jashtë vendit, besimtarët e Komunitetit Mysliman të Shqipërisë përfaqësohen nga organet, funksionarët dhe drejtuesit e formuar, të emëruar a zgjedhur në përputhje me statutin.</w:t>
      </w:r>
      <w:r w:rsidR="00331FC3" w:rsidRPr="001B718F">
        <w:rPr>
          <w:rFonts w:ascii="Times New Roman" w:hAnsi="Times New Roman" w:cs="Times New Roman"/>
          <w:b w:val="0"/>
          <w:i/>
          <w:sz w:val="24"/>
          <w:szCs w:val="24"/>
          <w:lang w:val="sq-AL"/>
        </w:rPr>
        <w:t xml:space="preserve"> </w:t>
      </w:r>
      <w:r w:rsidRPr="001B718F">
        <w:rPr>
          <w:rFonts w:ascii="Times New Roman" w:hAnsi="Times New Roman" w:cs="Times New Roman"/>
          <w:b w:val="0"/>
          <w:i/>
          <w:sz w:val="24"/>
          <w:szCs w:val="24"/>
          <w:lang w:val="sq-AL"/>
        </w:rPr>
        <w:t>Komuniteti Mysliman i Shqipërisë ka të drejtë të formojë organet e tij, të emërojë funksionarët dhe drejtuesit e tyre në mënyrë të pavarur, si dhe në përputhje me dispozitat e parashikuara në statutin e tij</w:t>
      </w:r>
      <w:r w:rsidR="000F0DDB" w:rsidRPr="001B718F">
        <w:rPr>
          <w:rFonts w:ascii="Times New Roman" w:hAnsi="Times New Roman" w:cs="Times New Roman"/>
          <w:b w:val="0"/>
          <w:i/>
          <w:sz w:val="24"/>
          <w:szCs w:val="24"/>
          <w:lang w:val="sq-AL"/>
        </w:rPr>
        <w:t>”.</w:t>
      </w:r>
    </w:p>
    <w:p w:rsidR="004F10D8" w:rsidRPr="001B718F" w:rsidRDefault="004F10D8" w:rsidP="00AF6BDE">
      <w:pPr>
        <w:numPr>
          <w:ilvl w:val="0"/>
          <w:numId w:val="13"/>
        </w:numPr>
        <w:tabs>
          <w:tab w:val="left" w:pos="1080"/>
        </w:tabs>
        <w:spacing w:line="360" w:lineRule="auto"/>
        <w:ind w:left="0" w:firstLine="720"/>
        <w:jc w:val="both"/>
        <w:rPr>
          <w:i/>
        </w:rPr>
      </w:pPr>
      <w:r w:rsidRPr="001B718F">
        <w:t>N</w:t>
      </w:r>
      <w:r w:rsidR="00DD63EC" w:rsidRPr="001B718F">
        <w:t>ë</w:t>
      </w:r>
      <w:r w:rsidRPr="001B718F">
        <w:t xml:space="preserve"> rastin n</w:t>
      </w:r>
      <w:r w:rsidR="00DD63EC" w:rsidRPr="001B718F">
        <w:t>ë</w:t>
      </w:r>
      <w:r w:rsidRPr="001B718F">
        <w:t xml:space="preserve"> shqyrtim</w:t>
      </w:r>
      <w:r w:rsidR="00A80967">
        <w:t>, k</w:t>
      </w:r>
      <w:r w:rsidRPr="001B718F">
        <w:t>ërkuesi Betim Truci ka qenë anëtar i Kryesisë së Këshillit të Përgjithshëm të Komunitet</w:t>
      </w:r>
      <w:r w:rsidR="00A80967">
        <w:t>it Mysliman të Shqipërisë. Me vendimet nr.12</w:t>
      </w:r>
      <w:r w:rsidRPr="001B718F">
        <w:t xml:space="preserve"> dhe nr.13 të datës 15.09.2010 të këtij këshilli është bërë shkarkimi i kërkuesit dhe tre anëtarëve të tjerë të KMSH-së.</w:t>
      </w:r>
    </w:p>
    <w:p w:rsidR="004F10D8" w:rsidRPr="001B718F" w:rsidRDefault="004F10D8" w:rsidP="00AF6BDE">
      <w:pPr>
        <w:numPr>
          <w:ilvl w:val="0"/>
          <w:numId w:val="13"/>
        </w:numPr>
        <w:tabs>
          <w:tab w:val="left" w:pos="1080"/>
        </w:tabs>
        <w:spacing w:line="360" w:lineRule="auto"/>
        <w:ind w:left="0" w:firstLine="720"/>
        <w:jc w:val="both"/>
        <w:rPr>
          <w:i/>
        </w:rPr>
      </w:pPr>
      <w:r w:rsidRPr="001B718F">
        <w:t xml:space="preserve">Kërkuesi ka pretenduar se </w:t>
      </w:r>
      <w:r w:rsidR="00A80967">
        <w:t>t</w:t>
      </w:r>
      <w:r w:rsidR="00846AB9">
        <w:t>ë</w:t>
      </w:r>
      <w:r w:rsidR="00A80967">
        <w:t xml:space="preserve"> </w:t>
      </w:r>
      <w:r w:rsidRPr="001B718F">
        <w:t>dy</w:t>
      </w:r>
      <w:r w:rsidR="00A80967">
        <w:t>ja mbledhjet janë zhvilluar pa pas</w:t>
      </w:r>
      <w:r w:rsidRPr="001B718F">
        <w:t>ur kuor</w:t>
      </w:r>
      <w:r w:rsidR="00D00F25">
        <w:t>umin e duhur të parashikuar në</w:t>
      </w:r>
      <w:r w:rsidR="00A80967">
        <w:t xml:space="preserve"> statut dhe r</w:t>
      </w:r>
      <w:r w:rsidRPr="001B718F">
        <w:t>regullore, si rrjedhojë</w:t>
      </w:r>
      <w:r w:rsidR="00D15E23" w:rsidRPr="001B718F">
        <w:t xml:space="preserve"> vendimet që janë marrë në këto mbledhje </w:t>
      </w:r>
      <w:r w:rsidRPr="001B718F">
        <w:t xml:space="preserve">kanë qenë të pavlefshme. Për këto arsye, kërkuesi ka paraqitur padi në Gjykatën e Tiranës me objekt: </w:t>
      </w:r>
      <w:r w:rsidR="00D15E23">
        <w:t>“</w:t>
      </w:r>
      <w:r w:rsidR="00D15E23" w:rsidRPr="00D15E23">
        <w:rPr>
          <w:i/>
        </w:rPr>
        <w:t>S</w:t>
      </w:r>
      <w:r w:rsidRPr="001B718F">
        <w:rPr>
          <w:i/>
        </w:rPr>
        <w:t>hfuqizimin e vendimit të Këshillit të Përgjithshëm të Komunitetit Mysliman të Shqipërisë</w:t>
      </w:r>
      <w:r w:rsidR="00D15E23">
        <w:rPr>
          <w:i/>
        </w:rPr>
        <w:t>,</w:t>
      </w:r>
      <w:r w:rsidRPr="001B718F">
        <w:rPr>
          <w:i/>
        </w:rPr>
        <w:t xml:space="preserve"> datë 18.09.2010 dhe vendimeve nr.12 dhe nr.13</w:t>
      </w:r>
      <w:r w:rsidR="00D15E23">
        <w:rPr>
          <w:i/>
        </w:rPr>
        <w:t>, datë 15.09.2010 të Kryesisë s</w:t>
      </w:r>
      <w:r w:rsidRPr="001B718F">
        <w:rPr>
          <w:i/>
        </w:rPr>
        <w:t>ë Komunitetit Mysliman të Shqipërisë</w:t>
      </w:r>
      <w:r w:rsidR="00F8626C" w:rsidRPr="001B718F">
        <w:t>”</w:t>
      </w:r>
      <w:r w:rsidRPr="001B718F">
        <w:t>.</w:t>
      </w:r>
      <w:r w:rsidR="00DC51B1">
        <w:t xml:space="preserve"> </w:t>
      </w:r>
      <w:r w:rsidR="00F8626C" w:rsidRPr="001B718F">
        <w:t xml:space="preserve">Gjykata e Apelit Tiranë </w:t>
      </w:r>
      <w:r w:rsidR="00D15E23">
        <w:t xml:space="preserve">e </w:t>
      </w:r>
      <w:r w:rsidR="00F8626C" w:rsidRPr="001B718F">
        <w:t>ka nxjerrë çështjen jashtë juridiksionit gjyqësor. Ky vendim është lënë në fuqi nga Gjykata e Lartë</w:t>
      </w:r>
    </w:p>
    <w:p w:rsidR="004F10D8" w:rsidRPr="00207676" w:rsidRDefault="00DD63EC" w:rsidP="00AF6BDE">
      <w:pPr>
        <w:numPr>
          <w:ilvl w:val="0"/>
          <w:numId w:val="13"/>
        </w:numPr>
        <w:tabs>
          <w:tab w:val="left" w:pos="1080"/>
        </w:tabs>
        <w:spacing w:line="360" w:lineRule="auto"/>
        <w:ind w:left="0" w:firstLine="720"/>
        <w:jc w:val="both"/>
      </w:pPr>
      <w:r w:rsidRPr="001B718F">
        <w:t>Gjykata vler</w:t>
      </w:r>
      <w:r w:rsidR="00F8626C" w:rsidRPr="001B718F">
        <w:t>ë</w:t>
      </w:r>
      <w:r w:rsidRPr="001B718F">
        <w:t>son se s</w:t>
      </w:r>
      <w:r w:rsidR="00DB05FC" w:rsidRPr="001B718F">
        <w:t>ipas nenit 11/4 t</w:t>
      </w:r>
      <w:r w:rsidRPr="001B718F">
        <w:t>ë</w:t>
      </w:r>
      <w:r w:rsidR="00DB05FC" w:rsidRPr="001B718F">
        <w:t xml:space="preserve"> </w:t>
      </w:r>
      <w:r w:rsidR="00D15E23">
        <w:rPr>
          <w:kern w:val="36"/>
        </w:rPr>
        <w:t>ligjit nr.10056, dat</w:t>
      </w:r>
      <w:r w:rsidR="00846AB9">
        <w:rPr>
          <w:kern w:val="36"/>
        </w:rPr>
        <w:t>ë</w:t>
      </w:r>
      <w:r w:rsidR="00DB05FC" w:rsidRPr="001B718F">
        <w:rPr>
          <w:kern w:val="36"/>
        </w:rPr>
        <w:t xml:space="preserve"> 22.01.2009 “Për ratifikimin e marrëveshjes ndërmjet Këshillit të Ministrave të Republikës së Shqipërisë dhe Komunitetit Mysliman të Shqipërisë për rregullimin e marrëdhënieve të ndërsjella”</w:t>
      </w:r>
      <w:r w:rsidR="00207676">
        <w:rPr>
          <w:kern w:val="36"/>
        </w:rPr>
        <w:t>,</w:t>
      </w:r>
      <w:r w:rsidR="00DB05FC" w:rsidRPr="001B718F">
        <w:t xml:space="preserve"> </w:t>
      </w:r>
      <w:r w:rsidR="00DB05FC" w:rsidRPr="00207676">
        <w:t>“Funksionarëve, drejtuesve dhe organeve të bashkësisë u garantohet liri e plotë e ushtrimit të veprimtarisë fetare, organizative e administrative, në përputhje me aktet e këtij Komuniteti, për aq sa kjo veprimtari nuk vjen në kundërshtim me dispozitat kushtetuese dhe ligjore</w:t>
      </w:r>
      <w:r w:rsidRPr="00207676">
        <w:t>.</w:t>
      </w:r>
    </w:p>
    <w:p w:rsidR="00F8626C" w:rsidRPr="001B718F" w:rsidRDefault="00F8626C" w:rsidP="00AF6BDE">
      <w:pPr>
        <w:numPr>
          <w:ilvl w:val="0"/>
          <w:numId w:val="13"/>
        </w:numPr>
        <w:tabs>
          <w:tab w:val="left" w:pos="1080"/>
        </w:tabs>
        <w:spacing w:line="360" w:lineRule="auto"/>
        <w:ind w:left="0" w:firstLine="720"/>
        <w:jc w:val="both"/>
        <w:rPr>
          <w:i/>
        </w:rPr>
      </w:pPr>
      <w:r w:rsidRPr="001B718F">
        <w:t xml:space="preserve">Edhe në jurisprudencën </w:t>
      </w:r>
      <w:r w:rsidR="00DC51B1">
        <w:t>e konsoliduar</w:t>
      </w:r>
      <w:r w:rsidRPr="001B718F">
        <w:t xml:space="preserve"> të GJEDNJ-së, kjo gjykatë ka konstatuar se ka pasur shkelje të nenit 9 të KEDNJ-së. Në çështjen </w:t>
      </w:r>
      <w:r w:rsidRPr="001B718F">
        <w:rPr>
          <w:i/>
        </w:rPr>
        <w:t>Hasan dhe Chaush vs Bullgari</w:t>
      </w:r>
      <w:r w:rsidR="00207676">
        <w:rPr>
          <w:i/>
        </w:rPr>
        <w:t>a</w:t>
      </w:r>
      <w:r w:rsidRPr="001B718F">
        <w:t xml:space="preserve"> </w:t>
      </w:r>
      <w:r w:rsidRPr="001B718F">
        <w:rPr>
          <w:i/>
        </w:rPr>
        <w:t>kërkuesit,</w:t>
      </w:r>
      <w:r w:rsidR="00846AB9">
        <w:rPr>
          <w:i/>
        </w:rPr>
        <w:t xml:space="preserve"> një ish-kryetar Myfti i fesë my</w:t>
      </w:r>
      <w:r w:rsidRPr="001B718F">
        <w:rPr>
          <w:i/>
        </w:rPr>
        <w:t>slimane bullgare dhe një mësues i fesë islame, ankimuan për ven</w:t>
      </w:r>
      <w:r w:rsidR="00207676">
        <w:rPr>
          <w:i/>
        </w:rPr>
        <w:t>dimin e autoriteteve bullgare p</w:t>
      </w:r>
      <w:r w:rsidR="00846AB9">
        <w:rPr>
          <w:i/>
        </w:rPr>
        <w:t>ë</w:t>
      </w:r>
      <w:r w:rsidR="00207676">
        <w:rPr>
          <w:i/>
        </w:rPr>
        <w:t>r</w:t>
      </w:r>
      <w:r w:rsidRPr="001B718F">
        <w:rPr>
          <w:i/>
        </w:rPr>
        <w:t xml:space="preserve"> ndërrimin e drejtimit dhe </w:t>
      </w:r>
      <w:r w:rsidR="00207676">
        <w:rPr>
          <w:i/>
        </w:rPr>
        <w:t>t</w:t>
      </w:r>
      <w:r w:rsidR="00846AB9">
        <w:rPr>
          <w:i/>
        </w:rPr>
        <w:t>ë</w:t>
      </w:r>
      <w:r w:rsidR="00207676">
        <w:rPr>
          <w:i/>
        </w:rPr>
        <w:t xml:space="preserve"> statutit të komunitetit my</w:t>
      </w:r>
      <w:r w:rsidRPr="001B718F">
        <w:rPr>
          <w:i/>
        </w:rPr>
        <w:t>sliman. Këshilli i Ministrave refuzoi të regjistrojë udhëheqjen</w:t>
      </w:r>
      <w:r w:rsidR="00207676">
        <w:rPr>
          <w:i/>
        </w:rPr>
        <w:t>,</w:t>
      </w:r>
      <w:r w:rsidRPr="001B718F">
        <w:rPr>
          <w:i/>
        </w:rPr>
        <w:t xml:space="preserve"> pavarësisht nga fakti që Gjykata e Lartë Administrati</w:t>
      </w:r>
      <w:r w:rsidR="00207676">
        <w:rPr>
          <w:i/>
        </w:rPr>
        <w:t>ve e kishte dhënë dy herë t</w:t>
      </w:r>
      <w:r w:rsidR="00846AB9">
        <w:rPr>
          <w:i/>
        </w:rPr>
        <w:t>ë</w:t>
      </w:r>
      <w:r w:rsidR="00207676">
        <w:rPr>
          <w:i/>
        </w:rPr>
        <w:t xml:space="preserve"> drejt</w:t>
      </w:r>
      <w:r w:rsidR="00846AB9">
        <w:rPr>
          <w:i/>
        </w:rPr>
        <w:t>ë</w:t>
      </w:r>
      <w:r w:rsidR="00207676">
        <w:rPr>
          <w:i/>
        </w:rPr>
        <w:t xml:space="preserve"> zotit</w:t>
      </w:r>
      <w:r w:rsidRPr="001B718F">
        <w:rPr>
          <w:i/>
        </w:rPr>
        <w:t xml:space="preserve"> Hasan kundër refuzimit të Këshillit të Ministrave për të regjistruar</w:t>
      </w:r>
      <w:r w:rsidR="00207676">
        <w:rPr>
          <w:i/>
        </w:rPr>
        <w:t xml:space="preserve"> aktet nënligjore dhe lidershipin</w:t>
      </w:r>
      <w:r w:rsidRPr="001B718F">
        <w:rPr>
          <w:i/>
        </w:rPr>
        <w:t xml:space="preserve">. </w:t>
      </w:r>
      <w:r w:rsidRPr="001B718F">
        <w:t>Gjykata konstatoi s</w:t>
      </w:r>
      <w:r w:rsidR="00207676">
        <w:t>e kishte pasur ndërhyrje n</w:t>
      </w:r>
      <w:r w:rsidR="00846AB9">
        <w:t>ë</w:t>
      </w:r>
      <w:r w:rsidRPr="001B718F">
        <w:t xml:space="preserve"> organizim</w:t>
      </w:r>
      <w:r w:rsidR="00207676">
        <w:t>in e brendshëm të komunitetit mysliman dhe lirisë së fesë”.</w:t>
      </w:r>
    </w:p>
    <w:p w:rsidR="00F8626C" w:rsidRPr="001B718F" w:rsidRDefault="00207676" w:rsidP="00AF6BDE">
      <w:pPr>
        <w:numPr>
          <w:ilvl w:val="0"/>
          <w:numId w:val="13"/>
        </w:numPr>
        <w:tabs>
          <w:tab w:val="left" w:pos="1080"/>
        </w:tabs>
        <w:spacing w:line="360" w:lineRule="auto"/>
        <w:ind w:left="0" w:firstLine="720"/>
        <w:jc w:val="both"/>
        <w:rPr>
          <w:i/>
        </w:rPr>
      </w:pPr>
      <w:r>
        <w:t>Në vendimin e saj</w:t>
      </w:r>
      <w:r w:rsidR="00F8626C" w:rsidRPr="001B718F">
        <w:t xml:space="preserve"> GJEDNJ-ja konsideroi se</w:t>
      </w:r>
      <w:r>
        <w:t xml:space="preserve"> faktet tregojnë se dështimi i autoriteteve</w:t>
      </w:r>
      <w:r w:rsidR="00F8626C" w:rsidRPr="001B718F">
        <w:t xml:space="preserve"> që të mbeten neutrale në ushtrimin e kompetencave të tyre në lidhje me regjistrimin administ</w:t>
      </w:r>
      <w:r>
        <w:t>rativ të komuniteteve fetare, çon</w:t>
      </w:r>
      <w:r w:rsidR="00F8626C" w:rsidRPr="001B718F">
        <w:t xml:space="preserve"> në përfundimin se shteti kishte ndërhyrë në lirinë e besimtarëve për të manifestuar fenë e tyre brenda kuptimit të nenit 9. Kjo ndërhyrje, sipas GJEDNJ-së duhet të bazohet në një ligj që ofron mbrojtje të mjaftueshme kundër kufizimit arbitrar të të drejtave themelore. Në rastin në fjalë, GJEDNJ-ja u shpreh se legjislacioni bullgar nuk ka kritere të qarta dhe të parashikueshme për regjistrimin e udhëheqjes së një komuniteti fetar dhe për këtë arsye nuk ishte në përputhje me standardet e Konventës Evropiane. Në përfundim, GJEDNJ-ja theksoi se ndërhyrja në jetën organizative të fesë myslimane dhe si pasojë në lirinë e </w:t>
      </w:r>
      <w:r>
        <w:t>ankuesve për të manifestuar besimin</w:t>
      </w:r>
      <w:r w:rsidR="00F8626C" w:rsidRPr="001B718F">
        <w:t xml:space="preserve"> e tyre nuk ishte </w:t>
      </w:r>
      <w:r>
        <w:rPr>
          <w:i/>
        </w:rPr>
        <w:t>"e</w:t>
      </w:r>
      <w:r w:rsidR="00F8626C" w:rsidRPr="001B718F">
        <w:rPr>
          <w:i/>
        </w:rPr>
        <w:t xml:space="preserve"> parashikuar me ligj"</w:t>
      </w:r>
      <w:r>
        <w:t>,</w:t>
      </w:r>
      <w:r w:rsidR="00F8626C" w:rsidRPr="001B718F">
        <w:t xml:space="preserve"> arbitrar</w:t>
      </w:r>
      <w:r w:rsidR="00B943C2" w:rsidRPr="001B718F">
        <w:t>e</w:t>
      </w:r>
      <w:r w:rsidR="00F8626C" w:rsidRPr="001B718F">
        <w:t xml:space="preserve"> </w:t>
      </w:r>
      <w:r>
        <w:t xml:space="preserve">si </w:t>
      </w:r>
      <w:r w:rsidR="00F8626C" w:rsidRPr="001B718F">
        <w:t>dhe e bazuar në dispozita ligjore që nuk kishin plotësuar standardet e kërkuara për qartësi dhe parashikueshmëri</w:t>
      </w:r>
      <w:r w:rsidR="0065401D">
        <w:t xml:space="preserve"> </w:t>
      </w:r>
      <w:r w:rsidR="00BD6304" w:rsidRPr="001B718F">
        <w:t>(</w:t>
      </w:r>
      <w:r w:rsidR="00BD6304" w:rsidRPr="001B718F">
        <w:rPr>
          <w:i/>
        </w:rPr>
        <w:t>shih vendimin e GJEDNJ-së, Aplikimi nr.</w:t>
      </w:r>
      <w:r w:rsidR="00BD6304" w:rsidRPr="001B718F">
        <w:rPr>
          <w:rStyle w:val="Title"/>
          <w:i/>
        </w:rPr>
        <w:t xml:space="preserve"> </w:t>
      </w:r>
      <w:hyperlink r:id="rId7" w:anchor="%7B%22appno%22:[%2230985/96%22]%7D" w:tgtFrame="_blank" w:history="1">
        <w:r w:rsidR="00BD6304" w:rsidRPr="0065401D">
          <w:rPr>
            <w:rStyle w:val="Hyperlink"/>
            <w:i/>
            <w:color w:val="auto"/>
            <w:u w:val="none"/>
          </w:rPr>
          <w:t>30985/96</w:t>
        </w:r>
      </w:hyperlink>
      <w:r w:rsidR="00BD6304" w:rsidRPr="0065401D">
        <w:rPr>
          <w:rStyle w:val="s6b621b36"/>
          <w:i/>
        </w:rPr>
        <w:t>)</w:t>
      </w:r>
      <w:r w:rsidR="00846AB9" w:rsidRPr="0065401D">
        <w:rPr>
          <w:rStyle w:val="s6b621b36"/>
          <w:i/>
        </w:rPr>
        <w:t>,</w:t>
      </w:r>
      <w:r w:rsidR="00BD6304" w:rsidRPr="0065401D">
        <w:rPr>
          <w:rStyle w:val="s6b621b36"/>
          <w:i/>
        </w:rPr>
        <w:t xml:space="preserve"> </w:t>
      </w:r>
      <w:r w:rsidR="00BD6304" w:rsidRPr="001B718F">
        <w:rPr>
          <w:rStyle w:val="s6b621b36"/>
          <w:i/>
        </w:rPr>
        <w:t>datë 26.10.2000</w:t>
      </w:r>
      <w:r w:rsidR="00BD6304" w:rsidRPr="001B718F">
        <w:rPr>
          <w:rStyle w:val="s6b621b36"/>
        </w:rPr>
        <w:t>)</w:t>
      </w:r>
      <w:r w:rsidR="00846AB9">
        <w:rPr>
          <w:rStyle w:val="s6b621b36"/>
        </w:rPr>
        <w:t>.</w:t>
      </w:r>
    </w:p>
    <w:p w:rsidR="00DD63EC" w:rsidRPr="001B718F" w:rsidRDefault="00A315DD" w:rsidP="00AF6BDE">
      <w:pPr>
        <w:numPr>
          <w:ilvl w:val="0"/>
          <w:numId w:val="13"/>
        </w:numPr>
        <w:tabs>
          <w:tab w:val="left" w:pos="1080"/>
        </w:tabs>
        <w:spacing w:line="360" w:lineRule="auto"/>
        <w:ind w:left="0" w:firstLine="720"/>
        <w:jc w:val="both"/>
        <w:rPr>
          <w:i/>
        </w:rPr>
      </w:pPr>
      <w:r w:rsidRPr="001B718F">
        <w:t>P</w:t>
      </w:r>
      <w:r w:rsidR="00415037" w:rsidRPr="001B718F">
        <w:t>ë</w:t>
      </w:r>
      <w:r w:rsidR="00BF64D0" w:rsidRPr="001B718F">
        <w:t>r sa m</w:t>
      </w:r>
      <w:r w:rsidR="00415037" w:rsidRPr="001B718F">
        <w:t>ë</w:t>
      </w:r>
      <w:r w:rsidR="00BF64D0" w:rsidRPr="001B718F">
        <w:t xml:space="preserve"> sipër,</w:t>
      </w:r>
      <w:r w:rsidR="00DB05FC" w:rsidRPr="001B718F">
        <w:t xml:space="preserve"> </w:t>
      </w:r>
      <w:r w:rsidR="00DD63EC" w:rsidRPr="001B718F">
        <w:t>Gjykata vlerëson se</w:t>
      </w:r>
      <w:r w:rsidR="00846AB9">
        <w:t xml:space="preserve"> vendimi i </w:t>
      </w:r>
      <w:r w:rsidR="00DD63EC" w:rsidRPr="001B718F">
        <w:t xml:space="preserve"> </w:t>
      </w:r>
      <w:r w:rsidR="00846AB9">
        <w:t>Gjykatës së</w:t>
      </w:r>
      <w:r w:rsidR="00516A3E" w:rsidRPr="001B718F">
        <w:t xml:space="preserve"> Apelit Tiran</w:t>
      </w:r>
      <w:r w:rsidR="00415037" w:rsidRPr="001B718F">
        <w:t>ë</w:t>
      </w:r>
      <w:r w:rsidR="00846AB9">
        <w:t>,</w:t>
      </w:r>
      <w:r w:rsidR="00516A3E" w:rsidRPr="001B718F">
        <w:t xml:space="preserve"> e cila</w:t>
      </w:r>
      <w:r w:rsidR="00846AB9">
        <w:t xml:space="preserve"> e </w:t>
      </w:r>
      <w:r w:rsidR="00516A3E" w:rsidRPr="001B718F">
        <w:t xml:space="preserve"> ka nxjerr</w:t>
      </w:r>
      <w:r w:rsidR="00415037" w:rsidRPr="001B718F">
        <w:t>ë</w:t>
      </w:r>
      <w:r w:rsidR="00516A3E" w:rsidRPr="001B718F">
        <w:t xml:space="preserve"> çështjen jashtë </w:t>
      </w:r>
      <w:r w:rsidR="000F3D61" w:rsidRPr="001B718F">
        <w:t>juridiksionit</w:t>
      </w:r>
      <w:r w:rsidR="00846AB9">
        <w:t>, pa e zgjidhur atë</w:t>
      </w:r>
      <w:r w:rsidR="00516A3E" w:rsidRPr="001B718F">
        <w:t xml:space="preserve"> në themel, </w:t>
      </w:r>
      <w:r w:rsidR="000E1D0E" w:rsidRPr="001B718F">
        <w:t xml:space="preserve">dhe </w:t>
      </w:r>
      <w:r w:rsidR="00846AB9">
        <w:t>vendimi i mospranimit i Gjykatës</w:t>
      </w:r>
      <w:r w:rsidR="000E1D0E" w:rsidRPr="001B718F">
        <w:t xml:space="preserve"> </w:t>
      </w:r>
      <w:r w:rsidR="00846AB9">
        <w:t>së</w:t>
      </w:r>
      <w:r w:rsidR="000E1D0E" w:rsidRPr="001B718F">
        <w:t xml:space="preserve"> Lart</w:t>
      </w:r>
      <w:r w:rsidR="00415037" w:rsidRPr="001B718F">
        <w:t>ë</w:t>
      </w:r>
      <w:r w:rsidR="000E1D0E" w:rsidRPr="001B718F">
        <w:t xml:space="preserve"> </w:t>
      </w:r>
      <w:r w:rsidR="00516A3E" w:rsidRPr="001B718F">
        <w:t xml:space="preserve">nuk </w:t>
      </w:r>
      <w:r w:rsidR="003920C1" w:rsidRPr="001B718F">
        <w:t>i</w:t>
      </w:r>
      <w:r w:rsidR="00516A3E" w:rsidRPr="001B718F">
        <w:t xml:space="preserve"> ka</w:t>
      </w:r>
      <w:r w:rsidR="00846AB9">
        <w:t>në</w:t>
      </w:r>
      <w:r w:rsidR="00516A3E" w:rsidRPr="001B718F">
        <w:t xml:space="preserve"> cenuar kërkuesit të drejtën e aksesit në gjykatë, si aspekt i së drejtës për një proces të rregullt ligjor, parashikuar nga neni 42 i Kushtetutës.</w:t>
      </w:r>
      <w:r w:rsidR="003920C1" w:rsidRPr="001B718F">
        <w:t xml:space="preserve"> </w:t>
      </w:r>
    </w:p>
    <w:p w:rsidR="00DD63EC" w:rsidRPr="001B718F" w:rsidRDefault="00DD63EC" w:rsidP="00AF6BDE">
      <w:pPr>
        <w:numPr>
          <w:ilvl w:val="0"/>
          <w:numId w:val="13"/>
        </w:numPr>
        <w:tabs>
          <w:tab w:val="left" w:pos="1080"/>
        </w:tabs>
        <w:spacing w:line="360" w:lineRule="auto"/>
        <w:ind w:left="0" w:firstLine="720"/>
        <w:jc w:val="both"/>
        <w:rPr>
          <w:i/>
        </w:rPr>
      </w:pPr>
      <w:r w:rsidRPr="001B718F">
        <w:rPr>
          <w:i/>
        </w:rPr>
        <w:t xml:space="preserve"> </w:t>
      </w:r>
      <w:r w:rsidRPr="001B718F">
        <w:t>N</w:t>
      </w:r>
      <w:r w:rsidR="00F8626C" w:rsidRPr="001B718F">
        <w:t>ë</w:t>
      </w:r>
      <w:r w:rsidRPr="001B718F">
        <w:t xml:space="preserve"> k</w:t>
      </w:r>
      <w:r w:rsidR="00F8626C" w:rsidRPr="001B718F">
        <w:t>ë</w:t>
      </w:r>
      <w:r w:rsidRPr="001B718F">
        <w:t>t</w:t>
      </w:r>
      <w:r w:rsidR="00F8626C" w:rsidRPr="001B718F">
        <w:t>ë</w:t>
      </w:r>
      <w:r w:rsidRPr="001B718F">
        <w:t xml:space="preserve"> kontekst</w:t>
      </w:r>
      <w:r w:rsidR="00846AB9">
        <w:t>,</w:t>
      </w:r>
      <w:r w:rsidRPr="001B718F">
        <w:rPr>
          <w:i/>
        </w:rPr>
        <w:t xml:space="preserve"> </w:t>
      </w:r>
      <w:r w:rsidR="00EB4F4F" w:rsidRPr="001B718F">
        <w:t>Gjykata vlerëson</w:t>
      </w:r>
      <w:r w:rsidRPr="001B718F">
        <w:t xml:space="preserve"> se pretendimet e kërkuesit nuk i nënshtrohen kontrollit kushtetues</w:t>
      </w:r>
      <w:r w:rsidR="00846AB9">
        <w:t>,</w:t>
      </w:r>
      <w:r w:rsidRPr="001B718F">
        <w:t xml:space="preserve"> p</w:t>
      </w:r>
      <w:r w:rsidR="00F8626C" w:rsidRPr="001B718F">
        <w:t>ë</w:t>
      </w:r>
      <w:r w:rsidRPr="001B718F">
        <w:t>r rrjedhoj</w:t>
      </w:r>
      <w:r w:rsidR="00F8626C" w:rsidRPr="001B718F">
        <w:t>ë</w:t>
      </w:r>
      <w:r w:rsidRPr="001B718F">
        <w:t xml:space="preserve"> janë haptazi t</w:t>
      </w:r>
      <w:r w:rsidR="00F8626C" w:rsidRPr="001B718F">
        <w:t>ë</w:t>
      </w:r>
      <w:r w:rsidRPr="001B718F">
        <w:t xml:space="preserve"> pabazuara</w:t>
      </w:r>
      <w:r w:rsidR="00846AB9">
        <w:t>.</w:t>
      </w:r>
    </w:p>
    <w:p w:rsidR="00D86BEB" w:rsidRPr="001B718F" w:rsidRDefault="00D86BEB" w:rsidP="00D86BEB">
      <w:pPr>
        <w:tabs>
          <w:tab w:val="left" w:pos="1080"/>
        </w:tabs>
        <w:spacing w:line="360" w:lineRule="auto"/>
        <w:ind w:left="720"/>
        <w:jc w:val="both"/>
        <w:rPr>
          <w:i/>
        </w:rPr>
      </w:pPr>
    </w:p>
    <w:p w:rsidR="00516A3E" w:rsidRPr="001B718F" w:rsidRDefault="00EB4F4F" w:rsidP="00D86BEB">
      <w:pPr>
        <w:numPr>
          <w:ilvl w:val="0"/>
          <w:numId w:val="10"/>
        </w:numPr>
        <w:tabs>
          <w:tab w:val="left" w:pos="1080"/>
        </w:tabs>
        <w:spacing w:line="360" w:lineRule="auto"/>
        <w:ind w:firstLine="0"/>
        <w:jc w:val="both"/>
        <w:rPr>
          <w:i/>
        </w:rPr>
      </w:pPr>
      <w:r w:rsidRPr="001B718F">
        <w:rPr>
          <w:i/>
        </w:rPr>
        <w:t xml:space="preserve"> </w:t>
      </w:r>
      <w:r w:rsidR="000E1D0E" w:rsidRPr="001B718F">
        <w:rPr>
          <w:i/>
        </w:rPr>
        <w:t>Lidhur me pretendimet e tjera</w:t>
      </w:r>
    </w:p>
    <w:p w:rsidR="000E1D0E" w:rsidRPr="001B718F" w:rsidRDefault="000E1D0E" w:rsidP="00AF6BDE">
      <w:pPr>
        <w:numPr>
          <w:ilvl w:val="0"/>
          <w:numId w:val="12"/>
        </w:numPr>
        <w:tabs>
          <w:tab w:val="left" w:pos="1080"/>
        </w:tabs>
        <w:spacing w:line="360" w:lineRule="auto"/>
        <w:ind w:left="0" w:firstLine="720"/>
        <w:jc w:val="both"/>
      </w:pPr>
      <w:r w:rsidRPr="001B718F">
        <w:rPr>
          <w:bCs/>
        </w:rPr>
        <w:t>K</w:t>
      </w:r>
      <w:r w:rsidR="00415037" w:rsidRPr="001B718F">
        <w:rPr>
          <w:bCs/>
        </w:rPr>
        <w:t>ë</w:t>
      </w:r>
      <w:r w:rsidRPr="001B718F">
        <w:rPr>
          <w:bCs/>
        </w:rPr>
        <w:t>rkuesi</w:t>
      </w:r>
      <w:r w:rsidRPr="001B718F">
        <w:t xml:space="preserve"> në thelb t</w:t>
      </w:r>
      <w:r w:rsidR="00415037" w:rsidRPr="001B718F">
        <w:t>ë</w:t>
      </w:r>
      <w:r w:rsidRPr="001B718F">
        <w:t xml:space="preserve"> disa pretendimeve v</w:t>
      </w:r>
      <w:r w:rsidR="00415037" w:rsidRPr="001B718F">
        <w:t>ë</w:t>
      </w:r>
      <w:r w:rsidR="000F3D61" w:rsidRPr="001B718F">
        <w:t xml:space="preserve"> theksin</w:t>
      </w:r>
      <w:r w:rsidRPr="001B718F">
        <w:t xml:space="preserve"> se Gjykata e Apelit Tiranë dhe Gjykata e Lartë kanë keqinterpretuar dhe </w:t>
      </w:r>
      <w:r w:rsidR="00846AB9" w:rsidRPr="001B718F">
        <w:t>keq</w:t>
      </w:r>
      <w:r w:rsidRPr="001B718F">
        <w:t>zbatuar ligjin.</w:t>
      </w:r>
    </w:p>
    <w:p w:rsidR="00B33C11" w:rsidRPr="001B718F" w:rsidRDefault="00B33C11" w:rsidP="00AF6BDE">
      <w:pPr>
        <w:numPr>
          <w:ilvl w:val="0"/>
          <w:numId w:val="12"/>
        </w:numPr>
        <w:tabs>
          <w:tab w:val="left" w:pos="1080"/>
        </w:tabs>
        <w:spacing w:line="360" w:lineRule="auto"/>
        <w:ind w:left="0" w:firstLine="720"/>
        <w:jc w:val="both"/>
        <w:rPr>
          <w:rStyle w:val="hps"/>
        </w:rPr>
      </w:pPr>
      <w:r w:rsidRPr="001B718F">
        <w:rPr>
          <w:rStyle w:val="hps"/>
        </w:rPr>
        <w:t>Gjykata ka theksuar se procesi i gjykimit kushtetues është i natyrës argumentuese, që nënkupton se u takon palëve të parashtrojnë argumentet faktike dhe ligjore mbi të cilat mbështesin pretendimet e tyre. Është detyrë e palëve të shpjegojnë arsyet të cilat kanë çuar, sipas këndvështrimit të tyre, në shkelje</w:t>
      </w:r>
      <w:r w:rsidR="00846AB9">
        <w:rPr>
          <w:rStyle w:val="hps"/>
        </w:rPr>
        <w:t>n e Kushtetutës</w:t>
      </w:r>
      <w:r w:rsidRPr="001B718F">
        <w:rPr>
          <w:rStyle w:val="hps"/>
        </w:rPr>
        <w:t xml:space="preserve"> dhe</w:t>
      </w:r>
      <w:r w:rsidR="00846AB9">
        <w:rPr>
          <w:rStyle w:val="hps"/>
        </w:rPr>
        <w:t>,</w:t>
      </w:r>
      <w:r w:rsidRPr="001B718F">
        <w:rPr>
          <w:rStyle w:val="hps"/>
        </w:rPr>
        <w:t xml:space="preserve"> më konkretisht</w:t>
      </w:r>
      <w:r w:rsidR="00846AB9">
        <w:rPr>
          <w:rStyle w:val="hps"/>
        </w:rPr>
        <w:t>,</w:t>
      </w:r>
      <w:r w:rsidRPr="001B718F">
        <w:rPr>
          <w:rStyle w:val="hps"/>
        </w:rPr>
        <w:t xml:space="preserve"> të procesit të rregullt ligjor. Në këtë kuptim, </w:t>
      </w:r>
      <w:r w:rsidR="000F3D61" w:rsidRPr="001B718F">
        <w:rPr>
          <w:rStyle w:val="hps"/>
        </w:rPr>
        <w:t>Gjykata</w:t>
      </w:r>
      <w:r w:rsidRPr="001B718F">
        <w:rPr>
          <w:rStyle w:val="hps"/>
        </w:rPr>
        <w:t xml:space="preserve"> vlerëson se </w:t>
      </w:r>
      <w:r w:rsidRPr="001B718F">
        <w:t xml:space="preserve">kërkuesi nuk ka </w:t>
      </w:r>
      <w:r w:rsidRPr="001B718F">
        <w:rPr>
          <w:rStyle w:val="hps"/>
        </w:rPr>
        <w:t xml:space="preserve">arritur të parashtrojë në mënyrë të plotë faktet dhe pretendimet, mbi bazën e të cilave mbështet pretendimin për cenim të nenit 42 të Kushtetutës. Ai nuk ka arritur të sjellë argumente të mjaftueshme për të argumentuar se në </w:t>
      </w:r>
      <w:r w:rsidRPr="001B718F">
        <w:t>ç`mënyrë është cenuar në të drejtën e tij kush</w:t>
      </w:r>
      <w:r w:rsidRPr="001B718F">
        <w:rPr>
          <w:rStyle w:val="hps"/>
        </w:rPr>
        <w:t xml:space="preserve">tetuese për një proces të rregullt ligjor nga procesi gjyqësor i zhvilluar në gjykatat e zakonshme. </w:t>
      </w:r>
    </w:p>
    <w:p w:rsidR="00482FD8" w:rsidRPr="001B718F" w:rsidRDefault="000F3D61" w:rsidP="00AF6BDE">
      <w:pPr>
        <w:numPr>
          <w:ilvl w:val="0"/>
          <w:numId w:val="12"/>
        </w:numPr>
        <w:tabs>
          <w:tab w:val="left" w:pos="1080"/>
        </w:tabs>
        <w:spacing w:line="360" w:lineRule="auto"/>
        <w:ind w:left="0" w:firstLine="720"/>
        <w:jc w:val="both"/>
        <w:rPr>
          <w:rStyle w:val="hps"/>
        </w:rPr>
      </w:pPr>
      <w:r w:rsidRPr="001B718F">
        <w:rPr>
          <w:rStyle w:val="hps"/>
          <w:rFonts w:eastAsia="Calibri"/>
        </w:rPr>
        <w:t xml:space="preserve">Gjykata </w:t>
      </w:r>
      <w:r w:rsidR="00482FD8" w:rsidRPr="001B718F">
        <w:rPr>
          <w:rStyle w:val="hps"/>
          <w:rFonts w:eastAsia="Calibri"/>
        </w:rPr>
        <w:t>Kushtetuese vlerëson se pretendimet e paraqitu</w:t>
      </w:r>
      <w:r w:rsidR="00846AB9">
        <w:rPr>
          <w:rStyle w:val="hps"/>
          <w:rFonts w:eastAsia="Calibri"/>
        </w:rPr>
        <w:t xml:space="preserve">ra janë haptazi të pabazuar, </w:t>
      </w:r>
      <w:r w:rsidR="00482FD8" w:rsidRPr="001B718F">
        <w:rPr>
          <w:rStyle w:val="hps"/>
          <w:rFonts w:eastAsia="Calibri"/>
        </w:rPr>
        <w:t xml:space="preserve">për rrjedhojë </w:t>
      </w:r>
      <w:r w:rsidR="000F0DDB" w:rsidRPr="001B718F">
        <w:rPr>
          <w:bCs/>
          <w:color w:val="000000"/>
        </w:rPr>
        <w:t>kërkesa duhet rrëzuar</w:t>
      </w:r>
      <w:r w:rsidR="00482FD8" w:rsidRPr="001B718F">
        <w:rPr>
          <w:bCs/>
          <w:color w:val="000000"/>
        </w:rPr>
        <w:t xml:space="preserve">. </w:t>
      </w:r>
    </w:p>
    <w:p w:rsidR="00482FD8" w:rsidRPr="001B718F" w:rsidRDefault="00482FD8" w:rsidP="00AF6BDE">
      <w:pPr>
        <w:spacing w:line="360" w:lineRule="auto"/>
        <w:jc w:val="both"/>
        <w:rPr>
          <w:b/>
          <w:bCs/>
        </w:rPr>
      </w:pPr>
    </w:p>
    <w:p w:rsidR="00AF6BDE" w:rsidRPr="001B718F" w:rsidRDefault="00822A53" w:rsidP="00AF6BDE">
      <w:pPr>
        <w:tabs>
          <w:tab w:val="left" w:pos="0"/>
        </w:tabs>
        <w:spacing w:line="360" w:lineRule="auto"/>
        <w:jc w:val="center"/>
        <w:rPr>
          <w:b/>
          <w:iCs/>
        </w:rPr>
      </w:pPr>
      <w:r w:rsidRPr="001B718F">
        <w:rPr>
          <w:b/>
          <w:iCs/>
        </w:rPr>
        <w:t>PËR KËTO ARSYE</w:t>
      </w:r>
      <w:r w:rsidR="00AF6BDE" w:rsidRPr="001B718F">
        <w:rPr>
          <w:b/>
          <w:iCs/>
        </w:rPr>
        <w:t>,</w:t>
      </w:r>
    </w:p>
    <w:p w:rsidR="00822A53" w:rsidRPr="001B718F" w:rsidRDefault="00AF6BDE" w:rsidP="00AF6BDE">
      <w:pPr>
        <w:tabs>
          <w:tab w:val="left" w:pos="0"/>
        </w:tabs>
        <w:spacing w:line="360" w:lineRule="auto"/>
        <w:ind w:right="36"/>
        <w:jc w:val="both"/>
        <w:rPr>
          <w:bCs/>
        </w:rPr>
      </w:pPr>
      <w:r w:rsidRPr="001B718F">
        <w:tab/>
      </w:r>
      <w:r w:rsidR="00822A53" w:rsidRPr="001B718F">
        <w:t>Gjykata Kushtetuese e Republikës së Shqipërisë, në mbështetje të neneve 131, shkronja “a” dhe 134/1, shkronja “f”, të Kushtetutës, si dhe të neneve 72 e vijues të ligjit nr. 8577, datë 10.02.2000 “Për organizimin dhe funksionimin e Gjykatës Kushtetuese të Republikës së Shqipërisë</w:t>
      </w:r>
      <w:r w:rsidR="00822A53" w:rsidRPr="001B718F">
        <w:rPr>
          <w:bCs/>
        </w:rPr>
        <w:t xml:space="preserve">, me shumicë votash, </w:t>
      </w:r>
    </w:p>
    <w:p w:rsidR="00822A53" w:rsidRPr="001B718F" w:rsidRDefault="00822A53" w:rsidP="00AF6BDE">
      <w:pPr>
        <w:tabs>
          <w:tab w:val="left" w:pos="0"/>
        </w:tabs>
        <w:spacing w:line="360" w:lineRule="auto"/>
        <w:ind w:right="36"/>
        <w:jc w:val="both"/>
        <w:rPr>
          <w:bCs/>
        </w:rPr>
      </w:pPr>
    </w:p>
    <w:p w:rsidR="00822A53" w:rsidRPr="001B718F" w:rsidRDefault="00822A53" w:rsidP="00AF6BDE">
      <w:pPr>
        <w:tabs>
          <w:tab w:val="left" w:pos="0"/>
        </w:tabs>
        <w:spacing w:line="360" w:lineRule="auto"/>
        <w:jc w:val="center"/>
        <w:rPr>
          <w:b/>
          <w:iCs/>
        </w:rPr>
      </w:pPr>
      <w:r w:rsidRPr="001B718F">
        <w:rPr>
          <w:b/>
          <w:iCs/>
        </w:rPr>
        <w:t>V E</w:t>
      </w:r>
      <w:r w:rsidRPr="001B718F">
        <w:rPr>
          <w:b/>
          <w:i/>
          <w:iCs/>
        </w:rPr>
        <w:t xml:space="preserve"> </w:t>
      </w:r>
      <w:r w:rsidRPr="001B718F">
        <w:rPr>
          <w:b/>
          <w:iCs/>
        </w:rPr>
        <w:t>N D O S I:</w:t>
      </w:r>
    </w:p>
    <w:p w:rsidR="00822A53" w:rsidRPr="001B718F" w:rsidRDefault="00822A53" w:rsidP="00AF6BDE">
      <w:pPr>
        <w:shd w:val="clear" w:color="auto" w:fill="FFFFFF"/>
        <w:spacing w:line="360" w:lineRule="auto"/>
        <w:jc w:val="both"/>
        <w:textAlignment w:val="baseline"/>
      </w:pPr>
      <w:r w:rsidRPr="001B718F">
        <w:rPr>
          <w:color w:val="383838"/>
        </w:rPr>
        <w:tab/>
      </w:r>
      <w:r w:rsidR="0065401D">
        <w:rPr>
          <w:color w:val="383838"/>
        </w:rPr>
        <w:t xml:space="preserve">- </w:t>
      </w:r>
      <w:r w:rsidRPr="001B718F">
        <w:t>Rrëzimin e kërkesës.</w:t>
      </w:r>
    </w:p>
    <w:p w:rsidR="00822A53" w:rsidRPr="001B718F" w:rsidRDefault="00822A53" w:rsidP="00D86BEB">
      <w:pPr>
        <w:shd w:val="clear" w:color="auto" w:fill="FFFFFF"/>
        <w:spacing w:line="360" w:lineRule="auto"/>
        <w:ind w:firstLine="720"/>
        <w:jc w:val="both"/>
        <w:textAlignment w:val="baseline"/>
        <w:rPr>
          <w:iCs/>
        </w:rPr>
      </w:pPr>
      <w:r w:rsidRPr="001B718F">
        <w:rPr>
          <w:iCs/>
        </w:rPr>
        <w:t>Ky vendim është përfundimtar, i formës së prerë dhe hyn në fuqi ditën e botimit në Fletoren Zyrtare.</w:t>
      </w:r>
    </w:p>
    <w:p w:rsidR="002F5454" w:rsidRPr="002F5454" w:rsidRDefault="002F5454" w:rsidP="002F5454">
      <w:pPr>
        <w:spacing w:line="360" w:lineRule="auto"/>
        <w:jc w:val="center"/>
        <w:rPr>
          <w:b/>
        </w:rPr>
      </w:pPr>
      <w:r>
        <w:rPr>
          <w:b/>
          <w:bCs/>
        </w:rPr>
        <w:br w:type="page"/>
      </w:r>
      <w:r w:rsidRPr="002F5454">
        <w:rPr>
          <w:b/>
        </w:rPr>
        <w:t xml:space="preserve">MENDIM PAKICE </w:t>
      </w:r>
    </w:p>
    <w:p w:rsidR="002F5454" w:rsidRPr="002F5454" w:rsidRDefault="002F5454" w:rsidP="002F5454">
      <w:pPr>
        <w:spacing w:line="360" w:lineRule="auto"/>
        <w:jc w:val="center"/>
        <w:rPr>
          <w:b/>
        </w:rPr>
      </w:pPr>
    </w:p>
    <w:p w:rsidR="002F5454" w:rsidRPr="002F5454" w:rsidRDefault="002F5454" w:rsidP="002F5454">
      <w:pPr>
        <w:spacing w:line="360" w:lineRule="auto"/>
        <w:jc w:val="both"/>
      </w:pPr>
      <w:r w:rsidRPr="002F5454">
        <w:rPr>
          <w:b/>
        </w:rPr>
        <w:t xml:space="preserve">          </w:t>
      </w:r>
      <w:r w:rsidRPr="002F5454">
        <w:t xml:space="preserve">   Jam kundër vendimit të shumicës për arsyet e mëposhtme:</w:t>
      </w:r>
    </w:p>
    <w:p w:rsidR="002F5454" w:rsidRPr="002F5454" w:rsidRDefault="002F5454" w:rsidP="002F5454">
      <w:pPr>
        <w:spacing w:line="360" w:lineRule="auto"/>
        <w:ind w:firstLine="720"/>
        <w:jc w:val="both"/>
      </w:pPr>
      <w:r w:rsidRPr="002F5454">
        <w:t>1.   Kërkuesi Betim Truci i është drejtuar Gjykatës për shfuqizimin si të papajtueshme me Kushtetutën të vendimeve nr. 1446, datë 20.06.2011 të Gjykatës së Apelit Tiranë dhe nr. 00-2013-1026, datë 10.05.2013 të Kolegjit Civil të Gjykatës së Lartë.</w:t>
      </w:r>
    </w:p>
    <w:p w:rsidR="002F5454" w:rsidRPr="002F5454" w:rsidRDefault="002F5454" w:rsidP="002F5454">
      <w:pPr>
        <w:spacing w:line="360" w:lineRule="auto"/>
        <w:jc w:val="both"/>
      </w:pPr>
      <w:r w:rsidRPr="002F5454">
        <w:t xml:space="preserve">             2. Në thelb kërkuesi ka pretenduar se vendimi i Gjykatës së Apelit Tiranë, duke konsideruar se kërkesëpadia e tij, me objekt shfuqizimin e vendimeve të Këshillit të Përgjithshëm dhe të Kryesisë së Komunitetit Mysliman të Shqipërisë, nuk mund të ngrihej, si dhe duke vendosur pushimin e gjykimit të çështjes, i ka cenuar atij të drejtën e aksesit në gjykatë. Edhe vendimi i Kolegjit Civil të Gjykatës së Lartë (dhomë këshillimi) për mospranimin e rekursit të tij nuk i ka dhënë përgjigje këtij pretendimi. </w:t>
      </w:r>
    </w:p>
    <w:p w:rsidR="002F5454" w:rsidRPr="002F5454" w:rsidRDefault="002F5454" w:rsidP="002F5454">
      <w:pPr>
        <w:tabs>
          <w:tab w:val="left" w:pos="1080"/>
        </w:tabs>
        <w:spacing w:line="360" w:lineRule="auto"/>
        <w:ind w:firstLine="720"/>
        <w:jc w:val="both"/>
        <w:rPr>
          <w:bCs/>
        </w:rPr>
      </w:pPr>
      <w:r w:rsidRPr="002F5454">
        <w:rPr>
          <w:bCs/>
        </w:rPr>
        <w:t xml:space="preserve">3. Në jurisprudencën e Gjykatës e drejta e aksesit u garanton subjekteve të cenuara të drejtën t’i drejtohen një gjykate, e cila do t’i dëgjojë pretendimet e tyre dhe do të shpallë një vendim pas një gjykimi të drejtë dhe publik. Gjykata ka vlerësuar vazhdimisht se administrimi i mirë i drejtësisë fillon me garancinë që një individ të ketë akses në gjykatë për t’i siguruar atij të gjitha aspektet e një forme gjyqësore të shqyrtimit të çështjes. Në këtë kuptim, ky standard përfshin të drejtën për gjykim, ku e drejta e aksesit, që është e drejta për të vënë në lëvizje gjykatën, për çështjet civile përbën një aspekt të saj. E drejta e aksesit në një organ gjyqësor duhet të jetë një e drejtë që lidhet me themelin dhe jo një e drejtë e pastër formale. Aksesi në gjykatë duhet të jetë substantiv dhe jo thjesht formal. Mohimi i së drejtës për t’iu drejtuar gjykatës dhe për të marrë një përgjigje përfundimtare prej saj për pretendimet e ngritura, përbën cenim të së drejtës themelore për një proces të rregullt ligjor </w:t>
      </w:r>
      <w:r w:rsidRPr="002F5454">
        <w:rPr>
          <w:bCs/>
          <w:i/>
        </w:rPr>
        <w:t>(shih vendimet nr. 7, datë 27.02.2013,</w:t>
      </w:r>
      <w:r w:rsidRPr="002F5454">
        <w:rPr>
          <w:bCs/>
        </w:rPr>
        <w:t xml:space="preserve"> </w:t>
      </w:r>
      <w:r w:rsidRPr="002F5454">
        <w:rPr>
          <w:bCs/>
          <w:i/>
        </w:rPr>
        <w:t>nr.14, datë 26.03.2012; nr. 4, datë 23.02.2011; nr. 14, datë 3.6.2009; nr. 7 datë 11.03.2008 të Gjykatës Kushtetuese).</w:t>
      </w:r>
      <w:r w:rsidRPr="002F5454">
        <w:rPr>
          <w:bCs/>
        </w:rPr>
        <w:t xml:space="preserve"> </w:t>
      </w:r>
    </w:p>
    <w:p w:rsidR="002F5454" w:rsidRPr="002F5454" w:rsidRDefault="002F5454" w:rsidP="002F5454">
      <w:pPr>
        <w:tabs>
          <w:tab w:val="left" w:pos="1080"/>
        </w:tabs>
        <w:spacing w:line="360" w:lineRule="auto"/>
        <w:ind w:firstLine="720"/>
        <w:jc w:val="both"/>
        <w:rPr>
          <w:bCs/>
        </w:rPr>
      </w:pPr>
      <w:r w:rsidRPr="002F5454">
        <w:rPr>
          <w:bCs/>
        </w:rPr>
        <w:t>4. Gjithashtu, Gjykata ka vlerësuar se neni 42 i Kushtetutës sanksionon në vetvete jo vetëm të drejtën e individit për t’iu drejtuar gjykatës, por edhe detyrimin e shtetit që t’ia garantojë atij këtë akses. Gjykata ka konsideruar se sipas këtij neni detyrimi për të garantuar të drejtën efektive të aksesit në gjykatë nuk nënkupton thjesht mungesën e një ndërhyrjeje, por mund të kërkojë ndërmarrjen e veprimeve pozitive nga ana e shtetit.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Pr="002F5454">
        <w:rPr>
          <w:bCs/>
          <w:i/>
        </w:rPr>
        <w:t>shih vendimet nr.5, datë 06.03.2009; nr.17, datë 18.07.2008; nr.15, datë 17.04.2003</w:t>
      </w:r>
      <w:r w:rsidRPr="002F5454">
        <w:rPr>
          <w:bCs/>
          <w:i/>
          <w:sz w:val="20"/>
        </w:rPr>
        <w:t xml:space="preserve"> </w:t>
      </w:r>
      <w:r w:rsidRPr="002F5454">
        <w:rPr>
          <w:bCs/>
          <w:i/>
        </w:rPr>
        <w:t>të Gjykatës Kushtetuese</w:t>
      </w:r>
      <w:r w:rsidRPr="002F5454">
        <w:rPr>
          <w:bCs/>
        </w:rPr>
        <w:t>).</w:t>
      </w:r>
    </w:p>
    <w:p w:rsidR="002F5454" w:rsidRPr="002F5454" w:rsidRDefault="002F5454" w:rsidP="002F5454">
      <w:pPr>
        <w:spacing w:line="360" w:lineRule="auto"/>
        <w:ind w:firstLine="720"/>
        <w:jc w:val="both"/>
      </w:pPr>
      <w:r w:rsidRPr="002F5454">
        <w:t xml:space="preserve"> 5. Në rastin në shqyrtim, dy gjykata të niveleve të ndryshme, ajo e shkallës së parë dhe ajo e apelit, jo vetëm i kanë dhënë përgjigje diametralisht të kundërta zgjidhjes së konfliktit, por çka është edhe më e rëndësishme, gjykata e shkallës së parë ka vlerësuar se mund të shqyrtojë themelin e çështjes duke dhënë zgjidhjen përkatëse, ndërsa gjykata e apelit ka vendosur pushimin gjykimit, pasi sipas saj aktet e komuniteteve fetare, për shkak të marrëveshjeve të lidhura midis shtetit dhe këtyre komuniteteve fetare, nuk rregullohen nga ligji për organizatat jofitimprurëse dhe si të tilla nuk mund të konstatohen absolutisht të pavlefshme nga gjykata.  </w:t>
      </w:r>
    </w:p>
    <w:p w:rsidR="002F5454" w:rsidRPr="002F5454" w:rsidRDefault="002F5454" w:rsidP="002F5454">
      <w:pPr>
        <w:spacing w:line="360" w:lineRule="auto"/>
        <w:ind w:firstLine="720"/>
        <w:jc w:val="both"/>
      </w:pPr>
      <w:r w:rsidRPr="002F5454">
        <w:t xml:space="preserve">6. Në këto kushte, kërkuesi ka pretenduar se vendimi i gjykatës së apelit duke nxjerrë çështjen jashtë juridiksionit i ka mohuar atij të drejtën e aksesit në gjykatë, si në drejtim të së drejtës për t’iu drejtuar gjykatës ashtu edhe për të marrë përgjigje përfundimtare për pretendimet e ngritura. Për këtë qëllim ai i është drejtuar Gjykatës së Lartë. Këtyre pretendimeve Kolegji Civil i Gjykatës së Lartë i përgjigjet me një vendim standard formal mospranimi të rekursit, i cili nuk përmban asnjë arsyetim jo vetëm për të kuptuar shkaqet e këtij qëndrimi, por edhe për ta përligjur vendimmarrjen e tij. </w:t>
      </w:r>
    </w:p>
    <w:p w:rsidR="002F5454" w:rsidRPr="002F5454" w:rsidRDefault="002F5454" w:rsidP="002F5454">
      <w:pPr>
        <w:spacing w:line="360" w:lineRule="auto"/>
        <w:ind w:firstLine="720"/>
        <w:jc w:val="both"/>
      </w:pPr>
      <w:r w:rsidRPr="002F5454">
        <w:t xml:space="preserve">7. Gjykata është shprehur tashmë se kontrolli i respektimit të standardeve kushtetuese për një proces të rregullt ligjor është funksion edhe i gjykatave të zakonshme, e aq më tepër i Gjykatës së Lartë. Kur në rekurs janë ngritur pretendime të cilat janë të rëndësishme për verifikimin e kushtetutshmërisë së procesit të zhvilluar në gjykatat e zakonshme, Gjykata e Lartë, bazuar në natyrën e gjykimit kushtetues të kërkesave individuale, si dhe në parimin e subsidiaritetit, që udhëheq raportet ndërmjet juridiksionit kushtetues dhe juridiksionit të gjykatave të zakonshme, duhet të investohet në ekzaminimin e tyre dhe të mbajë një qëndrim të shprehur lidhur me to </w:t>
      </w:r>
      <w:r w:rsidRPr="002F5454">
        <w:rPr>
          <w:i/>
          <w:iCs/>
        </w:rPr>
        <w:t>(shih vendimet nr.4, datë 28.02.2006; nr.41, datë 29.12.2005 të Gjykatës Kushtetuese)</w:t>
      </w:r>
      <w:r w:rsidRPr="002F5454">
        <w:t xml:space="preserve">.  </w:t>
      </w:r>
    </w:p>
    <w:p w:rsidR="002F5454" w:rsidRPr="002F5454" w:rsidRDefault="002F5454" w:rsidP="002F5454">
      <w:pPr>
        <w:spacing w:line="360" w:lineRule="auto"/>
        <w:ind w:firstLine="720"/>
        <w:jc w:val="both"/>
      </w:pPr>
      <w:r w:rsidRPr="002F5454">
        <w:t xml:space="preserve">8. Në mendimin tim, e drejta për një proces të rregullt ligjor nuk mund të respektohet pa siguruar garancitë konkrete për individin për të drejtën për të vënë në lëvizje gjykatën, pra të drejtën për të filluar një proces që të vendosë për mosmarrëveshjet me natyrë civile. Çështja objekt shqyrtimi paraqet pikërisht veçori të kësaj natyre, pasi gjykata e apelit duke vendosur pushimin e gjykimit, i ka cenuar kërkuesit të drejtën e aksesit në gjykatë, si një prej të drejtave themelore të individit në një proces të rregullt ligjor dhe, në këtë drejtim, Gjykata e Lartë duke mos arsyetuar vendimin e saj nuk i ka dhënë përgjigje këtij pretendimi të tij.   </w:t>
      </w:r>
    </w:p>
    <w:p w:rsidR="002F5454" w:rsidRPr="002F5454" w:rsidRDefault="002F5454" w:rsidP="002F5454">
      <w:pPr>
        <w:tabs>
          <w:tab w:val="left" w:pos="1080"/>
        </w:tabs>
        <w:spacing w:line="360" w:lineRule="auto"/>
        <w:ind w:firstLine="720"/>
        <w:contextualSpacing/>
        <w:jc w:val="both"/>
      </w:pPr>
      <w:r w:rsidRPr="002F5454">
        <w:t xml:space="preserve">9. Duke shkuar më tej, </w:t>
      </w:r>
      <w:r w:rsidRPr="002F5454">
        <w:rPr>
          <w:bCs/>
        </w:rPr>
        <w:t>rasti konkret paraqet si karakteristikë edhe ekzistencën e dy vendimeve të kundërta të gjykatave të faktit në</w:t>
      </w:r>
      <w:r w:rsidRPr="002F5454">
        <w:t xml:space="preserve"> zgjidhjen e konfliktit konkret. Personalisht jam shprehur mbi këtë rrethanë (</w:t>
      </w:r>
      <w:r w:rsidRPr="002F5454">
        <w:rPr>
          <w:i/>
        </w:rPr>
        <w:t>shih mendimet paralele të vendimeve nr. 3, datë 19.02.2013; nr. 26, datë 24.06.2013; nr. 37, datë 30.06.2014 të Gjykatës Kushtetutës</w:t>
      </w:r>
      <w:r w:rsidRPr="002F5454">
        <w:t>), por edhe Gjykata ka mbajtur qëndrim duke</w:t>
      </w:r>
      <w:r w:rsidRPr="002F5454">
        <w:rPr>
          <w:bCs/>
        </w:rPr>
        <w:t xml:space="preserve"> theksuar se </w:t>
      </w:r>
      <w:r w:rsidRPr="002F5454">
        <w:t>roli i Gjykatës së Lartë, si gjykatë e ligjit, është i një natyre të pazëvendësueshme. Ajo i ka të gjitha mjetet dhe kompetencat për të pasur një rol aktiv që shkon përtej ligjit dhe synon të drejtën, duke ndikuar efektivisht edhe në vendimmarrjen e gjykatave të shkallëve më të ulëta, veçanërisht në rastet kur dy gjykata u kanë dhënë përgjigje diametralisht të kundërta pretendimeve të kërkuesit. Nga kjo pikëpamje, Gjykata ka vlerësuar se në çështje të tilla (që shqyrtohen rast pas rasti) kërkuesit, duke mos marrë përgjigje për pretendimet e tij me natyrë kushtetuese, për shkak të vendimit të mospranimit të rekursit, i cenohet e drejta e ankimit në kuptimin substancial, e parashikuar në nenin 43 të Kushtetutës (</w:t>
      </w:r>
      <w:r w:rsidRPr="002F5454">
        <w:rPr>
          <w:i/>
        </w:rPr>
        <w:t>shih vendimin nr. 3, datë 05.02.2014 të Gjykatës Kushtetuese</w:t>
      </w:r>
      <w:r w:rsidRPr="002F5454">
        <w:t xml:space="preserve">). </w:t>
      </w:r>
    </w:p>
    <w:p w:rsidR="002F5454" w:rsidRDefault="002F5454" w:rsidP="002F5454">
      <w:pPr>
        <w:spacing w:line="360" w:lineRule="auto"/>
        <w:jc w:val="both"/>
      </w:pPr>
      <w:r w:rsidRPr="002F5454">
        <w:t xml:space="preserve">            10. Si përfundim, në këto kushte, vlerësoj se Gjykata e Lartë duhej ta kalonte çështjen për shqyrtim në seancë plenare dhe të shprehej me vendim të arsyetuar për pretendimet e ngritura nga kërkuesi.   </w:t>
      </w:r>
    </w:p>
    <w:p w:rsidR="00C23CD9" w:rsidRPr="002F5454" w:rsidRDefault="00C23CD9" w:rsidP="002F5454">
      <w:pPr>
        <w:spacing w:line="360" w:lineRule="auto"/>
        <w:jc w:val="both"/>
      </w:pPr>
    </w:p>
    <w:p w:rsidR="002F5454" w:rsidRDefault="002A0768" w:rsidP="002A0768">
      <w:pPr>
        <w:spacing w:line="360" w:lineRule="auto"/>
        <w:ind w:firstLine="720"/>
        <w:jc w:val="both"/>
        <w:rPr>
          <w:b/>
          <w:bCs/>
        </w:rPr>
      </w:pPr>
      <w:r w:rsidRPr="002A0768">
        <w:rPr>
          <w:b/>
        </w:rPr>
        <w:t xml:space="preserve">Anëtar: </w:t>
      </w:r>
      <w:r w:rsidR="002F5454" w:rsidRPr="002F5454">
        <w:rPr>
          <w:b/>
          <w:bCs/>
        </w:rPr>
        <w:t>Vladimir Kristo</w:t>
      </w:r>
    </w:p>
    <w:p w:rsidR="00334A8E" w:rsidRDefault="00334A8E" w:rsidP="00334A8E">
      <w:pPr>
        <w:spacing w:line="360" w:lineRule="auto"/>
        <w:jc w:val="both"/>
        <w:rPr>
          <w:b/>
          <w:bCs/>
        </w:rPr>
      </w:pPr>
    </w:p>
    <w:p w:rsidR="00482FD8" w:rsidRPr="001B718F" w:rsidRDefault="00482FD8" w:rsidP="008660B8">
      <w:pPr>
        <w:spacing w:line="360" w:lineRule="auto"/>
        <w:jc w:val="both"/>
      </w:pPr>
    </w:p>
    <w:sectPr w:rsidR="00482FD8" w:rsidRPr="001B718F" w:rsidSect="00B551FD">
      <w:footerReference w:type="default" r:id="rId8"/>
      <w:pgSz w:w="12240" w:h="15840"/>
      <w:pgMar w:top="144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5D6" w:rsidRDefault="00AE45D6" w:rsidP="00482FD8">
      <w:r>
        <w:separator/>
      </w:r>
    </w:p>
  </w:endnote>
  <w:endnote w:type="continuationSeparator" w:id="1">
    <w:p w:rsidR="00AE45D6" w:rsidRDefault="00AE45D6" w:rsidP="00482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8E" w:rsidRDefault="00334A8E">
    <w:pPr>
      <w:pStyle w:val="Footer"/>
      <w:jc w:val="right"/>
    </w:pPr>
    <w:fldSimple w:instr=" PAGE   \* MERGEFORMAT ">
      <w:r w:rsidR="00C23CD9">
        <w:rPr>
          <w:noProof/>
        </w:rPr>
        <w:t>9</w:t>
      </w:r>
    </w:fldSimple>
  </w:p>
  <w:p w:rsidR="00334A8E" w:rsidRDefault="00334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5D6" w:rsidRDefault="00AE45D6" w:rsidP="00482FD8">
      <w:r>
        <w:separator/>
      </w:r>
    </w:p>
  </w:footnote>
  <w:footnote w:type="continuationSeparator" w:id="1">
    <w:p w:rsidR="00AE45D6" w:rsidRDefault="00AE45D6" w:rsidP="00482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8E2"/>
    <w:multiLevelType w:val="multilevel"/>
    <w:tmpl w:val="A756F8CC"/>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152426"/>
    <w:multiLevelType w:val="hybridMultilevel"/>
    <w:tmpl w:val="9DAC685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166D"/>
    <w:multiLevelType w:val="hybridMultilevel"/>
    <w:tmpl w:val="91608AE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E14F6"/>
    <w:multiLevelType w:val="multilevel"/>
    <w:tmpl w:val="BDF4BF5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96B0402"/>
    <w:multiLevelType w:val="hybridMultilevel"/>
    <w:tmpl w:val="CB480C82"/>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64B7CF8"/>
    <w:multiLevelType w:val="multilevel"/>
    <w:tmpl w:val="4B2661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C0513B4"/>
    <w:multiLevelType w:val="multilevel"/>
    <w:tmpl w:val="3E7EC0B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69901C4"/>
    <w:multiLevelType w:val="hybridMultilevel"/>
    <w:tmpl w:val="8F5AE558"/>
    <w:lvl w:ilvl="0" w:tplc="0E6226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CF5804"/>
    <w:multiLevelType w:val="hybridMultilevel"/>
    <w:tmpl w:val="4732D392"/>
    <w:lvl w:ilvl="0" w:tplc="B2283540">
      <w:start w:val="2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541C12"/>
    <w:multiLevelType w:val="multilevel"/>
    <w:tmpl w:val="D11EEFF2"/>
    <w:lvl w:ilvl="0">
      <w:start w:val="5"/>
      <w:numFmt w:val="decimal"/>
      <w:lvlText w:val="%1."/>
      <w:lvlJc w:val="left"/>
      <w:pPr>
        <w:ind w:left="1440" w:hanging="360"/>
      </w:pPr>
      <w:rPr>
        <w:rFonts w:hint="default"/>
        <w:i w:val="0"/>
      </w:rPr>
    </w:lvl>
    <w:lvl w:ilvl="1">
      <w:start w:val="1"/>
      <w:numFmt w:val="decimal"/>
      <w:lvlText w:val="%1.%2."/>
      <w:lvlJc w:val="left"/>
      <w:pPr>
        <w:ind w:left="99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7CAE72AB"/>
    <w:multiLevelType w:val="hybridMultilevel"/>
    <w:tmpl w:val="402A1650"/>
    <w:lvl w:ilvl="0" w:tplc="3DDC7BC8">
      <w:start w:val="1"/>
      <w:numFmt w:val="decimal"/>
      <w:lvlText w:val="%1."/>
      <w:lvlJc w:val="left"/>
      <w:pPr>
        <w:ind w:left="99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7D1C76BA"/>
    <w:multiLevelType w:val="hybridMultilevel"/>
    <w:tmpl w:val="EDDCB32E"/>
    <w:lvl w:ilvl="0" w:tplc="4FB8A26E">
      <w:start w:val="1"/>
      <w:numFmt w:val="upperLetter"/>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769D3"/>
    <w:multiLevelType w:val="multilevel"/>
    <w:tmpl w:val="0B3C464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6"/>
  </w:num>
  <w:num w:numId="5">
    <w:abstractNumId w:val="10"/>
  </w:num>
  <w:num w:numId="6">
    <w:abstractNumId w:val="3"/>
  </w:num>
  <w:num w:numId="7">
    <w:abstractNumId w:val="12"/>
  </w:num>
  <w:num w:numId="8">
    <w:abstractNumId w:val="0"/>
  </w:num>
  <w:num w:numId="9">
    <w:abstractNumId w:val="7"/>
  </w:num>
  <w:num w:numId="10">
    <w:abstractNumId w:val="11"/>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2FD8"/>
    <w:rsid w:val="000375FE"/>
    <w:rsid w:val="0009291C"/>
    <w:rsid w:val="000A1851"/>
    <w:rsid w:val="000A3974"/>
    <w:rsid w:val="000E1D0E"/>
    <w:rsid w:val="000F0DDB"/>
    <w:rsid w:val="000F3D61"/>
    <w:rsid w:val="0010693F"/>
    <w:rsid w:val="00171548"/>
    <w:rsid w:val="001979B3"/>
    <w:rsid w:val="001A060F"/>
    <w:rsid w:val="001B09DE"/>
    <w:rsid w:val="001B718F"/>
    <w:rsid w:val="00207676"/>
    <w:rsid w:val="002A0768"/>
    <w:rsid w:val="002F5454"/>
    <w:rsid w:val="00304347"/>
    <w:rsid w:val="00321058"/>
    <w:rsid w:val="00324951"/>
    <w:rsid w:val="00331FC3"/>
    <w:rsid w:val="00334A8E"/>
    <w:rsid w:val="003920C1"/>
    <w:rsid w:val="004052A0"/>
    <w:rsid w:val="00415037"/>
    <w:rsid w:val="00462503"/>
    <w:rsid w:val="00482FD8"/>
    <w:rsid w:val="004A0A46"/>
    <w:rsid w:val="004F10D8"/>
    <w:rsid w:val="00516A3E"/>
    <w:rsid w:val="005F1655"/>
    <w:rsid w:val="00637EF2"/>
    <w:rsid w:val="0065401D"/>
    <w:rsid w:val="006F5606"/>
    <w:rsid w:val="007046D6"/>
    <w:rsid w:val="007409EE"/>
    <w:rsid w:val="00755BF3"/>
    <w:rsid w:val="00757E39"/>
    <w:rsid w:val="00786419"/>
    <w:rsid w:val="007B022E"/>
    <w:rsid w:val="007D7C28"/>
    <w:rsid w:val="00813454"/>
    <w:rsid w:val="00822A53"/>
    <w:rsid w:val="00844CC9"/>
    <w:rsid w:val="00846AB9"/>
    <w:rsid w:val="008660B8"/>
    <w:rsid w:val="008A76C1"/>
    <w:rsid w:val="008D53BF"/>
    <w:rsid w:val="00950009"/>
    <w:rsid w:val="0097478E"/>
    <w:rsid w:val="00981D24"/>
    <w:rsid w:val="009A6009"/>
    <w:rsid w:val="00A315DD"/>
    <w:rsid w:val="00A80967"/>
    <w:rsid w:val="00AC496C"/>
    <w:rsid w:val="00AD23F0"/>
    <w:rsid w:val="00AE45D6"/>
    <w:rsid w:val="00AF1B35"/>
    <w:rsid w:val="00AF6BDE"/>
    <w:rsid w:val="00B2040C"/>
    <w:rsid w:val="00B33C11"/>
    <w:rsid w:val="00B551FD"/>
    <w:rsid w:val="00B770AE"/>
    <w:rsid w:val="00B943C2"/>
    <w:rsid w:val="00BD6304"/>
    <w:rsid w:val="00BF1997"/>
    <w:rsid w:val="00BF64D0"/>
    <w:rsid w:val="00C00F3B"/>
    <w:rsid w:val="00C209B8"/>
    <w:rsid w:val="00C23CD9"/>
    <w:rsid w:val="00C71EAB"/>
    <w:rsid w:val="00C87B0C"/>
    <w:rsid w:val="00CE4711"/>
    <w:rsid w:val="00D00F25"/>
    <w:rsid w:val="00D15E23"/>
    <w:rsid w:val="00D86BEB"/>
    <w:rsid w:val="00DB05FC"/>
    <w:rsid w:val="00DC51B1"/>
    <w:rsid w:val="00DD63EC"/>
    <w:rsid w:val="00DD7982"/>
    <w:rsid w:val="00EB4F4F"/>
    <w:rsid w:val="00EC7D57"/>
    <w:rsid w:val="00EE5A6E"/>
    <w:rsid w:val="00F245F1"/>
    <w:rsid w:val="00F8626C"/>
    <w:rsid w:val="00FB2E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D8"/>
    <w:rPr>
      <w:rFonts w:ascii="Times New Roman" w:eastAsia="Times New Roman" w:hAnsi="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har"/>
    <w:basedOn w:val="Normal"/>
    <w:link w:val="TitleChar"/>
    <w:qFormat/>
    <w:rsid w:val="00482FD8"/>
    <w:pPr>
      <w:spacing w:before="240" w:after="60"/>
      <w:jc w:val="center"/>
      <w:outlineLvl w:val="0"/>
    </w:pPr>
    <w:rPr>
      <w:rFonts w:ascii="Arial" w:hAnsi="Arial" w:cs="Arial"/>
      <w:b/>
      <w:bCs/>
      <w:kern w:val="28"/>
      <w:sz w:val="32"/>
      <w:szCs w:val="32"/>
      <w:lang w:val="en-US"/>
    </w:rPr>
  </w:style>
  <w:style w:type="character" w:customStyle="1" w:styleId="TitleChar">
    <w:name w:val="Title Char"/>
    <w:aliases w:val="Char Char"/>
    <w:basedOn w:val="DefaultParagraphFont"/>
    <w:link w:val="Title"/>
    <w:rsid w:val="00482FD8"/>
    <w:rPr>
      <w:rFonts w:ascii="Arial" w:eastAsia="Times New Roman" w:hAnsi="Arial" w:cs="Arial"/>
      <w:b/>
      <w:bCs/>
      <w:kern w:val="28"/>
      <w:sz w:val="32"/>
      <w:szCs w:val="32"/>
    </w:rPr>
  </w:style>
  <w:style w:type="paragraph" w:styleId="ListParagraph">
    <w:name w:val="List Paragraph"/>
    <w:basedOn w:val="Normal"/>
    <w:link w:val="ListParagraphChar"/>
    <w:uiPriority w:val="34"/>
    <w:qFormat/>
    <w:rsid w:val="00482FD8"/>
    <w:pPr>
      <w:spacing w:after="200" w:line="276" w:lineRule="auto"/>
      <w:ind w:left="720"/>
      <w:contextualSpacing/>
    </w:pPr>
    <w:rPr>
      <w:rFonts w:ascii="Calibri" w:eastAsia="Calibri" w:hAnsi="Calibri"/>
      <w:sz w:val="20"/>
      <w:szCs w:val="20"/>
      <w:lang/>
    </w:rPr>
  </w:style>
  <w:style w:type="character" w:customStyle="1" w:styleId="hps">
    <w:name w:val="hps"/>
    <w:basedOn w:val="DefaultParagraphFont"/>
    <w:rsid w:val="00482FD8"/>
  </w:style>
  <w:style w:type="paragraph" w:styleId="Footer">
    <w:name w:val="footer"/>
    <w:basedOn w:val="Normal"/>
    <w:link w:val="FooterChar"/>
    <w:uiPriority w:val="99"/>
    <w:unhideWhenUsed/>
    <w:rsid w:val="00482FD8"/>
    <w:pPr>
      <w:tabs>
        <w:tab w:val="center" w:pos="4680"/>
        <w:tab w:val="right" w:pos="9360"/>
      </w:tabs>
    </w:pPr>
  </w:style>
  <w:style w:type="character" w:customStyle="1" w:styleId="FooterChar">
    <w:name w:val="Footer Char"/>
    <w:basedOn w:val="DefaultParagraphFont"/>
    <w:link w:val="Footer"/>
    <w:uiPriority w:val="99"/>
    <w:rsid w:val="00482FD8"/>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482FD8"/>
    <w:rPr>
      <w:rFonts w:ascii="Tahoma" w:hAnsi="Tahoma" w:cs="Tahoma"/>
      <w:sz w:val="16"/>
      <w:szCs w:val="16"/>
    </w:rPr>
  </w:style>
  <w:style w:type="character" w:customStyle="1" w:styleId="BalloonTextChar">
    <w:name w:val="Balloon Text Char"/>
    <w:basedOn w:val="DefaultParagraphFont"/>
    <w:link w:val="BalloonText"/>
    <w:uiPriority w:val="99"/>
    <w:semiHidden/>
    <w:rsid w:val="00482FD8"/>
    <w:rPr>
      <w:rFonts w:ascii="Tahoma" w:eastAsia="Times New Roman" w:hAnsi="Tahoma" w:cs="Tahoma"/>
      <w:sz w:val="16"/>
      <w:szCs w:val="16"/>
      <w:lang w:val="sq-AL"/>
    </w:rPr>
  </w:style>
  <w:style w:type="paragraph" w:styleId="Header">
    <w:name w:val="header"/>
    <w:basedOn w:val="Normal"/>
    <w:link w:val="HeaderChar"/>
    <w:uiPriority w:val="99"/>
    <w:semiHidden/>
    <w:unhideWhenUsed/>
    <w:rsid w:val="00482FD8"/>
    <w:pPr>
      <w:tabs>
        <w:tab w:val="center" w:pos="4680"/>
        <w:tab w:val="right" w:pos="9360"/>
      </w:tabs>
    </w:pPr>
  </w:style>
  <w:style w:type="character" w:customStyle="1" w:styleId="HeaderChar">
    <w:name w:val="Header Char"/>
    <w:basedOn w:val="DefaultParagraphFont"/>
    <w:link w:val="Header"/>
    <w:uiPriority w:val="99"/>
    <w:semiHidden/>
    <w:rsid w:val="00482FD8"/>
    <w:rPr>
      <w:rFonts w:ascii="Times New Roman" w:eastAsia="Times New Roman" w:hAnsi="Times New Roman" w:cs="Times New Roman"/>
      <w:sz w:val="24"/>
      <w:szCs w:val="24"/>
      <w:lang w:val="sq-AL"/>
    </w:rPr>
  </w:style>
  <w:style w:type="paragraph" w:styleId="NormalWeb">
    <w:name w:val="Normal (Web)"/>
    <w:basedOn w:val="Normal"/>
    <w:uiPriority w:val="99"/>
    <w:unhideWhenUsed/>
    <w:rsid w:val="00482FD8"/>
    <w:pPr>
      <w:spacing w:before="100" w:beforeAutospacing="1" w:after="100" w:afterAutospacing="1"/>
    </w:pPr>
    <w:rPr>
      <w:lang w:val="en-US"/>
    </w:rPr>
  </w:style>
  <w:style w:type="character" w:styleId="Strong">
    <w:name w:val="Strong"/>
    <w:basedOn w:val="DefaultParagraphFont"/>
    <w:uiPriority w:val="22"/>
    <w:qFormat/>
    <w:rsid w:val="00482FD8"/>
    <w:rPr>
      <w:b/>
      <w:bCs/>
    </w:rPr>
  </w:style>
  <w:style w:type="character" w:customStyle="1" w:styleId="ListParagraphChar">
    <w:name w:val="List Paragraph Char"/>
    <w:link w:val="ListParagraph"/>
    <w:uiPriority w:val="34"/>
    <w:rsid w:val="00AD23F0"/>
    <w:rPr>
      <w:rFonts w:ascii="Calibri" w:eastAsia="Calibri" w:hAnsi="Calibri" w:cs="Times New Roman"/>
      <w:lang w:val="sq-AL"/>
    </w:rPr>
  </w:style>
  <w:style w:type="character" w:customStyle="1" w:styleId="JuParaCar">
    <w:name w:val="Ju_Para Car"/>
    <w:basedOn w:val="DefaultParagraphFont"/>
    <w:link w:val="JuPara"/>
    <w:locked/>
    <w:rsid w:val="00AD23F0"/>
    <w:rPr>
      <w:sz w:val="24"/>
      <w:lang w:val="en-GB" w:eastAsia="fr-FR"/>
    </w:rPr>
  </w:style>
  <w:style w:type="paragraph" w:customStyle="1" w:styleId="JuPara">
    <w:name w:val="Ju_Para"/>
    <w:basedOn w:val="Normal"/>
    <w:link w:val="JuParaCar"/>
    <w:rsid w:val="00AD23F0"/>
    <w:pPr>
      <w:suppressAutoHyphens/>
      <w:ind w:firstLine="284"/>
      <w:jc w:val="both"/>
    </w:pPr>
    <w:rPr>
      <w:rFonts w:ascii="Calibri" w:eastAsia="Calibri" w:hAnsi="Calibri"/>
      <w:szCs w:val="22"/>
      <w:lang w:val="en-GB" w:eastAsia="fr-FR"/>
    </w:rPr>
  </w:style>
  <w:style w:type="paragraph" w:styleId="BodyText">
    <w:name w:val="Body Text"/>
    <w:basedOn w:val="Normal"/>
    <w:link w:val="BodyTextChar"/>
    <w:rsid w:val="00516A3E"/>
    <w:pPr>
      <w:spacing w:after="120"/>
    </w:pPr>
    <w:rPr>
      <w:lang w:val="en-US"/>
    </w:rPr>
  </w:style>
  <w:style w:type="character" w:customStyle="1" w:styleId="BodyTextChar">
    <w:name w:val="Body Text Char"/>
    <w:basedOn w:val="DefaultParagraphFont"/>
    <w:link w:val="BodyText"/>
    <w:rsid w:val="00516A3E"/>
    <w:rPr>
      <w:rFonts w:ascii="Times New Roman" w:eastAsia="Times New Roman" w:hAnsi="Times New Roman" w:cs="Times New Roman"/>
      <w:sz w:val="24"/>
      <w:szCs w:val="24"/>
    </w:rPr>
  </w:style>
  <w:style w:type="paragraph" w:customStyle="1" w:styleId="Normal0">
    <w:name w:val="[Normal]"/>
    <w:rsid w:val="00516A3E"/>
    <w:pPr>
      <w:autoSpaceDE w:val="0"/>
      <w:autoSpaceDN w:val="0"/>
      <w:adjustRightInd w:val="0"/>
    </w:pPr>
    <w:rPr>
      <w:rFonts w:ascii="Arial" w:eastAsia="Times New Roman" w:hAnsi="Arial" w:cs="Arial"/>
      <w:sz w:val="24"/>
      <w:szCs w:val="24"/>
    </w:rPr>
  </w:style>
  <w:style w:type="character" w:customStyle="1" w:styleId="ParagrafiChar">
    <w:name w:val="Paragrafi Char"/>
    <w:basedOn w:val="DefaultParagraphFont"/>
    <w:link w:val="Paragrafi"/>
    <w:rsid w:val="00516A3E"/>
    <w:rPr>
      <w:rFonts w:ascii="CG Times" w:eastAsia="MS Mincho" w:hAnsi="CG Times"/>
      <w:noProof/>
      <w:sz w:val="22"/>
      <w:szCs w:val="24"/>
      <w:lang w:val="en-US" w:eastAsia="en-US" w:bidi="ar-SA"/>
    </w:rPr>
  </w:style>
  <w:style w:type="paragraph" w:customStyle="1" w:styleId="Paragrafi">
    <w:name w:val="Paragrafi"/>
    <w:link w:val="ParagrafiChar"/>
    <w:rsid w:val="00516A3E"/>
    <w:pPr>
      <w:widowControl w:val="0"/>
      <w:ind w:firstLine="720"/>
      <w:jc w:val="both"/>
    </w:pPr>
    <w:rPr>
      <w:rFonts w:ascii="CG Times" w:eastAsia="MS Mincho" w:hAnsi="CG Times"/>
      <w:noProof/>
      <w:sz w:val="22"/>
      <w:szCs w:val="24"/>
    </w:rPr>
  </w:style>
  <w:style w:type="character" w:customStyle="1" w:styleId="s6b621b36">
    <w:name w:val="s6b621b36"/>
    <w:basedOn w:val="DefaultParagraphFont"/>
    <w:rsid w:val="00BD6304"/>
  </w:style>
  <w:style w:type="character" w:styleId="Hyperlink">
    <w:name w:val="Hyperlink"/>
    <w:basedOn w:val="DefaultParagraphFont"/>
    <w:uiPriority w:val="99"/>
    <w:semiHidden/>
    <w:unhideWhenUsed/>
    <w:rsid w:val="00BD63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udoc.echr.coe.int/sites/eng/pages/searc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BETIM TRUCI</vt:lpstr>
    </vt:vector>
  </TitlesOfParts>
  <Company/>
  <LinksUpToDate>false</LinksUpToDate>
  <CharactersWithSpaces>19805</CharactersWithSpaces>
  <SharedDoc>false</SharedDoc>
  <HLinks>
    <vt:vector size="6" baseType="variant">
      <vt:variant>
        <vt:i4>5242964</vt:i4>
      </vt:variant>
      <vt:variant>
        <vt:i4>0</vt:i4>
      </vt:variant>
      <vt:variant>
        <vt:i4>0</vt:i4>
      </vt:variant>
      <vt:variant>
        <vt:i4>5</vt:i4>
      </vt:variant>
      <vt:variant>
        <vt:lpwstr>http://hudoc.echr.coe.int/sites/eng/pages/search.aspx</vt:lpwstr>
      </vt:variant>
      <vt:variant>
        <vt:lpwstr>%7B%22appno%22:[%2230985/96%22]%7D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BETIM TRUCI</dc:title>
  <dc:subject>Dt. 29.06.2015</dc:subject>
  <dc:creator>Besnik IMERAJ</dc:creator>
  <cp:keywords/>
  <dc:description/>
  <cp:lastModifiedBy>User</cp:lastModifiedBy>
  <cp:revision>16</cp:revision>
  <cp:lastPrinted>2015-06-22T08:46:00Z</cp:lastPrinted>
  <dcterms:created xsi:type="dcterms:W3CDTF">2015-06-10T12:06:00Z</dcterms:created>
  <dcterms:modified xsi:type="dcterms:W3CDTF">2015-06-29T12:01:00Z</dcterms:modified>
</cp:coreProperties>
</file>