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8F" w:rsidRPr="005D74FA" w:rsidRDefault="00A86E90" w:rsidP="000838D3">
      <w:pPr>
        <w:spacing w:line="360" w:lineRule="auto"/>
        <w:jc w:val="center"/>
        <w:rPr>
          <w:rFonts w:eastAsia="Times New Roman"/>
          <w:b/>
          <w:bCs/>
          <w:sz w:val="24"/>
          <w:szCs w:val="24"/>
        </w:rPr>
      </w:pPr>
      <w:r>
        <w:rPr>
          <w:rFonts w:eastAsia="Times New Roman"/>
          <w:b/>
          <w:bCs/>
          <w:sz w:val="24"/>
          <w:szCs w:val="24"/>
        </w:rPr>
        <w:t>Vendim nr. 5 dat</w:t>
      </w:r>
      <w:r w:rsidRPr="00431F05">
        <w:rPr>
          <w:rFonts w:eastAsia="Times New Roman"/>
          <w:b/>
          <w:sz w:val="24"/>
          <w:szCs w:val="24"/>
        </w:rPr>
        <w:t>ë</w:t>
      </w:r>
      <w:r>
        <w:rPr>
          <w:rFonts w:eastAsia="Times New Roman"/>
          <w:sz w:val="24"/>
          <w:szCs w:val="24"/>
        </w:rPr>
        <w:t xml:space="preserve"> </w:t>
      </w:r>
      <w:r w:rsidR="00431F05" w:rsidRPr="005D74FA">
        <w:rPr>
          <w:b/>
          <w:bCs/>
          <w:sz w:val="24"/>
          <w:szCs w:val="24"/>
        </w:rPr>
        <w:t>22.02.2022</w:t>
      </w:r>
    </w:p>
    <w:p w:rsidR="00910F8F" w:rsidRDefault="000838D3" w:rsidP="00910F8F">
      <w:pPr>
        <w:spacing w:line="360" w:lineRule="auto"/>
        <w:jc w:val="center"/>
        <w:rPr>
          <w:rFonts w:eastAsia="Times New Roman"/>
          <w:b/>
          <w:bCs/>
          <w:sz w:val="24"/>
          <w:szCs w:val="24"/>
        </w:rPr>
      </w:pPr>
      <w:r>
        <w:rPr>
          <w:rFonts w:eastAsia="Times New Roman"/>
          <w:b/>
          <w:bCs/>
          <w:sz w:val="24"/>
          <w:szCs w:val="24"/>
        </w:rPr>
        <w:t>(V-5/22)</w:t>
      </w:r>
    </w:p>
    <w:p w:rsidR="003617C1" w:rsidRPr="005D74FA" w:rsidRDefault="003617C1" w:rsidP="00910F8F">
      <w:pPr>
        <w:spacing w:line="360" w:lineRule="auto"/>
        <w:jc w:val="center"/>
        <w:rPr>
          <w:rFonts w:eastAsia="Times New Roman"/>
          <w:b/>
          <w:bCs/>
          <w:sz w:val="24"/>
          <w:szCs w:val="24"/>
        </w:rPr>
      </w:pPr>
    </w:p>
    <w:p w:rsidR="00910F8F" w:rsidRPr="00A37590" w:rsidRDefault="00910F8F" w:rsidP="00A37590">
      <w:pPr>
        <w:spacing w:line="360" w:lineRule="auto"/>
        <w:rPr>
          <w:rFonts w:eastAsia="Times New Roman"/>
          <w:sz w:val="24"/>
          <w:szCs w:val="24"/>
        </w:rPr>
      </w:pPr>
      <w:r w:rsidRPr="005D74FA">
        <w:rPr>
          <w:rFonts w:eastAsia="Times New Roman"/>
          <w:sz w:val="24"/>
          <w:szCs w:val="24"/>
        </w:rPr>
        <w:t xml:space="preserve">Gjykata Kushtetuese </w:t>
      </w:r>
      <w:r w:rsidR="00990085" w:rsidRPr="005D74FA">
        <w:rPr>
          <w:rFonts w:eastAsia="Times New Roman"/>
          <w:sz w:val="24"/>
          <w:szCs w:val="24"/>
        </w:rPr>
        <w:t>e</w:t>
      </w:r>
      <w:r w:rsidRPr="005D74FA">
        <w:rPr>
          <w:rFonts w:eastAsia="Times New Roman"/>
          <w:sz w:val="24"/>
          <w:szCs w:val="24"/>
        </w:rPr>
        <w:t xml:space="preserve"> Republikës së Shqipërisë, e përbërë nga:</w:t>
      </w:r>
      <w:r w:rsidR="00A37590">
        <w:rPr>
          <w:rFonts w:eastAsia="Times New Roman"/>
          <w:sz w:val="24"/>
          <w:szCs w:val="24"/>
        </w:rPr>
        <w:t xml:space="preserve"> Vitore Tusha, </w:t>
      </w:r>
      <w:r w:rsidRPr="005D74FA">
        <w:rPr>
          <w:rFonts w:eastAsia="Times New Roman"/>
          <w:sz w:val="24"/>
          <w:szCs w:val="24"/>
        </w:rPr>
        <w:t>Kryetare</w:t>
      </w:r>
      <w:r w:rsidR="00A37590">
        <w:rPr>
          <w:rFonts w:eastAsia="Times New Roman"/>
          <w:sz w:val="24"/>
          <w:szCs w:val="24"/>
        </w:rPr>
        <w:t>,</w:t>
      </w:r>
      <w:r w:rsidRPr="005D74FA">
        <w:rPr>
          <w:rFonts w:eastAsia="Times New Roman"/>
          <w:sz w:val="24"/>
          <w:szCs w:val="24"/>
        </w:rPr>
        <w:t xml:space="preserve"> </w:t>
      </w:r>
      <w:proofErr w:type="spellStart"/>
      <w:r w:rsidR="00A37590">
        <w:rPr>
          <w:rFonts w:eastAsia="Times New Roman"/>
          <w:sz w:val="24"/>
          <w:szCs w:val="24"/>
        </w:rPr>
        <w:t>Elsa</w:t>
      </w:r>
      <w:proofErr w:type="spellEnd"/>
      <w:r w:rsidR="00A37590">
        <w:rPr>
          <w:rFonts w:eastAsia="Times New Roman"/>
          <w:sz w:val="24"/>
          <w:szCs w:val="24"/>
        </w:rPr>
        <w:t xml:space="preserve"> Toska,</w:t>
      </w:r>
      <w:r w:rsidR="00A37590">
        <w:rPr>
          <w:rFonts w:eastAsia="Times New Roman"/>
          <w:sz w:val="24"/>
          <w:szCs w:val="24"/>
        </w:rPr>
        <w:tab/>
      </w:r>
      <w:proofErr w:type="spellStart"/>
      <w:r w:rsidR="00431F05">
        <w:rPr>
          <w:rFonts w:eastAsia="Times New Roman"/>
          <w:sz w:val="24"/>
          <w:szCs w:val="24"/>
        </w:rPr>
        <w:t>Marsida</w:t>
      </w:r>
      <w:proofErr w:type="spellEnd"/>
      <w:r w:rsidR="00431F05">
        <w:rPr>
          <w:rFonts w:eastAsia="Times New Roman"/>
          <w:sz w:val="24"/>
          <w:szCs w:val="24"/>
        </w:rPr>
        <w:t xml:space="preserve"> </w:t>
      </w:r>
      <w:proofErr w:type="spellStart"/>
      <w:r w:rsidR="00431F05">
        <w:rPr>
          <w:rFonts w:eastAsia="Times New Roman"/>
          <w:sz w:val="24"/>
          <w:szCs w:val="24"/>
        </w:rPr>
        <w:t>Xhaferllari</w:t>
      </w:r>
      <w:proofErr w:type="spellEnd"/>
      <w:r w:rsidR="00431F05">
        <w:rPr>
          <w:rFonts w:eastAsia="Times New Roman"/>
          <w:sz w:val="24"/>
          <w:szCs w:val="24"/>
        </w:rPr>
        <w:t xml:space="preserve">, </w:t>
      </w:r>
      <w:proofErr w:type="spellStart"/>
      <w:r w:rsidR="00A37590">
        <w:rPr>
          <w:rFonts w:eastAsia="Times New Roman"/>
          <w:sz w:val="24"/>
          <w:szCs w:val="24"/>
        </w:rPr>
        <w:t>Fiona</w:t>
      </w:r>
      <w:proofErr w:type="spellEnd"/>
      <w:r w:rsidR="00A37590">
        <w:rPr>
          <w:rFonts w:eastAsia="Times New Roman"/>
          <w:sz w:val="24"/>
          <w:szCs w:val="24"/>
        </w:rPr>
        <w:t xml:space="preserve"> </w:t>
      </w:r>
      <w:proofErr w:type="spellStart"/>
      <w:r w:rsidR="00A37590">
        <w:rPr>
          <w:rFonts w:eastAsia="Times New Roman"/>
          <w:sz w:val="24"/>
          <w:szCs w:val="24"/>
        </w:rPr>
        <w:t>Papajorgji</w:t>
      </w:r>
      <w:proofErr w:type="spellEnd"/>
      <w:r w:rsidR="00A37590">
        <w:rPr>
          <w:rFonts w:eastAsia="Times New Roman"/>
          <w:sz w:val="24"/>
          <w:szCs w:val="24"/>
        </w:rPr>
        <w:t xml:space="preserve">, </w:t>
      </w:r>
      <w:r w:rsidR="00431F05">
        <w:rPr>
          <w:rFonts w:eastAsia="Times New Roman"/>
          <w:sz w:val="24"/>
          <w:szCs w:val="24"/>
        </w:rPr>
        <w:t xml:space="preserve">Altin </w:t>
      </w:r>
      <w:proofErr w:type="spellStart"/>
      <w:r w:rsidR="00431F05">
        <w:rPr>
          <w:rFonts w:eastAsia="Times New Roman"/>
          <w:sz w:val="24"/>
          <w:szCs w:val="24"/>
        </w:rPr>
        <w:t>Binaj</w:t>
      </w:r>
      <w:proofErr w:type="spellEnd"/>
      <w:r w:rsidR="00431F05">
        <w:rPr>
          <w:rFonts w:eastAsia="Times New Roman"/>
          <w:sz w:val="24"/>
          <w:szCs w:val="24"/>
        </w:rPr>
        <w:t xml:space="preserve">, </w:t>
      </w:r>
      <w:r w:rsidR="00A37590">
        <w:rPr>
          <w:rFonts w:eastAsia="Times New Roman"/>
          <w:sz w:val="24"/>
          <w:szCs w:val="24"/>
        </w:rPr>
        <w:t xml:space="preserve">Përparim Kalo, </w:t>
      </w:r>
      <w:proofErr w:type="spellStart"/>
      <w:r w:rsidR="00A37590">
        <w:rPr>
          <w:rFonts w:eastAsia="Times New Roman"/>
          <w:sz w:val="24"/>
          <w:szCs w:val="24"/>
        </w:rPr>
        <w:t>Sonila</w:t>
      </w:r>
      <w:proofErr w:type="spellEnd"/>
      <w:r w:rsidR="00A37590">
        <w:rPr>
          <w:rFonts w:eastAsia="Times New Roman"/>
          <w:sz w:val="24"/>
          <w:szCs w:val="24"/>
        </w:rPr>
        <w:t xml:space="preserve"> Bejtja, anëtar</w:t>
      </w:r>
      <w:r w:rsidR="00A37590" w:rsidRPr="005D74FA">
        <w:rPr>
          <w:rFonts w:eastAsia="Times New Roman"/>
          <w:sz w:val="24"/>
          <w:szCs w:val="24"/>
        </w:rPr>
        <w:t>ë</w:t>
      </w:r>
      <w:r w:rsidR="00A37590">
        <w:rPr>
          <w:rFonts w:eastAsia="Times New Roman"/>
          <w:sz w:val="24"/>
          <w:szCs w:val="24"/>
        </w:rPr>
        <w:t xml:space="preserve">, </w:t>
      </w:r>
      <w:r w:rsidRPr="005D74FA">
        <w:rPr>
          <w:rFonts w:eastAsia="Calibri"/>
          <w:sz w:val="24"/>
          <w:szCs w:val="24"/>
        </w:rPr>
        <w:t xml:space="preserve">me sekretare </w:t>
      </w:r>
      <w:proofErr w:type="spellStart"/>
      <w:r w:rsidR="000F5A43" w:rsidRPr="005D74FA">
        <w:rPr>
          <w:rFonts w:eastAsia="Calibri"/>
          <w:sz w:val="24"/>
          <w:szCs w:val="24"/>
        </w:rPr>
        <w:t>Belma</w:t>
      </w:r>
      <w:proofErr w:type="spellEnd"/>
      <w:r w:rsidR="000F5A43" w:rsidRPr="005D74FA">
        <w:rPr>
          <w:rFonts w:eastAsia="Calibri"/>
          <w:sz w:val="24"/>
          <w:szCs w:val="24"/>
        </w:rPr>
        <w:t xml:space="preserve"> Lleshi</w:t>
      </w:r>
      <w:r w:rsidRPr="005D74FA">
        <w:rPr>
          <w:rFonts w:eastAsia="Calibri"/>
          <w:sz w:val="24"/>
          <w:szCs w:val="24"/>
        </w:rPr>
        <w:t xml:space="preserve">, në datën </w:t>
      </w:r>
      <w:r w:rsidR="002E589B" w:rsidRPr="005D74FA">
        <w:rPr>
          <w:rFonts w:eastAsia="Times New Roman"/>
          <w:sz w:val="24"/>
          <w:szCs w:val="24"/>
        </w:rPr>
        <w:t>22</w:t>
      </w:r>
      <w:r w:rsidRPr="005D74FA">
        <w:rPr>
          <w:rFonts w:eastAsia="Times New Roman"/>
          <w:sz w:val="24"/>
          <w:szCs w:val="24"/>
        </w:rPr>
        <w:t>.</w:t>
      </w:r>
      <w:r w:rsidR="002E589B" w:rsidRPr="005D74FA">
        <w:rPr>
          <w:rFonts w:eastAsia="Times New Roman"/>
          <w:sz w:val="24"/>
          <w:szCs w:val="24"/>
        </w:rPr>
        <w:t>02</w:t>
      </w:r>
      <w:r w:rsidRPr="005D74FA">
        <w:rPr>
          <w:rFonts w:eastAsia="Times New Roman"/>
          <w:sz w:val="24"/>
          <w:szCs w:val="24"/>
        </w:rPr>
        <w:t>.202</w:t>
      </w:r>
      <w:r w:rsidR="002E589B" w:rsidRPr="005D74FA">
        <w:rPr>
          <w:rFonts w:eastAsia="Times New Roman"/>
          <w:sz w:val="24"/>
          <w:szCs w:val="24"/>
        </w:rPr>
        <w:t>2</w:t>
      </w:r>
      <w:r w:rsidRPr="005D74FA">
        <w:rPr>
          <w:rFonts w:eastAsia="Times New Roman"/>
          <w:sz w:val="24"/>
          <w:szCs w:val="24"/>
        </w:rPr>
        <w:t xml:space="preserve"> </w:t>
      </w:r>
      <w:r w:rsidRPr="005D74FA">
        <w:rPr>
          <w:rFonts w:eastAsia="Calibri"/>
          <w:sz w:val="24"/>
          <w:szCs w:val="24"/>
        </w:rPr>
        <w:t>mori në shqyrtim në seancë plenare</w:t>
      </w:r>
      <w:r w:rsidR="00990085" w:rsidRPr="005D74FA">
        <w:rPr>
          <w:rFonts w:eastAsia="Calibri"/>
          <w:sz w:val="24"/>
          <w:szCs w:val="24"/>
        </w:rPr>
        <w:t>,</w:t>
      </w:r>
      <w:r w:rsidRPr="005D74FA">
        <w:rPr>
          <w:rFonts w:eastAsia="Calibri"/>
          <w:sz w:val="24"/>
          <w:szCs w:val="24"/>
        </w:rPr>
        <w:t xml:space="preserve"> mbi bazë dokumentesh</w:t>
      </w:r>
      <w:r w:rsidR="00990085" w:rsidRPr="005D74FA">
        <w:rPr>
          <w:rFonts w:eastAsia="Calibri"/>
          <w:sz w:val="24"/>
          <w:szCs w:val="24"/>
        </w:rPr>
        <w:t>,</w:t>
      </w:r>
      <w:r w:rsidRPr="005D74FA">
        <w:rPr>
          <w:rFonts w:eastAsia="Calibri"/>
          <w:sz w:val="24"/>
          <w:szCs w:val="24"/>
        </w:rPr>
        <w:t xml:space="preserve"> çështjen nr. 14 (E) 2021 të Regjistrit Themeltar, që u përket:</w:t>
      </w:r>
    </w:p>
    <w:p w:rsidR="00910F8F" w:rsidRPr="005D74FA" w:rsidRDefault="00910F8F" w:rsidP="00910F8F">
      <w:pPr>
        <w:spacing w:line="360" w:lineRule="auto"/>
        <w:jc w:val="center"/>
        <w:rPr>
          <w:rFonts w:eastAsia="Calibri"/>
          <w:b/>
          <w:sz w:val="24"/>
          <w:szCs w:val="24"/>
        </w:rPr>
      </w:pPr>
    </w:p>
    <w:p w:rsidR="002C212B" w:rsidRPr="005D74FA" w:rsidRDefault="002C212B" w:rsidP="00347A06">
      <w:pPr>
        <w:spacing w:line="360" w:lineRule="auto"/>
        <w:ind w:firstLine="720"/>
        <w:rPr>
          <w:b/>
          <w:sz w:val="24"/>
          <w:szCs w:val="24"/>
        </w:rPr>
      </w:pPr>
      <w:r w:rsidRPr="005D74FA">
        <w:rPr>
          <w:b/>
          <w:sz w:val="24"/>
          <w:szCs w:val="24"/>
        </w:rPr>
        <w:t>KËRKUES:</w:t>
      </w:r>
      <w:r w:rsidRPr="005D74FA">
        <w:rPr>
          <w:b/>
          <w:sz w:val="24"/>
          <w:szCs w:val="24"/>
        </w:rPr>
        <w:tab/>
      </w:r>
      <w:r w:rsidRPr="005D74FA">
        <w:rPr>
          <w:b/>
          <w:sz w:val="24"/>
          <w:szCs w:val="24"/>
        </w:rPr>
        <w:tab/>
        <w:t>EMILJANO SHULLAZI</w:t>
      </w:r>
    </w:p>
    <w:p w:rsidR="002C212B" w:rsidRPr="005D74FA" w:rsidRDefault="002C212B" w:rsidP="00347A06">
      <w:pPr>
        <w:spacing w:line="360" w:lineRule="auto"/>
        <w:rPr>
          <w:b/>
          <w:sz w:val="24"/>
          <w:szCs w:val="24"/>
        </w:rPr>
      </w:pPr>
    </w:p>
    <w:p w:rsidR="002C212B" w:rsidRPr="005D74FA" w:rsidRDefault="002C212B" w:rsidP="00347A06">
      <w:pPr>
        <w:pStyle w:val="BodyTextIndent2"/>
      </w:pPr>
      <w:r w:rsidRPr="005D74FA">
        <w:t xml:space="preserve">SUBJEKT I INTERESUAR: </w:t>
      </w:r>
    </w:p>
    <w:p w:rsidR="002C212B" w:rsidRPr="005D74FA" w:rsidRDefault="002C212B" w:rsidP="00347A06">
      <w:pPr>
        <w:pStyle w:val="BodyTextIndent2"/>
        <w:ind w:firstLine="0"/>
      </w:pPr>
      <w:r w:rsidRPr="005D74FA">
        <w:t>PROKURORIA E POSAÇME KUNDËR KORRUPSIONIT DHE KRIMIT TË ORGANIZUAR</w:t>
      </w:r>
    </w:p>
    <w:p w:rsidR="002C212B" w:rsidRPr="005D74FA" w:rsidRDefault="002C212B" w:rsidP="00347A06">
      <w:pPr>
        <w:spacing w:line="360" w:lineRule="auto"/>
        <w:rPr>
          <w:b/>
          <w:sz w:val="24"/>
          <w:szCs w:val="24"/>
        </w:rPr>
      </w:pPr>
    </w:p>
    <w:p w:rsidR="002C212B" w:rsidRPr="005D74FA" w:rsidRDefault="002C212B" w:rsidP="00347A06">
      <w:pPr>
        <w:spacing w:line="360" w:lineRule="auto"/>
        <w:ind w:left="2880" w:hanging="2160"/>
        <w:rPr>
          <w:b/>
          <w:sz w:val="24"/>
          <w:szCs w:val="24"/>
        </w:rPr>
      </w:pPr>
      <w:r w:rsidRPr="005D74FA">
        <w:rPr>
          <w:b/>
          <w:sz w:val="24"/>
          <w:szCs w:val="24"/>
        </w:rPr>
        <w:t>OBJEKTI:</w:t>
      </w:r>
      <w:r w:rsidRPr="005D74FA">
        <w:rPr>
          <w:b/>
          <w:sz w:val="24"/>
          <w:szCs w:val="24"/>
        </w:rPr>
        <w:tab/>
        <w:t xml:space="preserve">Shfuqizimi i vendimeve nr. 2, datë 12.01.2021 të Gjykatës së Posaçme të Shkallës së Parë për Korrupsionin dhe Krimin e Organizuar; nr. 63, datë 03.03.2021 të Gjykatës së Posaçme të Apelit për Korrupsionin dhe Krimin e Organizuar dhe nr. 00-2021-360, datë 25.05.2021 të Kolegjit Penal të Gjykatës së </w:t>
      </w:r>
      <w:r w:rsidR="00990085" w:rsidRPr="005D74FA">
        <w:rPr>
          <w:b/>
          <w:sz w:val="24"/>
          <w:szCs w:val="24"/>
        </w:rPr>
        <w:t>Lartë, si të papajtueshme</w:t>
      </w:r>
      <w:r w:rsidRPr="005D74FA">
        <w:rPr>
          <w:b/>
          <w:sz w:val="24"/>
          <w:szCs w:val="24"/>
        </w:rPr>
        <w:t xml:space="preserve"> me Kushtetutën e Republikës së Shqipërisë.</w:t>
      </w:r>
    </w:p>
    <w:p w:rsidR="002C212B" w:rsidRPr="005D74FA" w:rsidRDefault="002C212B" w:rsidP="00347A06">
      <w:pPr>
        <w:spacing w:line="360" w:lineRule="auto"/>
        <w:ind w:left="2880" w:hanging="2160"/>
        <w:rPr>
          <w:b/>
          <w:sz w:val="24"/>
          <w:szCs w:val="24"/>
        </w:rPr>
      </w:pPr>
    </w:p>
    <w:p w:rsidR="002C212B" w:rsidRPr="005D74FA" w:rsidRDefault="002C212B" w:rsidP="00347A06">
      <w:pPr>
        <w:spacing w:line="360" w:lineRule="auto"/>
        <w:ind w:left="2880" w:hanging="2160"/>
        <w:rPr>
          <w:b/>
          <w:sz w:val="24"/>
          <w:szCs w:val="24"/>
        </w:rPr>
      </w:pPr>
      <w:r w:rsidRPr="005D74FA">
        <w:rPr>
          <w:b/>
          <w:sz w:val="24"/>
          <w:szCs w:val="24"/>
        </w:rPr>
        <w:t>BAZA LIGJORE:</w:t>
      </w:r>
      <w:r w:rsidRPr="005D74FA">
        <w:rPr>
          <w:b/>
          <w:sz w:val="24"/>
          <w:szCs w:val="24"/>
        </w:rPr>
        <w:tab/>
      </w:r>
      <w:r w:rsidRPr="005D74FA">
        <w:rPr>
          <w:sz w:val="24"/>
          <w:szCs w:val="24"/>
        </w:rPr>
        <w:t>Nenet 42, 131, pika 1, shkronja</w:t>
      </w:r>
      <w:r w:rsidR="00122999" w:rsidRPr="005D74FA">
        <w:rPr>
          <w:sz w:val="24"/>
          <w:szCs w:val="24"/>
        </w:rPr>
        <w:t xml:space="preserve"> “f”, 134, pika 1, shkronja “i” dhe pika 2,</w:t>
      </w:r>
      <w:r w:rsidRPr="005D74FA">
        <w:rPr>
          <w:sz w:val="24"/>
          <w:szCs w:val="24"/>
        </w:rPr>
        <w:t xml:space="preserve"> të Kushtetutës; neni 6 i Konventës Evropiane për të Drejtat e Njeriut </w:t>
      </w:r>
      <w:r w:rsidRPr="005D74FA">
        <w:rPr>
          <w:i/>
          <w:sz w:val="24"/>
          <w:szCs w:val="24"/>
        </w:rPr>
        <w:t>(KEDNJ)</w:t>
      </w:r>
      <w:r w:rsidRPr="005D74FA">
        <w:rPr>
          <w:sz w:val="24"/>
          <w:szCs w:val="24"/>
        </w:rPr>
        <w:t xml:space="preserve">; ligji nr. 8577, datë 10.02.2000 “Për organizimin dhe funksionimin e Gjykatës Kushtetuese të Republikës së Shqipërisë”, i ndryshuar </w:t>
      </w:r>
      <w:r w:rsidRPr="005D74FA">
        <w:rPr>
          <w:i/>
          <w:sz w:val="24"/>
          <w:szCs w:val="24"/>
        </w:rPr>
        <w:t>(ligji nr. 8577/2000)</w:t>
      </w:r>
      <w:r w:rsidRPr="005D74FA">
        <w:rPr>
          <w:sz w:val="24"/>
          <w:szCs w:val="24"/>
        </w:rPr>
        <w:t>.</w:t>
      </w:r>
    </w:p>
    <w:p w:rsidR="002C212B" w:rsidRPr="005D74FA" w:rsidRDefault="002C212B" w:rsidP="00347A06">
      <w:pPr>
        <w:spacing w:line="360" w:lineRule="auto"/>
        <w:ind w:left="2880" w:hanging="2160"/>
        <w:rPr>
          <w:b/>
          <w:sz w:val="24"/>
          <w:szCs w:val="24"/>
        </w:rPr>
      </w:pPr>
    </w:p>
    <w:p w:rsidR="00910F8F" w:rsidRPr="005D74FA" w:rsidRDefault="00910F8F" w:rsidP="00910F8F">
      <w:pPr>
        <w:spacing w:line="360" w:lineRule="auto"/>
        <w:ind w:left="2160" w:hanging="2160"/>
        <w:jc w:val="center"/>
        <w:rPr>
          <w:rFonts w:eastAsia="Calibri"/>
          <w:b/>
          <w:sz w:val="24"/>
          <w:szCs w:val="24"/>
        </w:rPr>
      </w:pPr>
      <w:r w:rsidRPr="005D74FA">
        <w:rPr>
          <w:rFonts w:eastAsia="Calibri"/>
          <w:b/>
          <w:sz w:val="24"/>
          <w:szCs w:val="24"/>
        </w:rPr>
        <w:t>GJYKATA KUSHTETUESE,</w:t>
      </w:r>
    </w:p>
    <w:p w:rsidR="00910F8F" w:rsidRPr="005D74FA" w:rsidRDefault="00910F8F" w:rsidP="00910F8F">
      <w:pPr>
        <w:spacing w:line="360" w:lineRule="auto"/>
        <w:ind w:firstLine="720"/>
        <w:rPr>
          <w:rFonts w:eastAsia="Calibri"/>
          <w:sz w:val="24"/>
          <w:szCs w:val="24"/>
        </w:rPr>
      </w:pPr>
      <w:r w:rsidRPr="005D74FA">
        <w:rPr>
          <w:rFonts w:eastAsia="Calibri"/>
          <w:sz w:val="24"/>
          <w:szCs w:val="24"/>
        </w:rPr>
        <w:t xml:space="preserve">pasi dëgjoi </w:t>
      </w:r>
      <w:proofErr w:type="spellStart"/>
      <w:r w:rsidRPr="005D74FA">
        <w:rPr>
          <w:rFonts w:eastAsia="Calibri"/>
          <w:sz w:val="24"/>
          <w:szCs w:val="24"/>
        </w:rPr>
        <w:t>relatoren</w:t>
      </w:r>
      <w:proofErr w:type="spellEnd"/>
      <w:r w:rsidRPr="005D74FA">
        <w:rPr>
          <w:rFonts w:eastAsia="Calibri"/>
          <w:sz w:val="24"/>
          <w:szCs w:val="24"/>
        </w:rPr>
        <w:t xml:space="preserve"> e çështjes </w:t>
      </w:r>
      <w:proofErr w:type="spellStart"/>
      <w:r w:rsidRPr="005D74FA">
        <w:rPr>
          <w:rFonts w:eastAsia="Calibri"/>
          <w:sz w:val="24"/>
          <w:szCs w:val="24"/>
        </w:rPr>
        <w:t>Sonila</w:t>
      </w:r>
      <w:proofErr w:type="spellEnd"/>
      <w:r w:rsidRPr="005D74FA">
        <w:rPr>
          <w:rFonts w:eastAsia="Calibri"/>
          <w:sz w:val="24"/>
          <w:szCs w:val="24"/>
        </w:rPr>
        <w:t xml:space="preserve"> Bejtja, mori në shqyrtim pretendimet me shkrim të kërkuesit, i cili ka kërkuar pranimin e kërkesës, </w:t>
      </w:r>
      <w:r w:rsidR="00C03659" w:rsidRPr="005D74FA">
        <w:rPr>
          <w:rFonts w:eastAsia="Calibri"/>
          <w:sz w:val="24"/>
          <w:szCs w:val="24"/>
        </w:rPr>
        <w:t>prapësime</w:t>
      </w:r>
      <w:r w:rsidR="007F12E6" w:rsidRPr="005D74FA">
        <w:rPr>
          <w:rFonts w:eastAsia="Calibri"/>
          <w:sz w:val="24"/>
          <w:szCs w:val="24"/>
        </w:rPr>
        <w:t>t</w:t>
      </w:r>
      <w:r w:rsidR="00C03659" w:rsidRPr="005D74FA">
        <w:rPr>
          <w:rFonts w:eastAsia="Calibri"/>
          <w:sz w:val="24"/>
          <w:szCs w:val="24"/>
        </w:rPr>
        <w:t xml:space="preserve"> me shkrim të </w:t>
      </w:r>
      <w:r w:rsidRPr="005D74FA">
        <w:rPr>
          <w:rFonts w:eastAsia="Calibri"/>
          <w:sz w:val="24"/>
          <w:szCs w:val="24"/>
        </w:rPr>
        <w:t>subjektit të interesuar</w:t>
      </w:r>
      <w:r w:rsidR="007F12E6" w:rsidRPr="005D74FA">
        <w:rPr>
          <w:rFonts w:eastAsia="Calibri"/>
          <w:sz w:val="24"/>
          <w:szCs w:val="24"/>
        </w:rPr>
        <w:t>,</w:t>
      </w:r>
      <w:r w:rsidR="00990085" w:rsidRPr="005D74FA">
        <w:rPr>
          <w:rFonts w:eastAsia="Calibri"/>
          <w:sz w:val="24"/>
          <w:szCs w:val="24"/>
        </w:rPr>
        <w:t xml:space="preserve"> Prokurorisë</w:t>
      </w:r>
      <w:r w:rsidRPr="005D74FA">
        <w:rPr>
          <w:rFonts w:eastAsia="Calibri"/>
          <w:sz w:val="24"/>
          <w:szCs w:val="24"/>
        </w:rPr>
        <w:t xml:space="preserve"> </w:t>
      </w:r>
      <w:r w:rsidR="00990085" w:rsidRPr="005D74FA">
        <w:rPr>
          <w:rFonts w:eastAsia="Calibri"/>
          <w:sz w:val="24"/>
          <w:szCs w:val="24"/>
        </w:rPr>
        <w:t>së</w:t>
      </w:r>
      <w:r w:rsidRPr="005D74FA">
        <w:rPr>
          <w:rFonts w:eastAsia="Calibri"/>
          <w:sz w:val="24"/>
          <w:szCs w:val="24"/>
        </w:rPr>
        <w:t xml:space="preserve"> Posaçme Kundër Korrupsionit dhe Krimit të Organizuar</w:t>
      </w:r>
      <w:r w:rsidR="007F12E6" w:rsidRPr="005D74FA">
        <w:rPr>
          <w:rFonts w:eastAsia="Calibri"/>
          <w:sz w:val="24"/>
          <w:szCs w:val="24"/>
        </w:rPr>
        <w:t xml:space="preserve"> </w:t>
      </w:r>
      <w:r w:rsidR="007F12E6" w:rsidRPr="005D74FA">
        <w:rPr>
          <w:i/>
          <w:sz w:val="24"/>
          <w:szCs w:val="24"/>
        </w:rPr>
        <w:t>(Prokuroria e Posaçme)</w:t>
      </w:r>
      <w:r w:rsidRPr="005D74FA">
        <w:rPr>
          <w:rFonts w:eastAsia="Calibri"/>
          <w:sz w:val="24"/>
          <w:szCs w:val="24"/>
        </w:rPr>
        <w:t xml:space="preserve">, </w:t>
      </w:r>
      <w:r w:rsidR="00990085" w:rsidRPr="005D74FA">
        <w:rPr>
          <w:sz w:val="24"/>
          <w:szCs w:val="24"/>
        </w:rPr>
        <w:t>që</w:t>
      </w:r>
      <w:r w:rsidR="00C53640" w:rsidRPr="005D74FA">
        <w:rPr>
          <w:sz w:val="24"/>
          <w:szCs w:val="24"/>
        </w:rPr>
        <w:t xml:space="preserve"> ka kërkuar rrëzimin e kërkesës, </w:t>
      </w:r>
      <w:r w:rsidRPr="005D74FA">
        <w:rPr>
          <w:rFonts w:eastAsia="Calibri"/>
          <w:sz w:val="24"/>
          <w:szCs w:val="24"/>
        </w:rPr>
        <w:t>si dhe diskutoi çështjen në tërësi,</w:t>
      </w:r>
    </w:p>
    <w:p w:rsidR="00910F8F" w:rsidRPr="005D74FA" w:rsidRDefault="00910F8F" w:rsidP="00910F8F">
      <w:pPr>
        <w:spacing w:line="360" w:lineRule="auto"/>
        <w:jc w:val="center"/>
        <w:rPr>
          <w:rFonts w:eastAsia="Calibri"/>
          <w:b/>
          <w:sz w:val="24"/>
          <w:szCs w:val="24"/>
        </w:rPr>
      </w:pPr>
    </w:p>
    <w:p w:rsidR="00910F8F" w:rsidRPr="005D74FA" w:rsidRDefault="00910F8F" w:rsidP="00910F8F">
      <w:pPr>
        <w:spacing w:line="360" w:lineRule="auto"/>
        <w:jc w:val="center"/>
        <w:rPr>
          <w:rFonts w:eastAsia="Calibri"/>
          <w:b/>
          <w:bCs/>
          <w:sz w:val="24"/>
          <w:szCs w:val="24"/>
        </w:rPr>
      </w:pPr>
      <w:r w:rsidRPr="005D74FA">
        <w:rPr>
          <w:rFonts w:eastAsia="Calibri"/>
          <w:b/>
          <w:bCs/>
          <w:sz w:val="24"/>
          <w:szCs w:val="24"/>
        </w:rPr>
        <w:t>V Ë R E N:</w:t>
      </w:r>
    </w:p>
    <w:p w:rsidR="002C212B" w:rsidRPr="005D74FA" w:rsidRDefault="002C212B" w:rsidP="00347A06">
      <w:pPr>
        <w:spacing w:line="360" w:lineRule="auto"/>
        <w:ind w:left="2880" w:hanging="2880"/>
        <w:jc w:val="center"/>
        <w:rPr>
          <w:b/>
          <w:sz w:val="24"/>
          <w:szCs w:val="24"/>
        </w:rPr>
      </w:pPr>
      <w:r w:rsidRPr="005D74FA">
        <w:rPr>
          <w:b/>
          <w:sz w:val="24"/>
          <w:szCs w:val="24"/>
        </w:rPr>
        <w:t>I</w:t>
      </w:r>
    </w:p>
    <w:p w:rsidR="002C212B" w:rsidRPr="005D74FA" w:rsidRDefault="002C212B" w:rsidP="00347A06">
      <w:pPr>
        <w:spacing w:line="360" w:lineRule="auto"/>
        <w:ind w:left="2880" w:hanging="2880"/>
        <w:jc w:val="center"/>
        <w:rPr>
          <w:b/>
          <w:sz w:val="24"/>
          <w:szCs w:val="24"/>
        </w:rPr>
      </w:pPr>
      <w:r w:rsidRPr="005D74FA">
        <w:rPr>
          <w:b/>
          <w:sz w:val="24"/>
          <w:szCs w:val="24"/>
        </w:rPr>
        <w:t>Rrethanat e çështjes</w:t>
      </w:r>
    </w:p>
    <w:p w:rsidR="00A24191" w:rsidRPr="005D74FA" w:rsidRDefault="002C212B" w:rsidP="00347A06">
      <w:pPr>
        <w:pStyle w:val="ListParagraph"/>
        <w:numPr>
          <w:ilvl w:val="0"/>
          <w:numId w:val="1"/>
        </w:numPr>
        <w:tabs>
          <w:tab w:val="left" w:pos="990"/>
        </w:tabs>
        <w:spacing w:line="360" w:lineRule="auto"/>
        <w:ind w:left="0" w:firstLine="720"/>
        <w:rPr>
          <w:sz w:val="24"/>
          <w:szCs w:val="24"/>
        </w:rPr>
      </w:pPr>
      <w:r w:rsidRPr="005D74FA">
        <w:rPr>
          <w:sz w:val="24"/>
          <w:szCs w:val="24"/>
        </w:rPr>
        <w:t>Me vendimin nr. 122, datë 13.11.2018, Gjykata e Shka</w:t>
      </w:r>
      <w:r w:rsidR="00122999" w:rsidRPr="005D74FA">
        <w:rPr>
          <w:sz w:val="24"/>
          <w:szCs w:val="24"/>
        </w:rPr>
        <w:t xml:space="preserve">llës së Parë për Krime të Rënda, bazuar në nenet 109/b/1, 28/4, 334/1 dhe 333/a/1 të Kodit Penal </w:t>
      </w:r>
      <w:r w:rsidR="00910F8F" w:rsidRPr="005D74FA">
        <w:rPr>
          <w:i/>
          <w:sz w:val="24"/>
          <w:szCs w:val="24"/>
        </w:rPr>
        <w:t xml:space="preserve">(KP) </w:t>
      </w:r>
      <w:r w:rsidRPr="005D74FA">
        <w:rPr>
          <w:sz w:val="24"/>
          <w:szCs w:val="24"/>
        </w:rPr>
        <w:t>ka vendosur, ndër të tjera, deklarimin fajtor</w:t>
      </w:r>
      <w:r w:rsidR="00910F8F" w:rsidRPr="005D74FA">
        <w:rPr>
          <w:sz w:val="24"/>
          <w:szCs w:val="24"/>
        </w:rPr>
        <w:t xml:space="preserve"> të kërkuesit</w:t>
      </w:r>
      <w:r w:rsidRPr="005D74FA">
        <w:rPr>
          <w:sz w:val="24"/>
          <w:szCs w:val="24"/>
        </w:rPr>
        <w:t xml:space="preserve"> </w:t>
      </w:r>
      <w:r w:rsidR="00DF7DAE" w:rsidRPr="005D74FA">
        <w:rPr>
          <w:sz w:val="24"/>
          <w:szCs w:val="24"/>
        </w:rPr>
        <w:t>për vepra</w:t>
      </w:r>
      <w:r w:rsidR="00B37EDB" w:rsidRPr="005D74FA">
        <w:rPr>
          <w:sz w:val="24"/>
          <w:szCs w:val="24"/>
        </w:rPr>
        <w:t>t</w:t>
      </w:r>
      <w:r w:rsidR="00396929" w:rsidRPr="005D74FA">
        <w:rPr>
          <w:sz w:val="24"/>
          <w:szCs w:val="24"/>
        </w:rPr>
        <w:t xml:space="preserve"> penale “Shtrëngim</w:t>
      </w:r>
      <w:r w:rsidR="002A675E" w:rsidRPr="005D74FA">
        <w:rPr>
          <w:sz w:val="24"/>
          <w:szCs w:val="24"/>
        </w:rPr>
        <w:t>i</w:t>
      </w:r>
      <w:r w:rsidRPr="005D74FA">
        <w:rPr>
          <w:sz w:val="24"/>
          <w:szCs w:val="24"/>
        </w:rPr>
        <w:t xml:space="preserve"> me anë të kanosjes ose dhunës për dhënien e pasurisë”, kryer në bashkëpunim në formën e grupit të strukturuar kriminal </w:t>
      </w:r>
      <w:r w:rsidR="002642A8" w:rsidRPr="005D74FA">
        <w:rPr>
          <w:sz w:val="24"/>
          <w:szCs w:val="24"/>
        </w:rPr>
        <w:t>në dëm të shtetasve Y.B. dhe</w:t>
      </w:r>
      <w:r w:rsidR="00DF7DAE" w:rsidRPr="005D74FA">
        <w:rPr>
          <w:sz w:val="24"/>
          <w:szCs w:val="24"/>
        </w:rPr>
        <w:t xml:space="preserve"> J.Z.</w:t>
      </w:r>
      <w:r w:rsidR="00070EC5" w:rsidRPr="005D74FA">
        <w:rPr>
          <w:sz w:val="24"/>
          <w:szCs w:val="24"/>
        </w:rPr>
        <w:t>,</w:t>
      </w:r>
      <w:r w:rsidR="00DF7DAE" w:rsidRPr="005D74FA">
        <w:rPr>
          <w:sz w:val="24"/>
          <w:szCs w:val="24"/>
        </w:rPr>
        <w:t xml:space="preserve"> </w:t>
      </w:r>
      <w:r w:rsidRPr="005D74FA">
        <w:rPr>
          <w:sz w:val="24"/>
          <w:szCs w:val="24"/>
        </w:rPr>
        <w:t>“Grupi i strukturuar kriminal”, si dhe deklarimin e tij të pafajshëm për disa vepra të tjera penale.</w:t>
      </w:r>
      <w:r w:rsidR="002642A8" w:rsidRPr="005D74FA">
        <w:rPr>
          <w:sz w:val="24"/>
          <w:szCs w:val="24"/>
        </w:rPr>
        <w:t xml:space="preserve"> </w:t>
      </w:r>
      <w:r w:rsidR="00732E65" w:rsidRPr="005D74FA">
        <w:rPr>
          <w:sz w:val="24"/>
          <w:szCs w:val="24"/>
        </w:rPr>
        <w:t>Në përfundim</w:t>
      </w:r>
      <w:r w:rsidR="00CB68C5" w:rsidRPr="005D74FA">
        <w:rPr>
          <w:sz w:val="24"/>
          <w:szCs w:val="24"/>
        </w:rPr>
        <w:t xml:space="preserve"> të gjykimit</w:t>
      </w:r>
      <w:r w:rsidR="00732E65" w:rsidRPr="005D74FA">
        <w:rPr>
          <w:sz w:val="24"/>
          <w:szCs w:val="24"/>
        </w:rPr>
        <w:t>, në zbatim të nenit 55 të K</w:t>
      </w:r>
      <w:r w:rsidR="00910F8F" w:rsidRPr="005D74FA">
        <w:rPr>
          <w:sz w:val="24"/>
          <w:szCs w:val="24"/>
        </w:rPr>
        <w:t xml:space="preserve">P-së </w:t>
      </w:r>
      <w:r w:rsidR="00732E65" w:rsidRPr="005D74FA">
        <w:rPr>
          <w:sz w:val="24"/>
          <w:szCs w:val="24"/>
        </w:rPr>
        <w:t xml:space="preserve">e ka dënuar atë me 14 vjet burgim, </w:t>
      </w:r>
      <w:r w:rsidR="00F02323" w:rsidRPr="005D74FA">
        <w:rPr>
          <w:sz w:val="24"/>
          <w:szCs w:val="24"/>
        </w:rPr>
        <w:t>ndërsa</w:t>
      </w:r>
      <w:r w:rsidR="00732E65" w:rsidRPr="005D74FA">
        <w:rPr>
          <w:sz w:val="24"/>
          <w:szCs w:val="24"/>
        </w:rPr>
        <w:t xml:space="preserve"> në zbatim të nenit 33 të këtij kodi dhe nenit 12 të ligjit nr. 8328, datë 16.04.1998 “Për të drejtat dhe trajtimin e të dënuarve me b</w:t>
      </w:r>
      <w:r w:rsidR="00A24191" w:rsidRPr="005D74FA">
        <w:rPr>
          <w:sz w:val="24"/>
          <w:szCs w:val="24"/>
        </w:rPr>
        <w:t xml:space="preserve">urgim dhe të </w:t>
      </w:r>
      <w:proofErr w:type="spellStart"/>
      <w:r w:rsidR="00A24191" w:rsidRPr="005D74FA">
        <w:rPr>
          <w:sz w:val="24"/>
          <w:szCs w:val="24"/>
        </w:rPr>
        <w:t>të</w:t>
      </w:r>
      <w:proofErr w:type="spellEnd"/>
      <w:r w:rsidR="00A24191" w:rsidRPr="005D74FA">
        <w:rPr>
          <w:sz w:val="24"/>
          <w:szCs w:val="24"/>
        </w:rPr>
        <w:t xml:space="preserve"> paraburgosurve”,</w:t>
      </w:r>
      <w:r w:rsidR="00990085" w:rsidRPr="005D74FA">
        <w:rPr>
          <w:sz w:val="24"/>
          <w:szCs w:val="24"/>
        </w:rPr>
        <w:t xml:space="preserve"> të</w:t>
      </w:r>
      <w:r w:rsidR="00CD0DD3" w:rsidRPr="005D74FA">
        <w:rPr>
          <w:sz w:val="24"/>
          <w:szCs w:val="24"/>
        </w:rPr>
        <w:t xml:space="preserve"> ndryshuar </w:t>
      </w:r>
      <w:r w:rsidR="00CD0DD3" w:rsidRPr="005D74FA">
        <w:rPr>
          <w:i/>
          <w:sz w:val="24"/>
          <w:szCs w:val="24"/>
        </w:rPr>
        <w:t>(ligj</w:t>
      </w:r>
      <w:r w:rsidR="00990085" w:rsidRPr="005D74FA">
        <w:rPr>
          <w:i/>
          <w:sz w:val="24"/>
          <w:szCs w:val="24"/>
        </w:rPr>
        <w:t>i</w:t>
      </w:r>
      <w:r w:rsidR="00CD0DD3" w:rsidRPr="005D74FA">
        <w:rPr>
          <w:i/>
          <w:sz w:val="24"/>
          <w:szCs w:val="24"/>
        </w:rPr>
        <w:t xml:space="preserve"> nr. 8328/1998)</w:t>
      </w:r>
      <w:r w:rsidR="00CD0DD3" w:rsidRPr="005D74FA">
        <w:rPr>
          <w:sz w:val="24"/>
          <w:szCs w:val="24"/>
        </w:rPr>
        <w:t>,</w:t>
      </w:r>
      <w:r w:rsidR="00A24191" w:rsidRPr="005D74FA">
        <w:rPr>
          <w:i/>
          <w:sz w:val="24"/>
          <w:szCs w:val="24"/>
        </w:rPr>
        <w:t xml:space="preserve"> </w:t>
      </w:r>
      <w:r w:rsidR="00A24191" w:rsidRPr="005D74FA">
        <w:rPr>
          <w:sz w:val="24"/>
          <w:szCs w:val="24"/>
        </w:rPr>
        <w:t>ka vendosur vuajtjen e dënimit nga kërkuesi në burg të sigurisë së zakonshme.</w:t>
      </w:r>
    </w:p>
    <w:p w:rsidR="00F3695C" w:rsidRPr="005D74FA" w:rsidRDefault="002642A8" w:rsidP="005C1949">
      <w:pPr>
        <w:pStyle w:val="ListParagraph"/>
        <w:numPr>
          <w:ilvl w:val="0"/>
          <w:numId w:val="1"/>
        </w:numPr>
        <w:tabs>
          <w:tab w:val="left" w:pos="990"/>
        </w:tabs>
        <w:spacing w:line="360" w:lineRule="auto"/>
        <w:ind w:left="0" w:firstLine="720"/>
        <w:rPr>
          <w:sz w:val="24"/>
          <w:szCs w:val="24"/>
        </w:rPr>
      </w:pPr>
      <w:r w:rsidRPr="005D74FA">
        <w:rPr>
          <w:sz w:val="24"/>
          <w:szCs w:val="24"/>
        </w:rPr>
        <w:t>Në zbatim të vendimit nr. 286, datë 18.12.2019 të Këshillit të Lartë Gjyqësor “Për fillimin e funksionit të gjykatave të posaçme për korrupsionin dhe krimin e organizuar”</w:t>
      </w:r>
      <w:r w:rsidR="00DF7DAE" w:rsidRPr="005D74FA">
        <w:rPr>
          <w:sz w:val="24"/>
          <w:szCs w:val="24"/>
        </w:rPr>
        <w:t>,</w:t>
      </w:r>
      <w:r w:rsidRPr="005D74FA">
        <w:rPr>
          <w:sz w:val="24"/>
          <w:szCs w:val="24"/>
        </w:rPr>
        <w:t xml:space="preserve"> </w:t>
      </w:r>
      <w:r w:rsidR="00DF7DAE" w:rsidRPr="005D74FA">
        <w:rPr>
          <w:sz w:val="24"/>
          <w:szCs w:val="24"/>
        </w:rPr>
        <w:t>gjykatat për krime të rënda u emërtuan dhe filluan të funksionojnë e ushtrojnë kompetencat Gjykata e Posaçme e Shkallës së Parë për Korrupsionin dhe Krimin e Organizuar (</w:t>
      </w:r>
      <w:r w:rsidR="00DF7DAE" w:rsidRPr="005D74FA">
        <w:rPr>
          <w:i/>
          <w:sz w:val="24"/>
          <w:szCs w:val="24"/>
        </w:rPr>
        <w:t>Gjykata e Posaçme e Shkallës së Parë</w:t>
      </w:r>
      <w:r w:rsidR="00DF7DAE" w:rsidRPr="005D74FA">
        <w:rPr>
          <w:sz w:val="24"/>
          <w:szCs w:val="24"/>
        </w:rPr>
        <w:t>) dhe Gjykata e Posaçme e Apelit për Korrupsionin dhe Krimin e Organizuar (</w:t>
      </w:r>
      <w:r w:rsidR="00DF7DAE" w:rsidRPr="005D74FA">
        <w:rPr>
          <w:i/>
          <w:sz w:val="24"/>
          <w:szCs w:val="24"/>
        </w:rPr>
        <w:t>Gjykata e Posaçme e Apelit</w:t>
      </w:r>
      <w:r w:rsidR="00DF7DAE" w:rsidRPr="005D74FA">
        <w:rPr>
          <w:sz w:val="24"/>
          <w:szCs w:val="24"/>
        </w:rPr>
        <w:t>)</w:t>
      </w:r>
      <w:r w:rsidRPr="005D74FA">
        <w:rPr>
          <w:sz w:val="24"/>
          <w:szCs w:val="24"/>
        </w:rPr>
        <w:t xml:space="preserve">. </w:t>
      </w:r>
    </w:p>
    <w:p w:rsidR="00A24191" w:rsidRPr="005D74FA" w:rsidRDefault="00A24191" w:rsidP="00A24191">
      <w:pPr>
        <w:pStyle w:val="ListParagraph"/>
        <w:numPr>
          <w:ilvl w:val="0"/>
          <w:numId w:val="1"/>
        </w:numPr>
        <w:tabs>
          <w:tab w:val="left" w:pos="990"/>
        </w:tabs>
        <w:spacing w:line="360" w:lineRule="auto"/>
        <w:ind w:left="0" w:firstLine="720"/>
        <w:rPr>
          <w:sz w:val="24"/>
          <w:szCs w:val="24"/>
        </w:rPr>
      </w:pPr>
      <w:r w:rsidRPr="005D74FA">
        <w:rPr>
          <w:sz w:val="24"/>
          <w:szCs w:val="24"/>
        </w:rPr>
        <w:t>Në datën 20.12.2018 Kuvendi ka miratuar ligjin nr. 108/201</w:t>
      </w:r>
      <w:r w:rsidR="00775F66" w:rsidRPr="005D74FA">
        <w:rPr>
          <w:sz w:val="24"/>
          <w:szCs w:val="24"/>
        </w:rPr>
        <w:t xml:space="preserve">8 “Për një shtesë në ligjin </w:t>
      </w:r>
      <w:r w:rsidRPr="005D74FA">
        <w:rPr>
          <w:sz w:val="24"/>
          <w:szCs w:val="24"/>
        </w:rPr>
        <w:t xml:space="preserve">nr. 8328, datë 16.04.1998 “Për të drejtat dhe trajtimin e të dënuarve me burgim dhe të </w:t>
      </w:r>
      <w:proofErr w:type="spellStart"/>
      <w:r w:rsidRPr="005D74FA">
        <w:rPr>
          <w:sz w:val="24"/>
          <w:szCs w:val="24"/>
        </w:rPr>
        <w:t>të</w:t>
      </w:r>
      <w:proofErr w:type="spellEnd"/>
      <w:r w:rsidRPr="005D74FA">
        <w:rPr>
          <w:sz w:val="24"/>
          <w:szCs w:val="24"/>
        </w:rPr>
        <w:t xml:space="preserve"> paraburgosurve”</w:t>
      </w:r>
      <w:r w:rsidR="00637394" w:rsidRPr="005D74FA">
        <w:rPr>
          <w:sz w:val="24"/>
          <w:szCs w:val="24"/>
        </w:rPr>
        <w:t>, të ndryshuar”</w:t>
      </w:r>
      <w:r w:rsidR="00126F8A" w:rsidRPr="005D74FA">
        <w:rPr>
          <w:sz w:val="24"/>
          <w:szCs w:val="24"/>
        </w:rPr>
        <w:t xml:space="preserve">, </w:t>
      </w:r>
      <w:r w:rsidR="00C04E59" w:rsidRPr="005D74FA">
        <w:rPr>
          <w:sz w:val="24"/>
          <w:szCs w:val="24"/>
        </w:rPr>
        <w:t xml:space="preserve">në të cilin u shtua </w:t>
      </w:r>
      <w:r w:rsidR="00126F8A" w:rsidRPr="005D74FA">
        <w:rPr>
          <w:sz w:val="24"/>
          <w:szCs w:val="24"/>
        </w:rPr>
        <w:t>dispozitë</w:t>
      </w:r>
      <w:r w:rsidRPr="005D74FA">
        <w:rPr>
          <w:sz w:val="24"/>
          <w:szCs w:val="24"/>
        </w:rPr>
        <w:t xml:space="preserve"> </w:t>
      </w:r>
      <w:r w:rsidR="00C04E59" w:rsidRPr="005D74FA">
        <w:rPr>
          <w:sz w:val="24"/>
          <w:szCs w:val="24"/>
        </w:rPr>
        <w:t>e</w:t>
      </w:r>
      <w:r w:rsidRPr="005D74FA">
        <w:rPr>
          <w:sz w:val="24"/>
          <w:szCs w:val="24"/>
        </w:rPr>
        <w:t xml:space="preserve"> veçant</w:t>
      </w:r>
      <w:r w:rsidR="00126F8A" w:rsidRPr="005D74FA">
        <w:rPr>
          <w:sz w:val="24"/>
          <w:szCs w:val="24"/>
        </w:rPr>
        <w:t>ë</w:t>
      </w:r>
      <w:r w:rsidRPr="005D74FA">
        <w:rPr>
          <w:sz w:val="24"/>
          <w:szCs w:val="24"/>
        </w:rPr>
        <w:t xml:space="preserve"> për </w:t>
      </w:r>
      <w:r w:rsidR="00126F8A" w:rsidRPr="005D74FA">
        <w:rPr>
          <w:sz w:val="24"/>
          <w:szCs w:val="24"/>
        </w:rPr>
        <w:t>zbatimin e regjimit të</w:t>
      </w:r>
      <w:r w:rsidRPr="005D74FA">
        <w:rPr>
          <w:sz w:val="24"/>
          <w:szCs w:val="24"/>
        </w:rPr>
        <w:t xml:space="preserve"> posaçëm në burgun e sigurisë së lartë. Ky ligj është publikuar në Fletoren Zyrtare nr. 197, datë 15.01.2019 dhe ka hyrë në fuqi në datën 31.01.2019.</w:t>
      </w:r>
    </w:p>
    <w:p w:rsidR="00CD1C93" w:rsidRPr="005D74FA" w:rsidRDefault="002C60E5" w:rsidP="00347A06">
      <w:pPr>
        <w:pStyle w:val="ListParagraph"/>
        <w:numPr>
          <w:ilvl w:val="0"/>
          <w:numId w:val="1"/>
        </w:numPr>
        <w:tabs>
          <w:tab w:val="left" w:pos="990"/>
        </w:tabs>
        <w:spacing w:line="360" w:lineRule="auto"/>
        <w:ind w:left="0" w:firstLine="720"/>
        <w:rPr>
          <w:sz w:val="24"/>
          <w:szCs w:val="24"/>
        </w:rPr>
      </w:pPr>
      <w:r w:rsidRPr="005D74FA">
        <w:rPr>
          <w:sz w:val="24"/>
          <w:szCs w:val="24"/>
        </w:rPr>
        <w:t xml:space="preserve">Me shkresën nr. 166 </w:t>
      </w:r>
      <w:proofErr w:type="spellStart"/>
      <w:r w:rsidR="00CD1C93" w:rsidRPr="005D74FA">
        <w:rPr>
          <w:sz w:val="24"/>
          <w:szCs w:val="24"/>
        </w:rPr>
        <w:t>p</w:t>
      </w:r>
      <w:r w:rsidRPr="005D74FA">
        <w:rPr>
          <w:sz w:val="24"/>
          <w:szCs w:val="24"/>
        </w:rPr>
        <w:t>rot</w:t>
      </w:r>
      <w:proofErr w:type="spellEnd"/>
      <w:r w:rsidRPr="005D74FA">
        <w:rPr>
          <w:sz w:val="24"/>
          <w:szCs w:val="24"/>
        </w:rPr>
        <w:t>., datë</w:t>
      </w:r>
      <w:r w:rsidR="001B2A32" w:rsidRPr="005D74FA">
        <w:rPr>
          <w:sz w:val="24"/>
          <w:szCs w:val="24"/>
        </w:rPr>
        <w:t xml:space="preserve"> 01.11.2019, </w:t>
      </w:r>
      <w:r w:rsidR="00D07B0D" w:rsidRPr="005D74FA">
        <w:rPr>
          <w:sz w:val="24"/>
          <w:szCs w:val="24"/>
        </w:rPr>
        <w:t>bazuar në nen</w:t>
      </w:r>
      <w:r w:rsidR="00E27310" w:rsidRPr="005D74FA">
        <w:rPr>
          <w:sz w:val="24"/>
          <w:szCs w:val="24"/>
        </w:rPr>
        <w:t>et 2 dhe</w:t>
      </w:r>
      <w:r w:rsidR="00D07B0D" w:rsidRPr="005D74FA">
        <w:rPr>
          <w:sz w:val="24"/>
          <w:szCs w:val="24"/>
        </w:rPr>
        <w:t xml:space="preserve"> 13/1 të ligjit nr. 8328</w:t>
      </w:r>
      <w:r w:rsidR="00CD0DD3" w:rsidRPr="005D74FA">
        <w:rPr>
          <w:sz w:val="24"/>
          <w:szCs w:val="24"/>
        </w:rPr>
        <w:t>/1998</w:t>
      </w:r>
      <w:r w:rsidR="00E27310" w:rsidRPr="005D74FA">
        <w:rPr>
          <w:sz w:val="24"/>
          <w:szCs w:val="24"/>
        </w:rPr>
        <w:t>, si</w:t>
      </w:r>
      <w:r w:rsidR="00EC3507" w:rsidRPr="005D74FA">
        <w:rPr>
          <w:sz w:val="24"/>
          <w:szCs w:val="24"/>
        </w:rPr>
        <w:t xml:space="preserve"> dhe</w:t>
      </w:r>
      <w:r w:rsidR="0034419F" w:rsidRPr="005D74FA">
        <w:rPr>
          <w:sz w:val="24"/>
          <w:szCs w:val="24"/>
        </w:rPr>
        <w:t xml:space="preserve"> në</w:t>
      </w:r>
      <w:r w:rsidR="00EC3507" w:rsidRPr="005D74FA">
        <w:rPr>
          <w:sz w:val="24"/>
          <w:szCs w:val="24"/>
        </w:rPr>
        <w:t xml:space="preserve"> udhëzimin e përgjithshëm nr. 2, datë 24.05.2019 të Prokurorit të Përgjithshëm “Për zbatimin e ligjit lidhur me regjimin e posaçëm në burgun e sigurisë së lartë”</w:t>
      </w:r>
      <w:r w:rsidR="00DF2A1A" w:rsidRPr="005D74FA">
        <w:rPr>
          <w:sz w:val="24"/>
          <w:szCs w:val="24"/>
        </w:rPr>
        <w:t xml:space="preserve">, </w:t>
      </w:r>
      <w:r w:rsidR="00EC3507" w:rsidRPr="005D74FA">
        <w:rPr>
          <w:sz w:val="24"/>
          <w:szCs w:val="24"/>
        </w:rPr>
        <w:t>d</w:t>
      </w:r>
      <w:r w:rsidR="001B2A32" w:rsidRPr="005D74FA">
        <w:rPr>
          <w:sz w:val="24"/>
          <w:szCs w:val="24"/>
        </w:rPr>
        <w:t>rejtuesi i Prokurorisë pranë Gjykatës së Shkallës së Parë për K</w:t>
      </w:r>
      <w:r w:rsidR="003B34A5" w:rsidRPr="005D74FA">
        <w:rPr>
          <w:sz w:val="24"/>
          <w:szCs w:val="24"/>
        </w:rPr>
        <w:t>rime të Rënda</w:t>
      </w:r>
      <w:r w:rsidR="00C04E59" w:rsidRPr="005D74FA">
        <w:rPr>
          <w:i/>
          <w:sz w:val="24"/>
          <w:szCs w:val="24"/>
        </w:rPr>
        <w:t xml:space="preserve"> </w:t>
      </w:r>
      <w:r w:rsidR="00472A11" w:rsidRPr="005D74FA">
        <w:rPr>
          <w:sz w:val="24"/>
          <w:szCs w:val="24"/>
        </w:rPr>
        <w:t>i është drejtuar ministrit</w:t>
      </w:r>
      <w:r w:rsidR="001B2A32" w:rsidRPr="005D74FA">
        <w:rPr>
          <w:sz w:val="24"/>
          <w:szCs w:val="24"/>
        </w:rPr>
        <w:t xml:space="preserve"> </w:t>
      </w:r>
      <w:r w:rsidR="00472A11" w:rsidRPr="005D74FA">
        <w:rPr>
          <w:sz w:val="24"/>
          <w:szCs w:val="24"/>
        </w:rPr>
        <w:t>t</w:t>
      </w:r>
      <w:r w:rsidR="001B2A32" w:rsidRPr="005D74FA">
        <w:rPr>
          <w:sz w:val="24"/>
          <w:szCs w:val="24"/>
        </w:rPr>
        <w:t xml:space="preserve">ë Drejtësisë </w:t>
      </w:r>
      <w:r w:rsidR="00FA0763" w:rsidRPr="005D74FA">
        <w:rPr>
          <w:sz w:val="24"/>
          <w:szCs w:val="24"/>
        </w:rPr>
        <w:t xml:space="preserve">me kërkesë </w:t>
      </w:r>
      <w:r w:rsidR="001B2A32" w:rsidRPr="005D74FA">
        <w:rPr>
          <w:sz w:val="24"/>
          <w:szCs w:val="24"/>
        </w:rPr>
        <w:t>për v</w:t>
      </w:r>
      <w:r w:rsidR="00D07B0D" w:rsidRPr="005D74FA">
        <w:rPr>
          <w:sz w:val="24"/>
          <w:szCs w:val="24"/>
        </w:rPr>
        <w:t>endosjen e kërkuesit në regjim</w:t>
      </w:r>
      <w:r w:rsidR="001B2A32" w:rsidRPr="005D74FA">
        <w:rPr>
          <w:sz w:val="24"/>
          <w:szCs w:val="24"/>
        </w:rPr>
        <w:t xml:space="preserve"> </w:t>
      </w:r>
      <w:r w:rsidR="00D07B0D" w:rsidRPr="005D74FA">
        <w:rPr>
          <w:sz w:val="24"/>
          <w:szCs w:val="24"/>
        </w:rPr>
        <w:t>të posaçëm n</w:t>
      </w:r>
      <w:r w:rsidR="001B2A32" w:rsidRPr="005D74FA">
        <w:rPr>
          <w:sz w:val="24"/>
          <w:szCs w:val="24"/>
        </w:rPr>
        <w:t>ë burg</w:t>
      </w:r>
      <w:r w:rsidR="0095511C" w:rsidRPr="005D74FA">
        <w:rPr>
          <w:sz w:val="24"/>
          <w:szCs w:val="24"/>
        </w:rPr>
        <w:t xml:space="preserve"> </w:t>
      </w:r>
      <w:r w:rsidR="001B2A32" w:rsidRPr="005D74FA">
        <w:rPr>
          <w:sz w:val="24"/>
          <w:szCs w:val="24"/>
        </w:rPr>
        <w:t>të sigurisë së lartë</w:t>
      </w:r>
      <w:r w:rsidR="00D07B0D" w:rsidRPr="005D74FA">
        <w:rPr>
          <w:sz w:val="24"/>
          <w:szCs w:val="24"/>
        </w:rPr>
        <w:t xml:space="preserve"> për një afat 1-vjeçar</w:t>
      </w:r>
      <w:r w:rsidR="00CD1C93" w:rsidRPr="005D74FA">
        <w:rPr>
          <w:sz w:val="24"/>
          <w:szCs w:val="24"/>
        </w:rPr>
        <w:t>.</w:t>
      </w:r>
      <w:r w:rsidR="00192C24" w:rsidRPr="005D74FA">
        <w:rPr>
          <w:sz w:val="24"/>
          <w:szCs w:val="24"/>
        </w:rPr>
        <w:t xml:space="preserve"> Kjo kërkesë është </w:t>
      </w:r>
      <w:proofErr w:type="spellStart"/>
      <w:r w:rsidR="00192C24" w:rsidRPr="005D74FA">
        <w:rPr>
          <w:sz w:val="24"/>
          <w:szCs w:val="24"/>
        </w:rPr>
        <w:t>rikonfirmuar</w:t>
      </w:r>
      <w:proofErr w:type="spellEnd"/>
      <w:r w:rsidR="00192C24" w:rsidRPr="005D74FA">
        <w:rPr>
          <w:sz w:val="24"/>
          <w:szCs w:val="24"/>
        </w:rPr>
        <w:t xml:space="preserve"> me </w:t>
      </w:r>
      <w:r w:rsidR="00CD1C93" w:rsidRPr="005D74FA">
        <w:rPr>
          <w:sz w:val="24"/>
          <w:szCs w:val="24"/>
        </w:rPr>
        <w:t xml:space="preserve">shkresën nr. 27 </w:t>
      </w:r>
      <w:proofErr w:type="spellStart"/>
      <w:r w:rsidR="00CD1C93" w:rsidRPr="005D74FA">
        <w:rPr>
          <w:sz w:val="24"/>
          <w:szCs w:val="24"/>
        </w:rPr>
        <w:t>prot</w:t>
      </w:r>
      <w:proofErr w:type="spellEnd"/>
      <w:r w:rsidR="00CD1C93" w:rsidRPr="005D74FA">
        <w:rPr>
          <w:sz w:val="24"/>
          <w:szCs w:val="24"/>
        </w:rPr>
        <w:t>., datë 10.03.2020</w:t>
      </w:r>
      <w:r w:rsidR="00192C24" w:rsidRPr="005D74FA">
        <w:rPr>
          <w:sz w:val="24"/>
          <w:szCs w:val="24"/>
        </w:rPr>
        <w:t xml:space="preserve"> të</w:t>
      </w:r>
      <w:r w:rsidR="004541EF" w:rsidRPr="005D74FA">
        <w:rPr>
          <w:sz w:val="24"/>
          <w:szCs w:val="24"/>
        </w:rPr>
        <w:t xml:space="preserve"> Proku</w:t>
      </w:r>
      <w:r w:rsidR="00192C24" w:rsidRPr="005D74FA">
        <w:rPr>
          <w:sz w:val="24"/>
          <w:szCs w:val="24"/>
        </w:rPr>
        <w:t>rorisë së</w:t>
      </w:r>
      <w:r w:rsidR="004541EF" w:rsidRPr="005D74FA">
        <w:rPr>
          <w:sz w:val="24"/>
          <w:szCs w:val="24"/>
        </w:rPr>
        <w:t xml:space="preserve"> Posaçme</w:t>
      </w:r>
      <w:r w:rsidR="00064FB4" w:rsidRPr="005D74FA">
        <w:rPr>
          <w:sz w:val="24"/>
          <w:szCs w:val="24"/>
        </w:rPr>
        <w:t>,</w:t>
      </w:r>
      <w:r w:rsidR="00625F5B" w:rsidRPr="005D74FA">
        <w:rPr>
          <w:sz w:val="24"/>
          <w:szCs w:val="24"/>
        </w:rPr>
        <w:t xml:space="preserve"> në përgjigje të shkresës me nr. 443 </w:t>
      </w:r>
      <w:proofErr w:type="spellStart"/>
      <w:r w:rsidR="00625F5B" w:rsidRPr="005D74FA">
        <w:rPr>
          <w:sz w:val="24"/>
          <w:szCs w:val="24"/>
        </w:rPr>
        <w:t>prot</w:t>
      </w:r>
      <w:proofErr w:type="spellEnd"/>
      <w:r w:rsidR="00625F5B" w:rsidRPr="005D74FA">
        <w:rPr>
          <w:sz w:val="24"/>
          <w:szCs w:val="24"/>
        </w:rPr>
        <w:t>., datë 06.03.2020 të ministrit të Drejtësisë</w:t>
      </w:r>
      <w:r w:rsidR="00450C0D" w:rsidRPr="005D74FA">
        <w:rPr>
          <w:sz w:val="24"/>
          <w:szCs w:val="24"/>
        </w:rPr>
        <w:t xml:space="preserve"> për </w:t>
      </w:r>
      <w:proofErr w:type="spellStart"/>
      <w:r w:rsidR="00450C0D" w:rsidRPr="005D74FA">
        <w:rPr>
          <w:sz w:val="24"/>
          <w:szCs w:val="24"/>
        </w:rPr>
        <w:t>rikonfirmimin</w:t>
      </w:r>
      <w:proofErr w:type="spellEnd"/>
      <w:r w:rsidR="00450C0D" w:rsidRPr="005D74FA">
        <w:rPr>
          <w:sz w:val="24"/>
          <w:szCs w:val="24"/>
        </w:rPr>
        <w:t xml:space="preserve"> e saj</w:t>
      </w:r>
      <w:r w:rsidR="00192C24" w:rsidRPr="005D74FA">
        <w:rPr>
          <w:sz w:val="24"/>
          <w:szCs w:val="24"/>
        </w:rPr>
        <w:t>.</w:t>
      </w:r>
      <w:r w:rsidR="00157C3A" w:rsidRPr="005D74FA">
        <w:rPr>
          <w:sz w:val="24"/>
          <w:szCs w:val="24"/>
        </w:rPr>
        <w:t xml:space="preserve"> </w:t>
      </w:r>
    </w:p>
    <w:p w:rsidR="00640CCB" w:rsidRPr="005D74FA" w:rsidRDefault="0008647D" w:rsidP="00103A90">
      <w:pPr>
        <w:pStyle w:val="ListParagraph"/>
        <w:numPr>
          <w:ilvl w:val="0"/>
          <w:numId w:val="1"/>
        </w:numPr>
        <w:tabs>
          <w:tab w:val="left" w:pos="990"/>
        </w:tabs>
        <w:spacing w:line="360" w:lineRule="auto"/>
        <w:ind w:left="0" w:firstLine="720"/>
        <w:rPr>
          <w:sz w:val="24"/>
          <w:szCs w:val="24"/>
        </w:rPr>
      </w:pPr>
      <w:r w:rsidRPr="005D74FA">
        <w:rPr>
          <w:sz w:val="24"/>
          <w:szCs w:val="24"/>
        </w:rPr>
        <w:t xml:space="preserve">Me urdhrin nr. 253, datë 28.07.2020 “Për vendosjen në regjimin e posaçëm të ushtrimit të </w:t>
      </w:r>
      <w:proofErr w:type="spellStart"/>
      <w:r w:rsidRPr="005D74FA">
        <w:rPr>
          <w:sz w:val="24"/>
          <w:szCs w:val="24"/>
        </w:rPr>
        <w:t>të</w:t>
      </w:r>
      <w:proofErr w:type="spellEnd"/>
      <w:r w:rsidRPr="005D74FA">
        <w:rPr>
          <w:sz w:val="24"/>
          <w:szCs w:val="24"/>
        </w:rPr>
        <w:t xml:space="preserve"> drejtave në burgun e sigurisë së lartë për të para</w:t>
      </w:r>
      <w:r w:rsidR="00000B2E" w:rsidRPr="005D74FA">
        <w:rPr>
          <w:sz w:val="24"/>
          <w:szCs w:val="24"/>
        </w:rPr>
        <w:t xml:space="preserve">burgosurin </w:t>
      </w:r>
      <w:proofErr w:type="spellStart"/>
      <w:r w:rsidR="00000B2E" w:rsidRPr="005D74FA">
        <w:rPr>
          <w:sz w:val="24"/>
          <w:szCs w:val="24"/>
        </w:rPr>
        <w:t>Emiljano</w:t>
      </w:r>
      <w:proofErr w:type="spellEnd"/>
      <w:r w:rsidR="00000B2E" w:rsidRPr="005D74FA">
        <w:rPr>
          <w:sz w:val="24"/>
          <w:szCs w:val="24"/>
        </w:rPr>
        <w:t xml:space="preserve"> </w:t>
      </w:r>
      <w:proofErr w:type="spellStart"/>
      <w:r w:rsidR="00000B2E" w:rsidRPr="005D74FA">
        <w:rPr>
          <w:sz w:val="24"/>
          <w:szCs w:val="24"/>
        </w:rPr>
        <w:t>Shullazi</w:t>
      </w:r>
      <w:proofErr w:type="spellEnd"/>
      <w:r w:rsidR="00000B2E" w:rsidRPr="005D74FA">
        <w:rPr>
          <w:sz w:val="24"/>
          <w:szCs w:val="24"/>
        </w:rPr>
        <w:t>”</w:t>
      </w:r>
      <w:r w:rsidR="004624DB" w:rsidRPr="005D74FA">
        <w:rPr>
          <w:sz w:val="24"/>
          <w:szCs w:val="24"/>
        </w:rPr>
        <w:t xml:space="preserve"> </w:t>
      </w:r>
      <w:r w:rsidR="004624DB" w:rsidRPr="005D74FA">
        <w:rPr>
          <w:i/>
          <w:sz w:val="24"/>
          <w:szCs w:val="24"/>
        </w:rPr>
        <w:t>(urdh</w:t>
      </w:r>
      <w:r w:rsidR="0034419F" w:rsidRPr="005D74FA">
        <w:rPr>
          <w:i/>
          <w:sz w:val="24"/>
          <w:szCs w:val="24"/>
        </w:rPr>
        <w:t>ri</w:t>
      </w:r>
      <w:r w:rsidR="004624DB" w:rsidRPr="005D74FA">
        <w:rPr>
          <w:i/>
          <w:sz w:val="24"/>
          <w:szCs w:val="24"/>
        </w:rPr>
        <w:t xml:space="preserve"> </w:t>
      </w:r>
      <w:r w:rsidR="002E64F0" w:rsidRPr="005D74FA">
        <w:rPr>
          <w:i/>
          <w:sz w:val="24"/>
          <w:szCs w:val="24"/>
        </w:rPr>
        <w:t xml:space="preserve">nr. </w:t>
      </w:r>
      <w:r w:rsidR="004624DB" w:rsidRPr="005D74FA">
        <w:rPr>
          <w:i/>
          <w:sz w:val="24"/>
          <w:szCs w:val="24"/>
        </w:rPr>
        <w:t>253/2020)</w:t>
      </w:r>
      <w:r w:rsidR="00000B2E" w:rsidRPr="005D74FA">
        <w:rPr>
          <w:sz w:val="24"/>
          <w:szCs w:val="24"/>
        </w:rPr>
        <w:t>, m</w:t>
      </w:r>
      <w:r w:rsidRPr="005D74FA">
        <w:rPr>
          <w:sz w:val="24"/>
          <w:szCs w:val="24"/>
        </w:rPr>
        <w:t xml:space="preserve">inistri i Drejtësisë ka urdhëruar, ndër të tjera, vendosjen e kërkuesit në </w:t>
      </w:r>
      <w:r w:rsidR="0088719E" w:rsidRPr="005D74FA">
        <w:rPr>
          <w:sz w:val="24"/>
          <w:szCs w:val="24"/>
        </w:rPr>
        <w:t>këtë regjim</w:t>
      </w:r>
      <w:r w:rsidRPr="005D74FA">
        <w:rPr>
          <w:sz w:val="24"/>
          <w:szCs w:val="24"/>
        </w:rPr>
        <w:t xml:space="preserve"> </w:t>
      </w:r>
      <w:r w:rsidR="0034419F" w:rsidRPr="005D74FA">
        <w:rPr>
          <w:sz w:val="24"/>
          <w:szCs w:val="24"/>
        </w:rPr>
        <w:t>për një</w:t>
      </w:r>
      <w:r w:rsidR="003B6676" w:rsidRPr="005D74FA">
        <w:rPr>
          <w:sz w:val="24"/>
          <w:szCs w:val="24"/>
        </w:rPr>
        <w:t xml:space="preserve"> vit </w:t>
      </w:r>
      <w:r w:rsidRPr="005D74FA">
        <w:rPr>
          <w:sz w:val="24"/>
          <w:szCs w:val="24"/>
        </w:rPr>
        <w:t xml:space="preserve">pranë Institucionit të Ekzekutimit të Dënimeve Penale </w:t>
      </w:r>
      <w:r w:rsidR="0088719E" w:rsidRPr="005D74FA">
        <w:rPr>
          <w:i/>
          <w:sz w:val="24"/>
          <w:szCs w:val="24"/>
        </w:rPr>
        <w:t xml:space="preserve">(IEVP) </w:t>
      </w:r>
      <w:r w:rsidRPr="005D74FA">
        <w:rPr>
          <w:sz w:val="24"/>
          <w:szCs w:val="24"/>
        </w:rPr>
        <w:t>“</w:t>
      </w:r>
      <w:proofErr w:type="spellStart"/>
      <w:r w:rsidRPr="005D74FA">
        <w:rPr>
          <w:sz w:val="24"/>
          <w:szCs w:val="24"/>
        </w:rPr>
        <w:t>Jordan</w:t>
      </w:r>
      <w:proofErr w:type="spellEnd"/>
      <w:r w:rsidRPr="005D74FA">
        <w:rPr>
          <w:sz w:val="24"/>
          <w:szCs w:val="24"/>
        </w:rPr>
        <w:t xml:space="preserve"> </w:t>
      </w:r>
      <w:proofErr w:type="spellStart"/>
      <w:r w:rsidRPr="005D74FA">
        <w:rPr>
          <w:sz w:val="24"/>
          <w:szCs w:val="24"/>
        </w:rPr>
        <w:t>Misja</w:t>
      </w:r>
      <w:proofErr w:type="spellEnd"/>
      <w:r w:rsidRPr="005D74FA">
        <w:rPr>
          <w:sz w:val="24"/>
          <w:szCs w:val="24"/>
        </w:rPr>
        <w:t>”.</w:t>
      </w:r>
      <w:r w:rsidR="002E54E8" w:rsidRPr="005D74FA">
        <w:rPr>
          <w:sz w:val="24"/>
          <w:szCs w:val="24"/>
        </w:rPr>
        <w:t xml:space="preserve"> Ky urdhër është ekzekutuar në datën 01.08.2020.</w:t>
      </w:r>
      <w:r w:rsidR="00640CCB" w:rsidRPr="005D74FA">
        <w:rPr>
          <w:sz w:val="24"/>
          <w:szCs w:val="24"/>
        </w:rPr>
        <w:t xml:space="preserve"> Ndërkohë, me urdhrin nr. 474, datë 29.07.2021 të ministrit të Drejtësisë </w:t>
      </w:r>
      <w:r w:rsidR="00640CCB" w:rsidRPr="005D74FA">
        <w:rPr>
          <w:i/>
          <w:sz w:val="24"/>
          <w:szCs w:val="24"/>
        </w:rPr>
        <w:t>(urdh</w:t>
      </w:r>
      <w:r w:rsidR="0034419F" w:rsidRPr="005D74FA">
        <w:rPr>
          <w:i/>
          <w:sz w:val="24"/>
          <w:szCs w:val="24"/>
        </w:rPr>
        <w:t>ri</w:t>
      </w:r>
      <w:r w:rsidR="00640CCB" w:rsidRPr="005D74FA">
        <w:rPr>
          <w:i/>
          <w:sz w:val="24"/>
          <w:szCs w:val="24"/>
        </w:rPr>
        <w:t xml:space="preserve"> nr. 474/2021) </w:t>
      </w:r>
      <w:r w:rsidR="00640CCB" w:rsidRPr="005D74FA">
        <w:rPr>
          <w:sz w:val="24"/>
          <w:szCs w:val="24"/>
        </w:rPr>
        <w:t xml:space="preserve">është </w:t>
      </w:r>
      <w:r w:rsidR="00DD0CD6" w:rsidRPr="005D74FA">
        <w:rPr>
          <w:sz w:val="24"/>
          <w:szCs w:val="24"/>
        </w:rPr>
        <w:t>disponuar</w:t>
      </w:r>
      <w:r w:rsidR="00640CCB" w:rsidRPr="005D74FA">
        <w:rPr>
          <w:sz w:val="24"/>
          <w:szCs w:val="24"/>
        </w:rPr>
        <w:t xml:space="preserve"> zgjatja e </w:t>
      </w:r>
      <w:r w:rsidR="00C02CDF" w:rsidRPr="005D74FA">
        <w:rPr>
          <w:sz w:val="24"/>
          <w:szCs w:val="24"/>
        </w:rPr>
        <w:t xml:space="preserve">masës së </w:t>
      </w:r>
      <w:r w:rsidR="00640CCB" w:rsidRPr="005D74FA">
        <w:rPr>
          <w:sz w:val="24"/>
          <w:szCs w:val="24"/>
        </w:rPr>
        <w:t>regjimi</w:t>
      </w:r>
      <w:r w:rsidR="008174C8" w:rsidRPr="005D74FA">
        <w:rPr>
          <w:sz w:val="24"/>
          <w:szCs w:val="24"/>
        </w:rPr>
        <w:t>t</w:t>
      </w:r>
      <w:r w:rsidR="00640CCB" w:rsidRPr="005D74FA">
        <w:rPr>
          <w:sz w:val="24"/>
          <w:szCs w:val="24"/>
        </w:rPr>
        <w:t xml:space="preserve"> </w:t>
      </w:r>
      <w:r w:rsidR="008174C8" w:rsidRPr="005D74FA">
        <w:rPr>
          <w:sz w:val="24"/>
          <w:szCs w:val="24"/>
        </w:rPr>
        <w:t>të</w:t>
      </w:r>
      <w:r w:rsidR="00640CCB" w:rsidRPr="005D74FA">
        <w:rPr>
          <w:sz w:val="24"/>
          <w:szCs w:val="24"/>
        </w:rPr>
        <w:t xml:space="preserve"> posaçëm </w:t>
      </w:r>
      <w:r w:rsidR="008174C8" w:rsidRPr="005D74FA">
        <w:rPr>
          <w:sz w:val="24"/>
          <w:szCs w:val="24"/>
        </w:rPr>
        <w:t xml:space="preserve">ndaj kërkuesit </w:t>
      </w:r>
      <w:r w:rsidR="00640CCB" w:rsidRPr="005D74FA">
        <w:rPr>
          <w:sz w:val="24"/>
          <w:szCs w:val="24"/>
        </w:rPr>
        <w:t>edhe për një vit</w:t>
      </w:r>
      <w:r w:rsidR="00DF7DAE" w:rsidRPr="005D74FA">
        <w:rPr>
          <w:sz w:val="24"/>
          <w:szCs w:val="24"/>
        </w:rPr>
        <w:t xml:space="preserve"> tjetër</w:t>
      </w:r>
      <w:r w:rsidR="00640CCB" w:rsidRPr="005D74FA">
        <w:rPr>
          <w:sz w:val="24"/>
          <w:szCs w:val="24"/>
        </w:rPr>
        <w:t>.</w:t>
      </w:r>
      <w:r w:rsidR="000117B0" w:rsidRPr="005D74FA">
        <w:rPr>
          <w:sz w:val="24"/>
          <w:szCs w:val="24"/>
        </w:rPr>
        <w:t xml:space="preserve"> Ky urdhër i dytë </w:t>
      </w:r>
      <w:r w:rsidR="00285F68" w:rsidRPr="005D74FA">
        <w:rPr>
          <w:sz w:val="24"/>
          <w:szCs w:val="24"/>
        </w:rPr>
        <w:t xml:space="preserve">është bazuar në ligjin nr. 81/2020, datë 25.06.2020 “Për </w:t>
      </w:r>
      <w:r w:rsidR="00285F68" w:rsidRPr="005D74FA">
        <w:rPr>
          <w:rFonts w:eastAsia="Times New Roman"/>
          <w:sz w:val="24"/>
          <w:szCs w:val="24"/>
        </w:rPr>
        <w:t>të drejtat dhe trajtimin e të dënuarve me burgim dhe të paraburgosurve”</w:t>
      </w:r>
      <w:r w:rsidR="00086CD1" w:rsidRPr="005D74FA">
        <w:rPr>
          <w:rFonts w:eastAsia="Times New Roman"/>
          <w:sz w:val="24"/>
          <w:szCs w:val="24"/>
        </w:rPr>
        <w:t xml:space="preserve"> </w:t>
      </w:r>
      <w:r w:rsidR="00086CD1" w:rsidRPr="005D74FA">
        <w:rPr>
          <w:i/>
          <w:sz w:val="24"/>
          <w:szCs w:val="24"/>
        </w:rPr>
        <w:t>(ligj</w:t>
      </w:r>
      <w:r w:rsidR="0034419F" w:rsidRPr="005D74FA">
        <w:rPr>
          <w:i/>
          <w:sz w:val="24"/>
          <w:szCs w:val="24"/>
        </w:rPr>
        <w:t>i</w:t>
      </w:r>
      <w:r w:rsidR="00086CD1" w:rsidRPr="005D74FA">
        <w:rPr>
          <w:i/>
          <w:sz w:val="24"/>
          <w:szCs w:val="24"/>
        </w:rPr>
        <w:t xml:space="preserve"> nr. 81/2020)</w:t>
      </w:r>
      <w:r w:rsidR="00285F68" w:rsidRPr="005D74FA">
        <w:rPr>
          <w:rFonts w:eastAsia="Times New Roman"/>
          <w:sz w:val="24"/>
          <w:szCs w:val="24"/>
        </w:rPr>
        <w:t xml:space="preserve">, i cili, ndonëse </w:t>
      </w:r>
      <w:r w:rsidR="0034419F" w:rsidRPr="005D74FA">
        <w:rPr>
          <w:rFonts w:eastAsia="Times New Roman"/>
          <w:sz w:val="24"/>
          <w:szCs w:val="24"/>
        </w:rPr>
        <w:t>ka shfuqizuar</w:t>
      </w:r>
      <w:r w:rsidR="00285F68" w:rsidRPr="005D74FA">
        <w:rPr>
          <w:rFonts w:eastAsia="Times New Roman"/>
          <w:sz w:val="24"/>
          <w:szCs w:val="24"/>
        </w:rPr>
        <w:t xml:space="preserve"> ligjin nr. </w:t>
      </w:r>
      <w:r w:rsidR="00285F68" w:rsidRPr="005D74FA">
        <w:rPr>
          <w:sz w:val="24"/>
          <w:szCs w:val="24"/>
        </w:rPr>
        <w:t xml:space="preserve">8328/1998, përmban të njëjtat rregullime për </w:t>
      </w:r>
      <w:r w:rsidR="00083B19" w:rsidRPr="005D74FA">
        <w:rPr>
          <w:sz w:val="24"/>
          <w:szCs w:val="24"/>
        </w:rPr>
        <w:t>vendosjen e</w:t>
      </w:r>
      <w:r w:rsidR="00285F68" w:rsidRPr="005D74FA">
        <w:rPr>
          <w:sz w:val="24"/>
          <w:szCs w:val="24"/>
        </w:rPr>
        <w:t xml:space="preserve"> regjimit të posaçëm të ushtrimit të </w:t>
      </w:r>
      <w:proofErr w:type="spellStart"/>
      <w:r w:rsidR="00285F68" w:rsidRPr="005D74FA">
        <w:rPr>
          <w:sz w:val="24"/>
          <w:szCs w:val="24"/>
        </w:rPr>
        <w:t>të</w:t>
      </w:r>
      <w:proofErr w:type="spellEnd"/>
      <w:r w:rsidR="00285F68" w:rsidRPr="005D74FA">
        <w:rPr>
          <w:sz w:val="24"/>
          <w:szCs w:val="24"/>
        </w:rPr>
        <w:t xml:space="preserve"> drejtave në burg.</w:t>
      </w:r>
    </w:p>
    <w:p w:rsidR="00F61207" w:rsidRPr="005D74FA" w:rsidRDefault="00E85A45" w:rsidP="00AE0847">
      <w:pPr>
        <w:pStyle w:val="ListParagraph"/>
        <w:numPr>
          <w:ilvl w:val="0"/>
          <w:numId w:val="1"/>
        </w:numPr>
        <w:tabs>
          <w:tab w:val="left" w:pos="990"/>
        </w:tabs>
        <w:spacing w:line="360" w:lineRule="auto"/>
        <w:ind w:left="0" w:firstLine="720"/>
        <w:rPr>
          <w:sz w:val="24"/>
          <w:szCs w:val="24"/>
        </w:rPr>
      </w:pPr>
      <w:r w:rsidRPr="005D74FA">
        <w:rPr>
          <w:sz w:val="24"/>
          <w:szCs w:val="24"/>
        </w:rPr>
        <w:t>Në datën 06.08.2020 k</w:t>
      </w:r>
      <w:r w:rsidR="00F61207" w:rsidRPr="005D74FA">
        <w:rPr>
          <w:sz w:val="24"/>
          <w:szCs w:val="24"/>
        </w:rPr>
        <w:t xml:space="preserve">ërkuesi </w:t>
      </w:r>
      <w:r w:rsidR="000458D6" w:rsidRPr="005D74FA">
        <w:rPr>
          <w:sz w:val="24"/>
          <w:szCs w:val="24"/>
        </w:rPr>
        <w:t xml:space="preserve">i është drejtuar </w:t>
      </w:r>
      <w:r w:rsidR="00F2368B" w:rsidRPr="005D74FA">
        <w:rPr>
          <w:sz w:val="24"/>
          <w:szCs w:val="24"/>
        </w:rPr>
        <w:t>Gjykatës</w:t>
      </w:r>
      <w:r w:rsidR="000458D6" w:rsidRPr="005D74FA">
        <w:rPr>
          <w:sz w:val="24"/>
          <w:szCs w:val="24"/>
        </w:rPr>
        <w:t xml:space="preserve"> </w:t>
      </w:r>
      <w:r w:rsidR="00F2368B" w:rsidRPr="005D74FA">
        <w:rPr>
          <w:sz w:val="24"/>
          <w:szCs w:val="24"/>
        </w:rPr>
        <w:t>së</w:t>
      </w:r>
      <w:r w:rsidR="000458D6" w:rsidRPr="005D74FA">
        <w:rPr>
          <w:sz w:val="24"/>
          <w:szCs w:val="24"/>
        </w:rPr>
        <w:t xml:space="preserve"> Posaçme të Shkallës së Parë me ankim </w:t>
      </w:r>
      <w:r w:rsidR="001C244E" w:rsidRPr="005D74FA">
        <w:rPr>
          <w:sz w:val="24"/>
          <w:szCs w:val="24"/>
        </w:rPr>
        <w:t>kundër</w:t>
      </w:r>
      <w:r w:rsidR="000458D6" w:rsidRPr="005D74FA">
        <w:rPr>
          <w:sz w:val="24"/>
          <w:szCs w:val="24"/>
        </w:rPr>
        <w:t xml:space="preserve"> </w:t>
      </w:r>
      <w:r w:rsidR="00000B2E" w:rsidRPr="005D74FA">
        <w:rPr>
          <w:sz w:val="24"/>
          <w:szCs w:val="24"/>
        </w:rPr>
        <w:t xml:space="preserve">urdhrit </w:t>
      </w:r>
      <w:r w:rsidR="000458D6" w:rsidRPr="005D74FA">
        <w:rPr>
          <w:sz w:val="24"/>
          <w:szCs w:val="24"/>
        </w:rPr>
        <w:t>nr. 253/2020</w:t>
      </w:r>
      <w:r w:rsidR="001C244E" w:rsidRPr="005D74FA">
        <w:rPr>
          <w:sz w:val="24"/>
          <w:szCs w:val="24"/>
        </w:rPr>
        <w:t>,</w:t>
      </w:r>
      <w:r w:rsidR="00913E94" w:rsidRPr="005D74FA">
        <w:rPr>
          <w:sz w:val="24"/>
          <w:szCs w:val="24"/>
        </w:rPr>
        <w:t xml:space="preserve"> e cila</w:t>
      </w:r>
      <w:r w:rsidR="0034419F" w:rsidRPr="005D74FA">
        <w:rPr>
          <w:sz w:val="24"/>
          <w:szCs w:val="24"/>
        </w:rPr>
        <w:t>,</w:t>
      </w:r>
      <w:r w:rsidR="00913E94" w:rsidRPr="005D74FA">
        <w:rPr>
          <w:sz w:val="24"/>
          <w:szCs w:val="24"/>
        </w:rPr>
        <w:t xml:space="preserve"> </w:t>
      </w:r>
      <w:r w:rsidR="004624DB" w:rsidRPr="005D74FA">
        <w:rPr>
          <w:sz w:val="24"/>
          <w:szCs w:val="24"/>
        </w:rPr>
        <w:t xml:space="preserve">me </w:t>
      </w:r>
      <w:r w:rsidR="00F61207" w:rsidRPr="005D74FA">
        <w:rPr>
          <w:sz w:val="24"/>
          <w:szCs w:val="24"/>
        </w:rPr>
        <w:t xml:space="preserve">vendimin nr. 2, datë 12.01.2021, </w:t>
      </w:r>
      <w:r w:rsidRPr="005D74FA">
        <w:rPr>
          <w:sz w:val="24"/>
          <w:szCs w:val="24"/>
        </w:rPr>
        <w:t>ka vendosur rrëzimin e kërkesës</w:t>
      </w:r>
      <w:r w:rsidR="00913E94" w:rsidRPr="005D74FA">
        <w:rPr>
          <w:sz w:val="24"/>
          <w:szCs w:val="24"/>
        </w:rPr>
        <w:t>.</w:t>
      </w:r>
    </w:p>
    <w:p w:rsidR="00F61207" w:rsidRPr="005D74FA" w:rsidRDefault="00C02CDF" w:rsidP="00D376F2">
      <w:pPr>
        <w:pStyle w:val="ListParagraph"/>
        <w:numPr>
          <w:ilvl w:val="0"/>
          <w:numId w:val="1"/>
        </w:numPr>
        <w:tabs>
          <w:tab w:val="left" w:pos="990"/>
        </w:tabs>
        <w:spacing w:line="360" w:lineRule="auto"/>
        <w:ind w:left="0" w:firstLine="720"/>
        <w:rPr>
          <w:sz w:val="24"/>
          <w:szCs w:val="24"/>
        </w:rPr>
      </w:pPr>
      <w:r w:rsidRPr="005D74FA">
        <w:rPr>
          <w:sz w:val="24"/>
          <w:szCs w:val="24"/>
        </w:rPr>
        <w:t>Mbi apelin e</w:t>
      </w:r>
      <w:r w:rsidR="00F61207" w:rsidRPr="005D74FA">
        <w:rPr>
          <w:sz w:val="24"/>
          <w:szCs w:val="24"/>
        </w:rPr>
        <w:t xml:space="preserve"> kërkuesi</w:t>
      </w:r>
      <w:r w:rsidR="00DF7DAE" w:rsidRPr="005D74FA">
        <w:rPr>
          <w:sz w:val="24"/>
          <w:szCs w:val="24"/>
        </w:rPr>
        <w:t>t</w:t>
      </w:r>
      <w:r w:rsidR="00F61207" w:rsidRPr="005D74FA">
        <w:rPr>
          <w:sz w:val="24"/>
          <w:szCs w:val="24"/>
        </w:rPr>
        <w:t xml:space="preserve">, Gjykata e Posaçme e Apelit, me vendimin nr. 63, datë 03.03.2021, ka vendosur: </w:t>
      </w:r>
      <w:r w:rsidR="00F61207" w:rsidRPr="005D74FA">
        <w:rPr>
          <w:i/>
          <w:sz w:val="24"/>
          <w:szCs w:val="24"/>
        </w:rPr>
        <w:t xml:space="preserve">“Miratimin e vendimit nr. 2, datë 12.01.2021 të Gjykatës së Posaçme të Shkallës së </w:t>
      </w:r>
      <w:r w:rsidR="004624DB" w:rsidRPr="005D74FA">
        <w:rPr>
          <w:i/>
          <w:sz w:val="24"/>
          <w:szCs w:val="24"/>
        </w:rPr>
        <w:t>P</w:t>
      </w:r>
      <w:r w:rsidR="00F61207" w:rsidRPr="005D74FA">
        <w:rPr>
          <w:i/>
          <w:sz w:val="24"/>
          <w:szCs w:val="24"/>
        </w:rPr>
        <w:t>arë për Korrupsionin dhe Krimin e Organizuar</w:t>
      </w:r>
      <w:r w:rsidR="0034419F" w:rsidRPr="005D74FA">
        <w:rPr>
          <w:i/>
          <w:sz w:val="24"/>
          <w:szCs w:val="24"/>
        </w:rPr>
        <w:t>.</w:t>
      </w:r>
      <w:r w:rsidR="00F61207" w:rsidRPr="005D74FA">
        <w:rPr>
          <w:i/>
          <w:sz w:val="24"/>
          <w:szCs w:val="24"/>
        </w:rPr>
        <w:t>”</w:t>
      </w:r>
      <w:r w:rsidR="00F61207" w:rsidRPr="005D74FA">
        <w:rPr>
          <w:sz w:val="24"/>
          <w:szCs w:val="24"/>
        </w:rPr>
        <w:t>.</w:t>
      </w:r>
    </w:p>
    <w:p w:rsidR="00F61207" w:rsidRPr="005D74FA" w:rsidRDefault="001C244E" w:rsidP="00D376F2">
      <w:pPr>
        <w:pStyle w:val="ListParagraph"/>
        <w:numPr>
          <w:ilvl w:val="0"/>
          <w:numId w:val="1"/>
        </w:numPr>
        <w:tabs>
          <w:tab w:val="left" w:pos="990"/>
        </w:tabs>
        <w:spacing w:line="360" w:lineRule="auto"/>
        <w:ind w:left="0" w:firstLine="720"/>
        <w:rPr>
          <w:sz w:val="24"/>
          <w:szCs w:val="24"/>
        </w:rPr>
      </w:pPr>
      <w:r w:rsidRPr="005D74FA">
        <w:rPr>
          <w:sz w:val="24"/>
          <w:szCs w:val="24"/>
        </w:rPr>
        <w:t>M</w:t>
      </w:r>
      <w:r w:rsidR="00F61207" w:rsidRPr="005D74FA">
        <w:rPr>
          <w:sz w:val="24"/>
          <w:szCs w:val="24"/>
        </w:rPr>
        <w:t xml:space="preserve">e vendimin nr. 00-2021-360, datë 25.05.2021, Kolegji Penal i Gjykatës së Lartë ka vendosur mospranimin e </w:t>
      </w:r>
      <w:r w:rsidRPr="005D74FA">
        <w:rPr>
          <w:sz w:val="24"/>
          <w:szCs w:val="24"/>
        </w:rPr>
        <w:t>rekursit të paraqitur nga kërkuesi</w:t>
      </w:r>
      <w:r w:rsidR="00DF7DAE" w:rsidRPr="005D74FA">
        <w:rPr>
          <w:sz w:val="24"/>
          <w:szCs w:val="24"/>
        </w:rPr>
        <w:t xml:space="preserve">, </w:t>
      </w:r>
      <w:r w:rsidR="00D376F2" w:rsidRPr="005D74FA">
        <w:rPr>
          <w:sz w:val="24"/>
          <w:szCs w:val="24"/>
        </w:rPr>
        <w:t>pasi</w:t>
      </w:r>
      <w:r w:rsidR="00DF7DAE" w:rsidRPr="005D74FA">
        <w:rPr>
          <w:sz w:val="24"/>
          <w:szCs w:val="24"/>
        </w:rPr>
        <w:t xml:space="preserve"> nuk përmban asnjë nga shkaqet që parashikohen në nenin 432 të Kodit të Procedurës Penale </w:t>
      </w:r>
      <w:r w:rsidR="00DF7DAE" w:rsidRPr="005D74FA">
        <w:rPr>
          <w:i/>
          <w:sz w:val="24"/>
          <w:szCs w:val="24"/>
        </w:rPr>
        <w:t>(KPP)</w:t>
      </w:r>
      <w:r w:rsidR="00DF7DAE" w:rsidRPr="005D74FA">
        <w:rPr>
          <w:sz w:val="24"/>
          <w:szCs w:val="24"/>
        </w:rPr>
        <w:t>.</w:t>
      </w:r>
    </w:p>
    <w:p w:rsidR="00467522" w:rsidRPr="005D74FA" w:rsidRDefault="00467522" w:rsidP="00D376F2">
      <w:pPr>
        <w:pStyle w:val="ListParagraph"/>
        <w:numPr>
          <w:ilvl w:val="0"/>
          <w:numId w:val="1"/>
        </w:numPr>
        <w:tabs>
          <w:tab w:val="left" w:pos="990"/>
        </w:tabs>
        <w:spacing w:line="360" w:lineRule="auto"/>
        <w:ind w:left="0" w:firstLine="720"/>
        <w:rPr>
          <w:sz w:val="24"/>
          <w:szCs w:val="24"/>
        </w:rPr>
      </w:pPr>
      <w:r w:rsidRPr="005D74FA">
        <w:rPr>
          <w:sz w:val="24"/>
          <w:szCs w:val="24"/>
        </w:rPr>
        <w:t xml:space="preserve">Në datën 02.09.2021 kërkuesi i është drejtuar Gjykatës Kushtetuese </w:t>
      </w:r>
      <w:r w:rsidRPr="005D74FA">
        <w:rPr>
          <w:i/>
          <w:sz w:val="24"/>
          <w:szCs w:val="24"/>
        </w:rPr>
        <w:t>(Gjykata)</w:t>
      </w:r>
      <w:r w:rsidRPr="005D74FA">
        <w:rPr>
          <w:sz w:val="24"/>
          <w:szCs w:val="24"/>
        </w:rPr>
        <w:t xml:space="preserve"> me kërkesë sipas objektit.</w:t>
      </w:r>
    </w:p>
    <w:p w:rsidR="00F61207" w:rsidRPr="005D74FA" w:rsidRDefault="00467522" w:rsidP="0051550F">
      <w:pPr>
        <w:pStyle w:val="ListParagraph"/>
        <w:numPr>
          <w:ilvl w:val="0"/>
          <w:numId w:val="1"/>
        </w:numPr>
        <w:tabs>
          <w:tab w:val="left" w:pos="1080"/>
        </w:tabs>
        <w:spacing w:line="360" w:lineRule="auto"/>
        <w:ind w:left="0" w:firstLine="720"/>
        <w:rPr>
          <w:sz w:val="24"/>
          <w:szCs w:val="24"/>
        </w:rPr>
      </w:pPr>
      <w:r w:rsidRPr="005D74FA">
        <w:rPr>
          <w:sz w:val="24"/>
          <w:szCs w:val="24"/>
        </w:rPr>
        <w:t>Në datën 19.10.2021, Kolegji i Gjykatës</w:t>
      </w:r>
      <w:r w:rsidR="002A125B" w:rsidRPr="005D74FA">
        <w:rPr>
          <w:sz w:val="24"/>
          <w:szCs w:val="24"/>
        </w:rPr>
        <w:t>, bazuar në nenin 31 të ligjit nr. 8577/2000,</w:t>
      </w:r>
      <w:r w:rsidRPr="005D74FA">
        <w:rPr>
          <w:sz w:val="24"/>
          <w:szCs w:val="24"/>
        </w:rPr>
        <w:t xml:space="preserve"> ka vendosur kalimin e çështjes për shqyrtim paraprak në Mbledhjen e Gjyqtarëve</w:t>
      </w:r>
      <w:r w:rsidR="002A125B" w:rsidRPr="005D74FA">
        <w:rPr>
          <w:sz w:val="24"/>
          <w:szCs w:val="24"/>
        </w:rPr>
        <w:t>.</w:t>
      </w:r>
      <w:r w:rsidRPr="005D74FA">
        <w:rPr>
          <w:sz w:val="24"/>
          <w:szCs w:val="24"/>
        </w:rPr>
        <w:t xml:space="preserve"> </w:t>
      </w:r>
      <w:r w:rsidR="002A125B" w:rsidRPr="005D74FA">
        <w:rPr>
          <w:sz w:val="24"/>
          <w:szCs w:val="24"/>
        </w:rPr>
        <w:t xml:space="preserve">Kjo e fundit, </w:t>
      </w:r>
      <w:r w:rsidRPr="005D74FA">
        <w:rPr>
          <w:sz w:val="24"/>
          <w:szCs w:val="24"/>
        </w:rPr>
        <w:t>në datën 15.11.2021 ka vendosur kalimin e çështjes për shqyrtim në seancë plenare</w:t>
      </w:r>
      <w:r w:rsidR="009F4EF1" w:rsidRPr="005D74FA">
        <w:rPr>
          <w:sz w:val="24"/>
          <w:szCs w:val="24"/>
        </w:rPr>
        <w:t>,</w:t>
      </w:r>
      <w:r w:rsidRPr="005D74FA">
        <w:rPr>
          <w:sz w:val="24"/>
          <w:szCs w:val="24"/>
        </w:rPr>
        <w:t xml:space="preserve"> mbi bazë dokumentesh.</w:t>
      </w:r>
    </w:p>
    <w:p w:rsidR="00F61207" w:rsidRPr="005D74FA" w:rsidRDefault="00F61207" w:rsidP="00347A06">
      <w:pPr>
        <w:pStyle w:val="Heading1"/>
        <w:tabs>
          <w:tab w:val="left" w:pos="990"/>
        </w:tabs>
      </w:pPr>
      <w:r w:rsidRPr="005D74FA">
        <w:t>II</w:t>
      </w:r>
    </w:p>
    <w:p w:rsidR="00F61207" w:rsidRPr="005D74FA" w:rsidRDefault="00F61207" w:rsidP="00347A06">
      <w:pPr>
        <w:pStyle w:val="Heading1"/>
        <w:tabs>
          <w:tab w:val="left" w:pos="990"/>
        </w:tabs>
      </w:pPr>
      <w:r w:rsidRPr="005D74FA">
        <w:t xml:space="preserve">Pretendimet </w:t>
      </w:r>
      <w:r w:rsidR="00467522" w:rsidRPr="005D74FA">
        <w:t>në Gjykatën Kushtetuese</w:t>
      </w:r>
    </w:p>
    <w:p w:rsidR="00F61207" w:rsidRPr="005D74FA" w:rsidRDefault="00D17FB1" w:rsidP="004A3E0B">
      <w:pPr>
        <w:pStyle w:val="ListParagraph"/>
        <w:numPr>
          <w:ilvl w:val="0"/>
          <w:numId w:val="1"/>
        </w:numPr>
        <w:tabs>
          <w:tab w:val="left" w:pos="1080"/>
        </w:tabs>
        <w:spacing w:line="360" w:lineRule="auto"/>
        <w:ind w:left="0" w:firstLine="720"/>
        <w:rPr>
          <w:sz w:val="24"/>
          <w:szCs w:val="24"/>
        </w:rPr>
      </w:pPr>
      <w:r w:rsidRPr="005D74FA">
        <w:rPr>
          <w:b/>
          <w:i/>
          <w:sz w:val="24"/>
          <w:szCs w:val="24"/>
        </w:rPr>
        <w:t>Kërkuesi</w:t>
      </w:r>
      <w:r w:rsidRPr="005D74FA">
        <w:rPr>
          <w:sz w:val="24"/>
          <w:szCs w:val="24"/>
        </w:rPr>
        <w:t xml:space="preserve"> </w:t>
      </w:r>
      <w:r w:rsidR="00467522" w:rsidRPr="005D74FA">
        <w:rPr>
          <w:sz w:val="24"/>
          <w:szCs w:val="24"/>
        </w:rPr>
        <w:t>pretendon</w:t>
      </w:r>
      <w:r w:rsidR="003A2EAD" w:rsidRPr="005D74FA">
        <w:rPr>
          <w:sz w:val="24"/>
          <w:szCs w:val="24"/>
        </w:rPr>
        <w:t xml:space="preserve"> se i</w:t>
      </w:r>
      <w:r w:rsidRPr="005D74FA">
        <w:rPr>
          <w:sz w:val="24"/>
          <w:szCs w:val="24"/>
        </w:rPr>
        <w:t xml:space="preserve"> </w:t>
      </w:r>
      <w:r w:rsidR="003A2EAD" w:rsidRPr="005D74FA">
        <w:rPr>
          <w:sz w:val="24"/>
          <w:szCs w:val="24"/>
        </w:rPr>
        <w:t xml:space="preserve">është </w:t>
      </w:r>
      <w:r w:rsidRPr="005D74FA">
        <w:rPr>
          <w:sz w:val="24"/>
          <w:szCs w:val="24"/>
        </w:rPr>
        <w:t>cenuar</w:t>
      </w:r>
      <w:r w:rsidR="003A2EAD" w:rsidRPr="005D74FA">
        <w:rPr>
          <w:sz w:val="24"/>
          <w:szCs w:val="24"/>
        </w:rPr>
        <w:t xml:space="preserve"> e drejta për një proces të rregullt ligjor,</w:t>
      </w:r>
      <w:r w:rsidR="003A2EAD" w:rsidRPr="005D74FA">
        <w:rPr>
          <w:i/>
          <w:sz w:val="24"/>
          <w:szCs w:val="24"/>
        </w:rPr>
        <w:t xml:space="preserve"> </w:t>
      </w:r>
      <w:r w:rsidR="00285F68" w:rsidRPr="005D74FA">
        <w:rPr>
          <w:sz w:val="24"/>
          <w:szCs w:val="24"/>
        </w:rPr>
        <w:t xml:space="preserve">e garantuar nga neni 42 i Kushtetutës, </w:t>
      </w:r>
      <w:r w:rsidR="003A2EAD" w:rsidRPr="005D74FA">
        <w:rPr>
          <w:sz w:val="24"/>
          <w:szCs w:val="24"/>
        </w:rPr>
        <w:t xml:space="preserve">në </w:t>
      </w:r>
      <w:r w:rsidR="00860BFB" w:rsidRPr="005D74FA">
        <w:rPr>
          <w:sz w:val="24"/>
          <w:szCs w:val="24"/>
        </w:rPr>
        <w:t xml:space="preserve">drejtim </w:t>
      </w:r>
      <w:r w:rsidR="003A2EAD" w:rsidRPr="005D74FA">
        <w:rPr>
          <w:sz w:val="24"/>
          <w:szCs w:val="24"/>
        </w:rPr>
        <w:t>të</w:t>
      </w:r>
      <w:r w:rsidR="00285F68" w:rsidRPr="005D74FA">
        <w:rPr>
          <w:sz w:val="24"/>
          <w:szCs w:val="24"/>
        </w:rPr>
        <w:t xml:space="preserve"> aspekteve të mëposhtme</w:t>
      </w:r>
      <w:r w:rsidR="003A2EAD" w:rsidRPr="005D74FA">
        <w:rPr>
          <w:sz w:val="24"/>
          <w:szCs w:val="24"/>
        </w:rPr>
        <w:t>:</w:t>
      </w:r>
    </w:p>
    <w:p w:rsidR="00F96956" w:rsidRPr="005D74FA" w:rsidRDefault="00285F68" w:rsidP="00F96956">
      <w:pPr>
        <w:pStyle w:val="ListParagraph"/>
        <w:numPr>
          <w:ilvl w:val="0"/>
          <w:numId w:val="2"/>
        </w:numPr>
        <w:tabs>
          <w:tab w:val="left" w:pos="1260"/>
        </w:tabs>
        <w:spacing w:line="360" w:lineRule="auto"/>
        <w:ind w:left="1170" w:hanging="450"/>
        <w:rPr>
          <w:sz w:val="24"/>
          <w:szCs w:val="24"/>
        </w:rPr>
      </w:pPr>
      <w:r w:rsidRPr="005D74FA">
        <w:rPr>
          <w:i/>
          <w:sz w:val="24"/>
          <w:szCs w:val="24"/>
        </w:rPr>
        <w:t>E</w:t>
      </w:r>
      <w:r w:rsidR="00DF7DAE" w:rsidRPr="005D74FA">
        <w:rPr>
          <w:i/>
          <w:sz w:val="24"/>
          <w:szCs w:val="24"/>
        </w:rPr>
        <w:t xml:space="preserve"> </w:t>
      </w:r>
      <w:r w:rsidRPr="005D74FA">
        <w:rPr>
          <w:i/>
          <w:sz w:val="24"/>
          <w:szCs w:val="24"/>
        </w:rPr>
        <w:t>drejta</w:t>
      </w:r>
      <w:r w:rsidR="00DF7DAE" w:rsidRPr="005D74FA">
        <w:rPr>
          <w:i/>
          <w:sz w:val="24"/>
          <w:szCs w:val="24"/>
        </w:rPr>
        <w:t xml:space="preserve"> </w:t>
      </w:r>
      <w:r w:rsidRPr="005D74FA">
        <w:rPr>
          <w:i/>
          <w:sz w:val="24"/>
          <w:szCs w:val="24"/>
        </w:rPr>
        <w:t>e</w:t>
      </w:r>
      <w:r w:rsidR="00DF7DAE" w:rsidRPr="005D74FA">
        <w:rPr>
          <w:i/>
          <w:sz w:val="24"/>
          <w:szCs w:val="24"/>
        </w:rPr>
        <w:t xml:space="preserve"> </w:t>
      </w:r>
      <w:r w:rsidR="00C02CDF" w:rsidRPr="005D74FA">
        <w:rPr>
          <w:i/>
          <w:sz w:val="24"/>
          <w:szCs w:val="24"/>
        </w:rPr>
        <w:t>mbrojtjes</w:t>
      </w:r>
      <w:r w:rsidR="00DF7DAE" w:rsidRPr="005D74FA">
        <w:rPr>
          <w:i/>
          <w:sz w:val="24"/>
          <w:szCs w:val="24"/>
        </w:rPr>
        <w:t xml:space="preserve">, </w:t>
      </w:r>
      <w:r w:rsidR="00DF7DAE" w:rsidRPr="005D74FA">
        <w:rPr>
          <w:sz w:val="24"/>
          <w:szCs w:val="24"/>
        </w:rPr>
        <w:t>pasi</w:t>
      </w:r>
      <w:r w:rsidR="00DF7DAE" w:rsidRPr="005D74FA">
        <w:rPr>
          <w:i/>
          <w:sz w:val="24"/>
          <w:szCs w:val="24"/>
        </w:rPr>
        <w:t xml:space="preserve"> </w:t>
      </w:r>
      <w:r w:rsidR="00DF7DAE" w:rsidRPr="005D74FA">
        <w:rPr>
          <w:sz w:val="24"/>
          <w:szCs w:val="24"/>
        </w:rPr>
        <w:t>u</w:t>
      </w:r>
      <w:r w:rsidR="00394952" w:rsidRPr="005D74FA">
        <w:rPr>
          <w:sz w:val="24"/>
          <w:szCs w:val="24"/>
        </w:rPr>
        <w:t>rdhri</w:t>
      </w:r>
      <w:r w:rsidR="00000B2E" w:rsidRPr="005D74FA">
        <w:rPr>
          <w:sz w:val="24"/>
          <w:szCs w:val="24"/>
        </w:rPr>
        <w:t xml:space="preserve"> </w:t>
      </w:r>
      <w:r w:rsidR="00432376" w:rsidRPr="005D74FA">
        <w:rPr>
          <w:sz w:val="24"/>
          <w:szCs w:val="24"/>
        </w:rPr>
        <w:t>nr. 253</w:t>
      </w:r>
      <w:r w:rsidR="004624DB" w:rsidRPr="005D74FA">
        <w:rPr>
          <w:sz w:val="24"/>
          <w:szCs w:val="24"/>
        </w:rPr>
        <w:t>/2020</w:t>
      </w:r>
      <w:r w:rsidR="00394952" w:rsidRPr="005D74FA">
        <w:rPr>
          <w:sz w:val="24"/>
          <w:szCs w:val="24"/>
        </w:rPr>
        <w:t xml:space="preserve">, përmes të cilit </w:t>
      </w:r>
      <w:r w:rsidR="00965F58" w:rsidRPr="005D74FA">
        <w:rPr>
          <w:sz w:val="24"/>
          <w:szCs w:val="24"/>
        </w:rPr>
        <w:t xml:space="preserve">ai </w:t>
      </w:r>
      <w:r w:rsidR="00394952" w:rsidRPr="005D74FA">
        <w:rPr>
          <w:sz w:val="24"/>
          <w:szCs w:val="24"/>
        </w:rPr>
        <w:t xml:space="preserve">është vendosur në regjimin e </w:t>
      </w:r>
      <w:r w:rsidR="00F104AE" w:rsidRPr="005D74FA">
        <w:rPr>
          <w:sz w:val="24"/>
          <w:szCs w:val="24"/>
        </w:rPr>
        <w:t>posaçëm në burg</w:t>
      </w:r>
      <w:r w:rsidR="00394952" w:rsidRPr="005D74FA">
        <w:rPr>
          <w:sz w:val="24"/>
          <w:szCs w:val="24"/>
        </w:rPr>
        <w:t xml:space="preserve"> të sigurisë së lartë, është bazuar në katër shkre</w:t>
      </w:r>
      <w:r w:rsidR="00542624" w:rsidRPr="005D74FA">
        <w:rPr>
          <w:sz w:val="24"/>
          <w:szCs w:val="24"/>
        </w:rPr>
        <w:t>sa të institucioneve shtetërore</w:t>
      </w:r>
      <w:r w:rsidR="00394952" w:rsidRPr="005D74FA">
        <w:rPr>
          <w:sz w:val="24"/>
          <w:szCs w:val="24"/>
        </w:rPr>
        <w:t xml:space="preserve"> </w:t>
      </w:r>
      <w:r w:rsidR="00965F58" w:rsidRPr="005D74FA">
        <w:rPr>
          <w:sz w:val="24"/>
          <w:szCs w:val="24"/>
        </w:rPr>
        <w:t>të klasifikuara si të nivelit “sekret” dhe “i kufizuar”</w:t>
      </w:r>
      <w:r w:rsidR="00394952" w:rsidRPr="005D74FA">
        <w:rPr>
          <w:sz w:val="24"/>
          <w:szCs w:val="24"/>
        </w:rPr>
        <w:t xml:space="preserve"> </w:t>
      </w:r>
      <w:r w:rsidR="00965F58" w:rsidRPr="005D74FA">
        <w:rPr>
          <w:sz w:val="24"/>
          <w:szCs w:val="24"/>
        </w:rPr>
        <w:t xml:space="preserve">nga </w:t>
      </w:r>
      <w:r w:rsidR="00394952" w:rsidRPr="005D74FA">
        <w:rPr>
          <w:sz w:val="24"/>
          <w:szCs w:val="24"/>
        </w:rPr>
        <w:t>ligji nr. 8457, datë 11.02.19</w:t>
      </w:r>
      <w:r w:rsidR="004E7209" w:rsidRPr="005D74FA">
        <w:rPr>
          <w:sz w:val="24"/>
          <w:szCs w:val="24"/>
        </w:rPr>
        <w:t>9</w:t>
      </w:r>
      <w:r w:rsidR="00394952" w:rsidRPr="005D74FA">
        <w:rPr>
          <w:sz w:val="24"/>
          <w:szCs w:val="24"/>
        </w:rPr>
        <w:t>9 “Për informacionin e klasifikuar “sekret shtetëror””, i ndryshuar</w:t>
      </w:r>
      <w:r w:rsidR="00A05E8E" w:rsidRPr="005D74FA">
        <w:rPr>
          <w:sz w:val="24"/>
          <w:szCs w:val="24"/>
        </w:rPr>
        <w:t xml:space="preserve"> </w:t>
      </w:r>
      <w:r w:rsidR="00A05E8E" w:rsidRPr="005D74FA">
        <w:rPr>
          <w:i/>
          <w:sz w:val="24"/>
          <w:szCs w:val="24"/>
        </w:rPr>
        <w:t>(ligji nr. 8457/1999)</w:t>
      </w:r>
      <w:r w:rsidR="0088719E" w:rsidRPr="005D74FA">
        <w:rPr>
          <w:i/>
          <w:sz w:val="24"/>
          <w:szCs w:val="24"/>
        </w:rPr>
        <w:t xml:space="preserve"> </w:t>
      </w:r>
      <w:r w:rsidR="0088719E" w:rsidRPr="005D74FA">
        <w:rPr>
          <w:sz w:val="24"/>
          <w:szCs w:val="24"/>
        </w:rPr>
        <w:t xml:space="preserve">me përmbajtjen e të cilave </w:t>
      </w:r>
      <w:r w:rsidR="00F2368B" w:rsidRPr="005D74FA">
        <w:rPr>
          <w:sz w:val="24"/>
          <w:szCs w:val="24"/>
        </w:rPr>
        <w:t xml:space="preserve">nuk </w:t>
      </w:r>
      <w:r w:rsidR="00D3692E" w:rsidRPr="005D74FA">
        <w:rPr>
          <w:sz w:val="24"/>
          <w:szCs w:val="24"/>
        </w:rPr>
        <w:t>është</w:t>
      </w:r>
      <w:r w:rsidR="00282479" w:rsidRPr="005D74FA">
        <w:rPr>
          <w:sz w:val="24"/>
          <w:szCs w:val="24"/>
        </w:rPr>
        <w:t xml:space="preserve"> njohur</w:t>
      </w:r>
      <w:r w:rsidR="000B77E1" w:rsidRPr="005D74FA">
        <w:rPr>
          <w:sz w:val="24"/>
          <w:szCs w:val="24"/>
        </w:rPr>
        <w:t xml:space="preserve"> as ai </w:t>
      </w:r>
      <w:r w:rsidR="00063BC2" w:rsidRPr="005D74FA">
        <w:rPr>
          <w:sz w:val="24"/>
          <w:szCs w:val="24"/>
        </w:rPr>
        <w:t>dh</w:t>
      </w:r>
      <w:r w:rsidR="000B77E1" w:rsidRPr="005D74FA">
        <w:rPr>
          <w:sz w:val="24"/>
          <w:szCs w:val="24"/>
        </w:rPr>
        <w:t>e as gjykatat</w:t>
      </w:r>
      <w:r w:rsidR="00FF4297" w:rsidRPr="005D74FA">
        <w:rPr>
          <w:sz w:val="24"/>
          <w:szCs w:val="24"/>
        </w:rPr>
        <w:t>.</w:t>
      </w:r>
      <w:r w:rsidR="0088719E" w:rsidRPr="005D74FA">
        <w:rPr>
          <w:sz w:val="24"/>
          <w:szCs w:val="24"/>
        </w:rPr>
        <w:t xml:space="preserve"> </w:t>
      </w:r>
      <w:r w:rsidR="00F96956" w:rsidRPr="005D74FA">
        <w:rPr>
          <w:sz w:val="24"/>
          <w:szCs w:val="24"/>
        </w:rPr>
        <w:t>Gjykata e Lartë, ndërsa pranon se palët në gjykim kanë të drejtë të njihen me aktet shkresore, provat dhe faktet që administrohen n</w:t>
      </w:r>
      <w:r w:rsidR="00621B06" w:rsidRPr="005D74FA">
        <w:rPr>
          <w:sz w:val="24"/>
          <w:szCs w:val="24"/>
        </w:rPr>
        <w:t>ë proces, në mënyrë paradoksale</w:t>
      </w:r>
      <w:r w:rsidR="00F96956" w:rsidRPr="005D74FA">
        <w:rPr>
          <w:sz w:val="24"/>
          <w:szCs w:val="24"/>
        </w:rPr>
        <w:t xml:space="preserve"> </w:t>
      </w:r>
      <w:r w:rsidR="00E4669C" w:rsidRPr="005D74FA">
        <w:rPr>
          <w:sz w:val="24"/>
          <w:szCs w:val="24"/>
        </w:rPr>
        <w:t xml:space="preserve">ka </w:t>
      </w:r>
      <w:r w:rsidR="00F96956" w:rsidRPr="005D74FA">
        <w:rPr>
          <w:sz w:val="24"/>
          <w:szCs w:val="24"/>
        </w:rPr>
        <w:t>vendos</w:t>
      </w:r>
      <w:r w:rsidR="00E4669C" w:rsidRPr="005D74FA">
        <w:rPr>
          <w:sz w:val="24"/>
          <w:szCs w:val="24"/>
        </w:rPr>
        <w:t>ur</w:t>
      </w:r>
      <w:r w:rsidR="00F96956" w:rsidRPr="005D74FA">
        <w:rPr>
          <w:sz w:val="24"/>
          <w:szCs w:val="24"/>
        </w:rPr>
        <w:t xml:space="preserve"> për mospranimin e rekursit.</w:t>
      </w:r>
    </w:p>
    <w:p w:rsidR="00F96956" w:rsidRPr="005D74FA" w:rsidRDefault="00285F68" w:rsidP="00F96956">
      <w:pPr>
        <w:pStyle w:val="ListParagraph"/>
        <w:numPr>
          <w:ilvl w:val="0"/>
          <w:numId w:val="2"/>
        </w:numPr>
        <w:tabs>
          <w:tab w:val="left" w:pos="1260"/>
        </w:tabs>
        <w:spacing w:line="360" w:lineRule="auto"/>
        <w:ind w:left="1170" w:hanging="450"/>
        <w:rPr>
          <w:sz w:val="24"/>
          <w:szCs w:val="24"/>
        </w:rPr>
      </w:pPr>
      <w:r w:rsidRPr="005D74FA">
        <w:rPr>
          <w:i/>
          <w:sz w:val="24"/>
          <w:szCs w:val="24"/>
        </w:rPr>
        <w:t>E drejta</w:t>
      </w:r>
      <w:r w:rsidR="00C02CDF" w:rsidRPr="005D74FA">
        <w:rPr>
          <w:i/>
          <w:sz w:val="24"/>
          <w:szCs w:val="24"/>
        </w:rPr>
        <w:t xml:space="preserve"> </w:t>
      </w:r>
      <w:r w:rsidRPr="005D74FA">
        <w:rPr>
          <w:i/>
          <w:sz w:val="24"/>
          <w:szCs w:val="24"/>
        </w:rPr>
        <w:t>e</w:t>
      </w:r>
      <w:r w:rsidR="00C02CDF" w:rsidRPr="005D74FA">
        <w:rPr>
          <w:i/>
          <w:sz w:val="24"/>
          <w:szCs w:val="24"/>
        </w:rPr>
        <w:t xml:space="preserve"> </w:t>
      </w:r>
      <w:proofErr w:type="spellStart"/>
      <w:r w:rsidR="00C02CDF" w:rsidRPr="005D74FA">
        <w:rPr>
          <w:i/>
          <w:sz w:val="24"/>
          <w:szCs w:val="24"/>
        </w:rPr>
        <w:t>aksesit</w:t>
      </w:r>
      <w:proofErr w:type="spellEnd"/>
      <w:r w:rsidR="00C02CDF" w:rsidRPr="005D74FA">
        <w:rPr>
          <w:i/>
          <w:sz w:val="24"/>
          <w:szCs w:val="24"/>
        </w:rPr>
        <w:t xml:space="preserve">, </w:t>
      </w:r>
      <w:r w:rsidR="008174C8" w:rsidRPr="005D74FA">
        <w:rPr>
          <w:sz w:val="24"/>
          <w:szCs w:val="24"/>
        </w:rPr>
        <w:t xml:space="preserve">për shkak të pamundësisë </w:t>
      </w:r>
      <w:r w:rsidR="00F246A9" w:rsidRPr="005D74FA">
        <w:rPr>
          <w:sz w:val="24"/>
          <w:szCs w:val="24"/>
        </w:rPr>
        <w:t>për t’u njohur</w:t>
      </w:r>
      <w:r w:rsidR="008174C8" w:rsidRPr="005D74FA">
        <w:rPr>
          <w:sz w:val="24"/>
          <w:szCs w:val="24"/>
        </w:rPr>
        <w:t xml:space="preserve"> me </w:t>
      </w:r>
      <w:r w:rsidR="00F246A9" w:rsidRPr="005D74FA">
        <w:rPr>
          <w:sz w:val="24"/>
          <w:szCs w:val="24"/>
        </w:rPr>
        <w:t>këto akte</w:t>
      </w:r>
      <w:r w:rsidR="00B83CE4" w:rsidRPr="005D74FA">
        <w:rPr>
          <w:sz w:val="24"/>
          <w:szCs w:val="24"/>
        </w:rPr>
        <w:t>, të cilat n</w:t>
      </w:r>
      <w:r w:rsidR="00F31418" w:rsidRPr="005D74FA">
        <w:rPr>
          <w:sz w:val="24"/>
          <w:szCs w:val="24"/>
        </w:rPr>
        <w:t xml:space="preserve">uk </w:t>
      </w:r>
      <w:r w:rsidR="00B83CE4" w:rsidRPr="005D74FA">
        <w:rPr>
          <w:sz w:val="24"/>
          <w:szCs w:val="24"/>
        </w:rPr>
        <w:t xml:space="preserve">janë shqyrtuar as </w:t>
      </w:r>
      <w:r w:rsidR="00063BC2" w:rsidRPr="005D74FA">
        <w:rPr>
          <w:sz w:val="24"/>
          <w:szCs w:val="24"/>
        </w:rPr>
        <w:t>nga gjykatat</w:t>
      </w:r>
      <w:r w:rsidR="0069227F" w:rsidRPr="005D74FA">
        <w:rPr>
          <w:sz w:val="24"/>
          <w:szCs w:val="24"/>
        </w:rPr>
        <w:t>, qoftë edhe pjesërisht, për të vlerësuar ndërhyrjen e veprimtarisë shtetërore</w:t>
      </w:r>
      <w:r w:rsidR="000B77E1" w:rsidRPr="005D74FA">
        <w:rPr>
          <w:sz w:val="24"/>
          <w:szCs w:val="24"/>
        </w:rPr>
        <w:t xml:space="preserve"> në sferën private të individit</w:t>
      </w:r>
      <w:r w:rsidR="0069227F" w:rsidRPr="005D74FA">
        <w:rPr>
          <w:sz w:val="24"/>
          <w:szCs w:val="24"/>
        </w:rPr>
        <w:t xml:space="preserve">. </w:t>
      </w:r>
      <w:r w:rsidR="00DF2B4E" w:rsidRPr="005D74FA">
        <w:rPr>
          <w:sz w:val="24"/>
          <w:szCs w:val="24"/>
        </w:rPr>
        <w:t xml:space="preserve">Pavarësisht se fillimisht </w:t>
      </w:r>
      <w:r w:rsidR="00063BC2" w:rsidRPr="005D74FA">
        <w:rPr>
          <w:sz w:val="24"/>
          <w:szCs w:val="24"/>
        </w:rPr>
        <w:t xml:space="preserve">Gjykata e Posaçme e Shkallës së Parë </w:t>
      </w:r>
      <w:r w:rsidR="00DF2B4E" w:rsidRPr="005D74FA">
        <w:rPr>
          <w:sz w:val="24"/>
          <w:szCs w:val="24"/>
        </w:rPr>
        <w:t>ka vlerësuar marrjen nga Ministria e Drejtësisë të dokumentac</w:t>
      </w:r>
      <w:r w:rsidR="000B77E1" w:rsidRPr="005D74FA">
        <w:rPr>
          <w:sz w:val="24"/>
          <w:szCs w:val="24"/>
        </w:rPr>
        <w:t xml:space="preserve">ionit të nevojshëm në funksion </w:t>
      </w:r>
      <w:r w:rsidR="00DF2B4E" w:rsidRPr="005D74FA">
        <w:rPr>
          <w:sz w:val="24"/>
          <w:szCs w:val="24"/>
        </w:rPr>
        <w:t xml:space="preserve">kërkesës së </w:t>
      </w:r>
      <w:r w:rsidR="00970466" w:rsidRPr="005D74FA">
        <w:rPr>
          <w:sz w:val="24"/>
          <w:szCs w:val="24"/>
        </w:rPr>
        <w:t>tij</w:t>
      </w:r>
      <w:r w:rsidR="00DF2B4E" w:rsidRPr="005D74FA">
        <w:rPr>
          <w:sz w:val="24"/>
          <w:szCs w:val="24"/>
        </w:rPr>
        <w:t xml:space="preserve"> për kundërshtimin e urdhrit nr. 253/2020, me vendim të ndërmjetëm ka vendosur revokimin e vendimit të saj për kërkimin e këtij dokumentacioni</w:t>
      </w:r>
      <w:r w:rsidR="00FA6E21" w:rsidRPr="005D74FA">
        <w:rPr>
          <w:sz w:val="24"/>
          <w:szCs w:val="24"/>
        </w:rPr>
        <w:t>,</w:t>
      </w:r>
      <w:r w:rsidR="00DF2B4E" w:rsidRPr="005D74FA">
        <w:rPr>
          <w:sz w:val="24"/>
          <w:szCs w:val="24"/>
        </w:rPr>
        <w:t xml:space="preserve"> me arsyetimin se aktet janë të klasifikuara “sekret” dhe se ajo nuk ishte e certifikuar për t’u njohur me to.</w:t>
      </w:r>
      <w:r w:rsidR="0012235E" w:rsidRPr="005D74FA">
        <w:rPr>
          <w:sz w:val="24"/>
          <w:szCs w:val="24"/>
        </w:rPr>
        <w:t xml:space="preserve"> </w:t>
      </w:r>
      <w:r w:rsidR="00F96956" w:rsidRPr="005D74FA">
        <w:rPr>
          <w:sz w:val="24"/>
          <w:szCs w:val="24"/>
        </w:rPr>
        <w:t xml:space="preserve">Klasifikimi i akteve si “sekret” dhe “i kufizuar” është bërë në kundërshtim me parashikimet e ligjit nr. 8457/1999. Vendosja e kërkuesit në regjimin e posaçëm të ushtrimit të </w:t>
      </w:r>
      <w:proofErr w:type="spellStart"/>
      <w:r w:rsidR="00F96956" w:rsidRPr="005D74FA">
        <w:rPr>
          <w:sz w:val="24"/>
          <w:szCs w:val="24"/>
        </w:rPr>
        <w:t>të</w:t>
      </w:r>
      <w:proofErr w:type="spellEnd"/>
      <w:r w:rsidR="00F96956" w:rsidRPr="005D74FA">
        <w:rPr>
          <w:sz w:val="24"/>
          <w:szCs w:val="24"/>
        </w:rPr>
        <w:t xml:space="preserve"> drejtave në burg të sigurisë së lartë është bërë</w:t>
      </w:r>
      <w:r w:rsidR="00795009" w:rsidRPr="005D74FA">
        <w:rPr>
          <w:sz w:val="24"/>
          <w:szCs w:val="24"/>
        </w:rPr>
        <w:t>,</w:t>
      </w:r>
      <w:r w:rsidR="00F96956" w:rsidRPr="005D74FA">
        <w:rPr>
          <w:sz w:val="24"/>
          <w:szCs w:val="24"/>
        </w:rPr>
        <w:t xml:space="preserve"> pasi, sipas  informacioneve të agjencive </w:t>
      </w:r>
      <w:proofErr w:type="spellStart"/>
      <w:r w:rsidR="00F96956" w:rsidRPr="005D74FA">
        <w:rPr>
          <w:sz w:val="24"/>
          <w:szCs w:val="24"/>
        </w:rPr>
        <w:t>ligjzbatuese</w:t>
      </w:r>
      <w:proofErr w:type="spellEnd"/>
      <w:r w:rsidR="00F96956" w:rsidRPr="005D74FA">
        <w:rPr>
          <w:sz w:val="24"/>
          <w:szCs w:val="24"/>
        </w:rPr>
        <w:t>, ai “mban komunikime/kontakte me organizatën kriminale ku bën pjesë dhe me organizata të tjera, si dhe me të paraburgosuri</w:t>
      </w:r>
      <w:r w:rsidR="00795009" w:rsidRPr="005D74FA">
        <w:rPr>
          <w:sz w:val="24"/>
          <w:szCs w:val="24"/>
        </w:rPr>
        <w:t>t e tjerë, të cilët i përkasin s</w:t>
      </w:r>
      <w:r w:rsidR="00F96956" w:rsidRPr="005D74FA">
        <w:rPr>
          <w:sz w:val="24"/>
          <w:szCs w:val="24"/>
        </w:rPr>
        <w:t>ë njëjtës organizatë dhe organizatave të tjera, me të cilat bashkëpunojnë” dhe jo për mbrojtjen e pavarësisë, integritetit territorial, rendit kushtetues dhe marrëdhënieve me jashtë të Republikës së Shqipërisë, siç kërkon ligji nr. 8457/1999.</w:t>
      </w:r>
    </w:p>
    <w:p w:rsidR="00DF2B4E" w:rsidRPr="005D74FA" w:rsidRDefault="00DF2B4E" w:rsidP="00063BC2">
      <w:pPr>
        <w:pStyle w:val="ListParagraph"/>
        <w:numPr>
          <w:ilvl w:val="0"/>
          <w:numId w:val="2"/>
        </w:numPr>
        <w:tabs>
          <w:tab w:val="left" w:pos="1260"/>
        </w:tabs>
        <w:spacing w:line="360" w:lineRule="auto"/>
        <w:ind w:left="1170" w:hanging="450"/>
        <w:rPr>
          <w:sz w:val="24"/>
          <w:szCs w:val="24"/>
        </w:rPr>
      </w:pPr>
      <w:r w:rsidRPr="005D74FA">
        <w:rPr>
          <w:i/>
          <w:sz w:val="24"/>
          <w:szCs w:val="24"/>
        </w:rPr>
        <w:t>Barazi</w:t>
      </w:r>
      <w:r w:rsidR="00285F68" w:rsidRPr="005D74FA">
        <w:rPr>
          <w:i/>
          <w:sz w:val="24"/>
          <w:szCs w:val="24"/>
        </w:rPr>
        <w:t>a</w:t>
      </w:r>
      <w:r w:rsidRPr="005D74FA">
        <w:rPr>
          <w:i/>
          <w:sz w:val="24"/>
          <w:szCs w:val="24"/>
        </w:rPr>
        <w:t xml:space="preserve"> </w:t>
      </w:r>
      <w:r w:rsidR="00285F68" w:rsidRPr="005D74FA">
        <w:rPr>
          <w:i/>
          <w:sz w:val="24"/>
          <w:szCs w:val="24"/>
        </w:rPr>
        <w:t>e</w:t>
      </w:r>
      <w:r w:rsidRPr="005D74FA">
        <w:rPr>
          <w:i/>
          <w:sz w:val="24"/>
          <w:szCs w:val="24"/>
        </w:rPr>
        <w:t xml:space="preserve"> armëve dhe </w:t>
      </w:r>
      <w:proofErr w:type="spellStart"/>
      <w:r w:rsidRPr="005D74FA">
        <w:rPr>
          <w:i/>
          <w:sz w:val="24"/>
          <w:szCs w:val="24"/>
        </w:rPr>
        <w:t>kontradiktoriteti</w:t>
      </w:r>
      <w:proofErr w:type="spellEnd"/>
      <w:r w:rsidR="00840D75" w:rsidRPr="005D74FA">
        <w:rPr>
          <w:sz w:val="24"/>
          <w:szCs w:val="24"/>
        </w:rPr>
        <w:t>, pasi u</w:t>
      </w:r>
      <w:r w:rsidR="0012235E" w:rsidRPr="005D74FA">
        <w:rPr>
          <w:sz w:val="24"/>
          <w:szCs w:val="24"/>
        </w:rPr>
        <w:t>rdhri nr. 253/2020</w:t>
      </w:r>
      <w:r w:rsidR="0012235E" w:rsidRPr="005D74FA">
        <w:rPr>
          <w:i/>
          <w:sz w:val="24"/>
          <w:szCs w:val="24"/>
        </w:rPr>
        <w:t xml:space="preserve"> </w:t>
      </w:r>
      <w:r w:rsidR="0012235E" w:rsidRPr="005D74FA">
        <w:rPr>
          <w:sz w:val="24"/>
          <w:szCs w:val="24"/>
        </w:rPr>
        <w:t xml:space="preserve">është </w:t>
      </w:r>
      <w:r w:rsidR="00285F68" w:rsidRPr="005D74FA">
        <w:rPr>
          <w:sz w:val="24"/>
          <w:szCs w:val="24"/>
        </w:rPr>
        <w:t>nxjerrë</w:t>
      </w:r>
      <w:r w:rsidR="0012235E" w:rsidRPr="005D74FA">
        <w:rPr>
          <w:sz w:val="24"/>
          <w:szCs w:val="24"/>
        </w:rPr>
        <w:t xml:space="preserve"> me qëllimin e vetëm për t’i mohuar </w:t>
      </w:r>
      <w:r w:rsidR="00795009" w:rsidRPr="005D74FA">
        <w:rPr>
          <w:sz w:val="24"/>
          <w:szCs w:val="24"/>
        </w:rPr>
        <w:t xml:space="preserve">atij </w:t>
      </w:r>
      <w:r w:rsidR="0012235E" w:rsidRPr="005D74FA">
        <w:rPr>
          <w:sz w:val="24"/>
          <w:szCs w:val="24"/>
        </w:rPr>
        <w:t>të drejtën për t’u njohur me aktet dhe për t’i kundërshtuar ato</w:t>
      </w:r>
      <w:r w:rsidR="00720FDA" w:rsidRPr="005D74FA">
        <w:rPr>
          <w:sz w:val="24"/>
          <w:szCs w:val="24"/>
        </w:rPr>
        <w:t>.</w:t>
      </w:r>
      <w:r w:rsidR="0012235E" w:rsidRPr="005D74FA">
        <w:rPr>
          <w:sz w:val="24"/>
          <w:szCs w:val="24"/>
        </w:rPr>
        <w:t xml:space="preserve"> Kufizimi i</w:t>
      </w:r>
      <w:r w:rsidR="00083B19" w:rsidRPr="005D74FA">
        <w:rPr>
          <w:sz w:val="24"/>
          <w:szCs w:val="24"/>
        </w:rPr>
        <w:t xml:space="preserve"> s</w:t>
      </w:r>
      <w:r w:rsidR="00285F68" w:rsidRPr="005D74FA">
        <w:rPr>
          <w:sz w:val="24"/>
          <w:szCs w:val="24"/>
        </w:rPr>
        <w:t>ë drejtës për t’u njohur me aktet</w:t>
      </w:r>
      <w:r w:rsidR="0012235E" w:rsidRPr="005D74FA">
        <w:rPr>
          <w:sz w:val="24"/>
          <w:szCs w:val="24"/>
        </w:rPr>
        <w:t xml:space="preserve"> mund të bëhet vetëm nëse nuk cenon të drejtën e mbrojtjes në atë masë sa ta bëjë atë joefektive. Gjykata e Posaçme e Shkallës së Parë</w:t>
      </w:r>
      <w:r w:rsidRPr="005D74FA">
        <w:rPr>
          <w:sz w:val="24"/>
          <w:szCs w:val="24"/>
        </w:rPr>
        <w:t xml:space="preserve"> nuk mori asnjë masë </w:t>
      </w:r>
      <w:r w:rsidR="00282479" w:rsidRPr="005D74FA">
        <w:rPr>
          <w:sz w:val="24"/>
          <w:szCs w:val="24"/>
        </w:rPr>
        <w:t xml:space="preserve">për të garantuar </w:t>
      </w:r>
      <w:proofErr w:type="spellStart"/>
      <w:r w:rsidR="00282479" w:rsidRPr="005D74FA">
        <w:rPr>
          <w:sz w:val="24"/>
          <w:szCs w:val="24"/>
        </w:rPr>
        <w:t>aksesin</w:t>
      </w:r>
      <w:proofErr w:type="spellEnd"/>
      <w:r w:rsidR="00282479" w:rsidRPr="005D74FA">
        <w:rPr>
          <w:sz w:val="24"/>
          <w:szCs w:val="24"/>
        </w:rPr>
        <w:t xml:space="preserve"> në informacione</w:t>
      </w:r>
      <w:r w:rsidR="003238BB" w:rsidRPr="005D74FA">
        <w:rPr>
          <w:sz w:val="24"/>
          <w:szCs w:val="24"/>
        </w:rPr>
        <w:t>t mbi të cilat është bazuar urdhri nr. 253/2020</w:t>
      </w:r>
      <w:r w:rsidR="00282479" w:rsidRPr="005D74FA">
        <w:rPr>
          <w:sz w:val="24"/>
          <w:szCs w:val="24"/>
        </w:rPr>
        <w:t xml:space="preserve">, </w:t>
      </w:r>
      <w:r w:rsidR="00F96956" w:rsidRPr="005D74FA">
        <w:rPr>
          <w:sz w:val="24"/>
          <w:szCs w:val="24"/>
        </w:rPr>
        <w:t>duke shkelur parimin e barazisë së armë</w:t>
      </w:r>
      <w:r w:rsidR="00F17D93" w:rsidRPr="005D74FA">
        <w:rPr>
          <w:sz w:val="24"/>
          <w:szCs w:val="24"/>
        </w:rPr>
        <w:t xml:space="preserve">ve dhe kontradiktoritetit, </w:t>
      </w:r>
      <w:r w:rsidR="00F96956" w:rsidRPr="005D74FA">
        <w:rPr>
          <w:sz w:val="24"/>
          <w:szCs w:val="24"/>
        </w:rPr>
        <w:t xml:space="preserve">si dhe </w:t>
      </w:r>
      <w:r w:rsidRPr="005D74FA">
        <w:rPr>
          <w:sz w:val="24"/>
          <w:szCs w:val="24"/>
        </w:rPr>
        <w:t xml:space="preserve">duke e privuar kërkuesin nga e drejta e mbrojtjes. </w:t>
      </w:r>
      <w:r w:rsidR="001C0644" w:rsidRPr="005D74FA">
        <w:rPr>
          <w:sz w:val="24"/>
          <w:szCs w:val="24"/>
        </w:rPr>
        <w:t>U</w:t>
      </w:r>
      <w:r w:rsidR="00F96956" w:rsidRPr="005D74FA">
        <w:rPr>
          <w:sz w:val="24"/>
          <w:szCs w:val="24"/>
        </w:rPr>
        <w:t>r</w:t>
      </w:r>
      <w:r w:rsidR="001C0644" w:rsidRPr="005D74FA">
        <w:rPr>
          <w:sz w:val="24"/>
          <w:szCs w:val="24"/>
        </w:rPr>
        <w:t>dhri</w:t>
      </w:r>
      <w:r w:rsidR="00F96956" w:rsidRPr="005D74FA">
        <w:rPr>
          <w:sz w:val="24"/>
          <w:szCs w:val="24"/>
        </w:rPr>
        <w:t xml:space="preserve"> nr. 474/2021 </w:t>
      </w:r>
      <w:r w:rsidR="001C0644" w:rsidRPr="005D74FA">
        <w:rPr>
          <w:sz w:val="24"/>
          <w:szCs w:val="24"/>
        </w:rPr>
        <w:t xml:space="preserve">i </w:t>
      </w:r>
      <w:r w:rsidR="00F96956" w:rsidRPr="005D74FA">
        <w:rPr>
          <w:sz w:val="24"/>
          <w:szCs w:val="24"/>
        </w:rPr>
        <w:t>ministri</w:t>
      </w:r>
      <w:r w:rsidR="001C0644" w:rsidRPr="005D74FA">
        <w:rPr>
          <w:sz w:val="24"/>
          <w:szCs w:val="24"/>
        </w:rPr>
        <w:t>t</w:t>
      </w:r>
      <w:r w:rsidR="00F96956" w:rsidRPr="005D74FA">
        <w:rPr>
          <w:sz w:val="24"/>
          <w:szCs w:val="24"/>
        </w:rPr>
        <w:t xml:space="preserve"> </w:t>
      </w:r>
      <w:r w:rsidR="001C0644" w:rsidRPr="005D74FA">
        <w:rPr>
          <w:sz w:val="24"/>
          <w:szCs w:val="24"/>
        </w:rPr>
        <w:t>të</w:t>
      </w:r>
      <w:r w:rsidR="00F96956" w:rsidRPr="005D74FA">
        <w:rPr>
          <w:sz w:val="24"/>
          <w:szCs w:val="24"/>
        </w:rPr>
        <w:t xml:space="preserve"> Drejtësisë</w:t>
      </w:r>
      <w:r w:rsidR="001C0644" w:rsidRPr="005D74FA">
        <w:rPr>
          <w:sz w:val="24"/>
          <w:szCs w:val="24"/>
        </w:rPr>
        <w:t xml:space="preserve">, që ka zgjatur masën e regjimit të posaçëm ndaj kërkuesit edhe për një vit, është bazuar sërish në 4 shkresa </w:t>
      </w:r>
      <w:r w:rsidR="00F96956" w:rsidRPr="005D74FA">
        <w:rPr>
          <w:sz w:val="24"/>
          <w:szCs w:val="24"/>
        </w:rPr>
        <w:t xml:space="preserve"> të klasifikuara “sekret”, me përmbajtjen e të cilave </w:t>
      </w:r>
      <w:r w:rsidR="00681F95" w:rsidRPr="005D74FA">
        <w:rPr>
          <w:sz w:val="24"/>
          <w:szCs w:val="24"/>
        </w:rPr>
        <w:t xml:space="preserve">ai </w:t>
      </w:r>
      <w:r w:rsidR="00F96956" w:rsidRPr="005D74FA">
        <w:rPr>
          <w:sz w:val="24"/>
          <w:szCs w:val="24"/>
        </w:rPr>
        <w:t>nuk është njohur. Ndërhyrja që ligji nr. 81/2020, si ligj i zakonshëm, ka bërë në KPP është e sforcuar, pasi vendimi i ministrit të Drejtësisë përbën një akt administrativ dhe jo vendim gjyqësor. Si i tillë, kundërshtimi i tij duhet të bëhet sipas dispozitave të Kodit të Procedurave Administrative, duke thirrur si subjekt të interesuar në këtë gjykim ministrin e Drejtësisë. Kërkesat e kërkuesit për thirrjen në gjykim të këtij ministri, gjatë procedurave të kundërshtimit të urdhrit nr. 474/2021, nuk u morën parasysh as nga Gjykata e Posaçme e Shkallës së Parë dhe as nga Gjykata e Posaçme e Apelit.</w:t>
      </w:r>
    </w:p>
    <w:p w:rsidR="00467522" w:rsidRPr="005D74FA" w:rsidRDefault="00467522" w:rsidP="00467522">
      <w:pPr>
        <w:pStyle w:val="ListParagraph"/>
        <w:numPr>
          <w:ilvl w:val="0"/>
          <w:numId w:val="1"/>
        </w:numPr>
        <w:tabs>
          <w:tab w:val="left" w:pos="1080"/>
        </w:tabs>
        <w:spacing w:line="360" w:lineRule="auto"/>
        <w:ind w:left="0" w:firstLine="720"/>
        <w:rPr>
          <w:i/>
          <w:sz w:val="24"/>
          <w:szCs w:val="24"/>
        </w:rPr>
      </w:pPr>
      <w:r w:rsidRPr="005D74FA">
        <w:rPr>
          <w:b/>
          <w:i/>
          <w:sz w:val="24"/>
          <w:szCs w:val="24"/>
        </w:rPr>
        <w:t>Subjekti i interesuar, Prokuroria e Posaçme</w:t>
      </w:r>
      <w:r w:rsidRPr="005D74FA">
        <w:rPr>
          <w:b/>
          <w:sz w:val="24"/>
          <w:szCs w:val="24"/>
        </w:rPr>
        <w:t xml:space="preserve">, </w:t>
      </w:r>
      <w:r w:rsidRPr="005D74FA">
        <w:rPr>
          <w:rFonts w:eastAsia="Times New Roman"/>
          <w:sz w:val="24"/>
          <w:szCs w:val="24"/>
        </w:rPr>
        <w:t>ka prapësuar, në mënyrë të përmbledhur, se</w:t>
      </w:r>
      <w:r w:rsidR="00BC6FFD" w:rsidRPr="005D74FA">
        <w:rPr>
          <w:rFonts w:eastAsia="Times New Roman"/>
          <w:sz w:val="24"/>
          <w:szCs w:val="24"/>
        </w:rPr>
        <w:t xml:space="preserve"> </w:t>
      </w:r>
      <w:r w:rsidR="00BC6FFD" w:rsidRPr="005D74FA">
        <w:rPr>
          <w:sz w:val="24"/>
          <w:szCs w:val="24"/>
        </w:rPr>
        <w:t>urdhri nr. 253/2020</w:t>
      </w:r>
      <w:r w:rsidR="00BC6FFD" w:rsidRPr="005D74FA">
        <w:rPr>
          <w:i/>
          <w:sz w:val="24"/>
          <w:szCs w:val="24"/>
        </w:rPr>
        <w:t xml:space="preserve"> </w:t>
      </w:r>
      <w:r w:rsidR="00BC6FFD" w:rsidRPr="005D74FA">
        <w:rPr>
          <w:sz w:val="24"/>
          <w:szCs w:val="24"/>
        </w:rPr>
        <w:t>dhe vendimet e kundërshtuara të gjykatave janë në përputhje me Kushtetutën dhe ligjin, pasi</w:t>
      </w:r>
      <w:r w:rsidRPr="005D74FA">
        <w:rPr>
          <w:rFonts w:eastAsia="Times New Roman"/>
          <w:sz w:val="24"/>
          <w:szCs w:val="24"/>
        </w:rPr>
        <w:t>:</w:t>
      </w:r>
    </w:p>
    <w:p w:rsidR="00347A06" w:rsidRPr="005D74FA" w:rsidRDefault="007F12E6" w:rsidP="007F12E6">
      <w:pPr>
        <w:pStyle w:val="ListParagraph"/>
        <w:numPr>
          <w:ilvl w:val="0"/>
          <w:numId w:val="7"/>
        </w:numPr>
        <w:tabs>
          <w:tab w:val="left" w:pos="1170"/>
          <w:tab w:val="left" w:pos="1260"/>
        </w:tabs>
        <w:spacing w:line="360" w:lineRule="auto"/>
        <w:ind w:left="1170" w:hanging="450"/>
        <w:rPr>
          <w:sz w:val="24"/>
          <w:szCs w:val="24"/>
        </w:rPr>
      </w:pPr>
      <w:r w:rsidRPr="005D74FA">
        <w:rPr>
          <w:sz w:val="24"/>
          <w:szCs w:val="24"/>
        </w:rPr>
        <w:t xml:space="preserve">Në aspektin procedural, kërkesa e </w:t>
      </w:r>
      <w:r w:rsidR="00BC6FFD" w:rsidRPr="005D74FA">
        <w:rPr>
          <w:sz w:val="24"/>
          <w:szCs w:val="24"/>
        </w:rPr>
        <w:t>kërkuesit është pa objekt.</w:t>
      </w:r>
      <w:r w:rsidRPr="005D74FA">
        <w:rPr>
          <w:sz w:val="24"/>
          <w:szCs w:val="24"/>
        </w:rPr>
        <w:t xml:space="preserve"> </w:t>
      </w:r>
      <w:r w:rsidR="00BC6FFD" w:rsidRPr="005D74FA">
        <w:rPr>
          <w:sz w:val="24"/>
          <w:szCs w:val="24"/>
        </w:rPr>
        <w:t>E</w:t>
      </w:r>
      <w:r w:rsidRPr="005D74FA">
        <w:rPr>
          <w:sz w:val="24"/>
          <w:szCs w:val="24"/>
        </w:rPr>
        <w:t>fektet e urdhri</w:t>
      </w:r>
      <w:r w:rsidR="00BF5BE1" w:rsidRPr="005D74FA">
        <w:rPr>
          <w:sz w:val="24"/>
          <w:szCs w:val="24"/>
        </w:rPr>
        <w:t>t</w:t>
      </w:r>
      <w:r w:rsidRPr="005D74FA">
        <w:rPr>
          <w:sz w:val="24"/>
          <w:szCs w:val="24"/>
        </w:rPr>
        <w:t xml:space="preserve"> kanë zgjatur vetëm një vit dhe kanë pushuar në datën 28.07.2021. Për rrjedhojë, në këtë fazë, rigjykimi i çështjes në gjykatat e sistemit gjyqësor </w:t>
      </w:r>
      <w:r w:rsidR="000244DD" w:rsidRPr="005D74FA">
        <w:rPr>
          <w:sz w:val="24"/>
          <w:szCs w:val="24"/>
        </w:rPr>
        <w:t>nuk do të mund të rivendoste në vend të drejtën e shkelur</w:t>
      </w:r>
      <w:r w:rsidR="00D532D9" w:rsidRPr="005D74FA">
        <w:rPr>
          <w:sz w:val="24"/>
          <w:szCs w:val="24"/>
        </w:rPr>
        <w:t>.</w:t>
      </w:r>
    </w:p>
    <w:p w:rsidR="00D532D9" w:rsidRPr="005D74FA" w:rsidRDefault="00D532D9" w:rsidP="007F12E6">
      <w:pPr>
        <w:pStyle w:val="ListParagraph"/>
        <w:numPr>
          <w:ilvl w:val="0"/>
          <w:numId w:val="7"/>
        </w:numPr>
        <w:tabs>
          <w:tab w:val="left" w:pos="1170"/>
          <w:tab w:val="left" w:pos="1260"/>
        </w:tabs>
        <w:spacing w:line="360" w:lineRule="auto"/>
        <w:ind w:left="1170" w:hanging="450"/>
        <w:rPr>
          <w:sz w:val="24"/>
          <w:szCs w:val="24"/>
        </w:rPr>
      </w:pPr>
      <w:r w:rsidRPr="005D74FA">
        <w:rPr>
          <w:sz w:val="24"/>
          <w:szCs w:val="24"/>
        </w:rPr>
        <w:t>Masat për vendosjen e kërkuesit në regjim</w:t>
      </w:r>
      <w:r w:rsidR="00BF5BE1" w:rsidRPr="005D74FA">
        <w:rPr>
          <w:sz w:val="24"/>
          <w:szCs w:val="24"/>
        </w:rPr>
        <w:t>in e posaçëm janë të përkohshme</w:t>
      </w:r>
      <w:r w:rsidR="00BC6FFD" w:rsidRPr="005D74FA">
        <w:rPr>
          <w:sz w:val="24"/>
          <w:szCs w:val="24"/>
        </w:rPr>
        <w:t xml:space="preserve"> dhe </w:t>
      </w:r>
      <w:r w:rsidRPr="005D74FA">
        <w:rPr>
          <w:sz w:val="24"/>
          <w:szCs w:val="24"/>
        </w:rPr>
        <w:t xml:space="preserve">proporcionale. Këto masa janë vendosur për një interes publik, </w:t>
      </w:r>
      <w:r w:rsidR="00621B06" w:rsidRPr="005D74FA">
        <w:rPr>
          <w:sz w:val="24"/>
          <w:szCs w:val="24"/>
        </w:rPr>
        <w:t>siç është</w:t>
      </w:r>
      <w:r w:rsidR="007512DD" w:rsidRPr="005D74FA">
        <w:rPr>
          <w:sz w:val="24"/>
          <w:szCs w:val="24"/>
        </w:rPr>
        <w:t xml:space="preserve"> lufta </w:t>
      </w:r>
      <w:r w:rsidR="00621B06" w:rsidRPr="005D74FA">
        <w:rPr>
          <w:sz w:val="24"/>
          <w:szCs w:val="24"/>
        </w:rPr>
        <w:t>kundë</w:t>
      </w:r>
      <w:r w:rsidR="007512DD" w:rsidRPr="005D74FA">
        <w:rPr>
          <w:sz w:val="24"/>
          <w:szCs w:val="24"/>
        </w:rPr>
        <w:t>r krimit t</w:t>
      </w:r>
      <w:r w:rsidR="00621B06" w:rsidRPr="005D74FA">
        <w:rPr>
          <w:sz w:val="24"/>
          <w:szCs w:val="24"/>
        </w:rPr>
        <w:t>ë</w:t>
      </w:r>
      <w:r w:rsidR="007512DD" w:rsidRPr="005D74FA">
        <w:rPr>
          <w:sz w:val="24"/>
          <w:szCs w:val="24"/>
        </w:rPr>
        <w:t xml:space="preserve"> organizuar</w:t>
      </w:r>
      <w:r w:rsidRPr="005D74FA">
        <w:rPr>
          <w:sz w:val="24"/>
          <w:szCs w:val="24"/>
        </w:rPr>
        <w:t xml:space="preserve">. Informacionet e vëna në dispozicion tregojnë se kërkuesi e vazhdonte aktivitetin kriminal brenda ambienteve të IEVP-së dhe se sjellja e tij </w:t>
      </w:r>
      <w:r w:rsidR="0021367C" w:rsidRPr="005D74FA">
        <w:rPr>
          <w:sz w:val="24"/>
          <w:szCs w:val="24"/>
        </w:rPr>
        <w:t xml:space="preserve">mund të vinte në rrezik sigurinë publike në të ardhmen. </w:t>
      </w:r>
    </w:p>
    <w:p w:rsidR="00EF6030" w:rsidRPr="005D74FA" w:rsidRDefault="00086CD1" w:rsidP="004F711B">
      <w:pPr>
        <w:pStyle w:val="ListParagraph"/>
        <w:numPr>
          <w:ilvl w:val="0"/>
          <w:numId w:val="7"/>
        </w:numPr>
        <w:tabs>
          <w:tab w:val="left" w:pos="1170"/>
          <w:tab w:val="left" w:pos="1260"/>
        </w:tabs>
        <w:spacing w:line="360" w:lineRule="auto"/>
        <w:ind w:left="1170" w:hanging="450"/>
        <w:rPr>
          <w:sz w:val="24"/>
          <w:szCs w:val="24"/>
        </w:rPr>
      </w:pPr>
      <w:r w:rsidRPr="005D74FA">
        <w:rPr>
          <w:sz w:val="24"/>
          <w:szCs w:val="24"/>
        </w:rPr>
        <w:t xml:space="preserve">Pretendimi i kërkuesit për cenimin e parimit të barazisë së armëve dhe kontradiktoritetit është i pabazuar, pasi njohja e tij me aktet ka qenë efektive. Ai dhe gjykata janë njohur </w:t>
      </w:r>
      <w:proofErr w:type="spellStart"/>
      <w:r w:rsidRPr="005D74FA">
        <w:rPr>
          <w:sz w:val="24"/>
          <w:szCs w:val="24"/>
        </w:rPr>
        <w:t>mjaftueshmërisht</w:t>
      </w:r>
      <w:proofErr w:type="spellEnd"/>
      <w:r w:rsidRPr="005D74FA">
        <w:rPr>
          <w:sz w:val="24"/>
          <w:szCs w:val="24"/>
        </w:rPr>
        <w:t xml:space="preserve"> me thelbin e përmbajtjes së informacionit të klasifikuar, për aq sa është e nevojshme për debatin gjyqësor dhe vendimmarrjen</w:t>
      </w:r>
      <w:r w:rsidR="00486D55" w:rsidRPr="005D74FA">
        <w:rPr>
          <w:sz w:val="24"/>
          <w:szCs w:val="24"/>
        </w:rPr>
        <w:t>.</w:t>
      </w:r>
    </w:p>
    <w:p w:rsidR="00347A06" w:rsidRPr="005D74FA" w:rsidRDefault="00347A06" w:rsidP="00347A06">
      <w:pPr>
        <w:pStyle w:val="Heading1"/>
        <w:tabs>
          <w:tab w:val="left" w:pos="1170"/>
        </w:tabs>
      </w:pPr>
      <w:r w:rsidRPr="005D74FA">
        <w:t>III</w:t>
      </w:r>
    </w:p>
    <w:p w:rsidR="00347A06" w:rsidRPr="005D74FA" w:rsidRDefault="00347A06" w:rsidP="00347A06">
      <w:pPr>
        <w:tabs>
          <w:tab w:val="left" w:pos="1170"/>
        </w:tabs>
        <w:spacing w:line="360" w:lineRule="auto"/>
        <w:jc w:val="center"/>
        <w:rPr>
          <w:b/>
          <w:sz w:val="24"/>
          <w:szCs w:val="24"/>
        </w:rPr>
      </w:pPr>
      <w:r w:rsidRPr="005D74FA">
        <w:rPr>
          <w:b/>
          <w:sz w:val="24"/>
          <w:szCs w:val="24"/>
        </w:rPr>
        <w:t xml:space="preserve">Vlerësimi i </w:t>
      </w:r>
      <w:r w:rsidR="00467522" w:rsidRPr="005D74FA">
        <w:rPr>
          <w:b/>
          <w:sz w:val="24"/>
          <w:szCs w:val="24"/>
        </w:rPr>
        <w:t>Gjykatës Kushtetuese</w:t>
      </w:r>
    </w:p>
    <w:p w:rsidR="00467522" w:rsidRPr="005D74FA" w:rsidRDefault="00467522" w:rsidP="00467522">
      <w:pPr>
        <w:pStyle w:val="ListParagraph"/>
        <w:tabs>
          <w:tab w:val="left" w:pos="1080"/>
        </w:tabs>
        <w:spacing w:line="360" w:lineRule="auto"/>
        <w:rPr>
          <w:i/>
          <w:sz w:val="24"/>
          <w:szCs w:val="24"/>
        </w:rPr>
      </w:pPr>
      <w:r w:rsidRPr="005D74FA">
        <w:rPr>
          <w:i/>
          <w:sz w:val="24"/>
          <w:szCs w:val="24"/>
        </w:rPr>
        <w:t>A. Për legjitimimin e kërkuesit</w:t>
      </w:r>
    </w:p>
    <w:p w:rsidR="00347A06" w:rsidRPr="005D74FA" w:rsidRDefault="00347A06" w:rsidP="00347A06">
      <w:pPr>
        <w:pStyle w:val="ListParagraph"/>
        <w:numPr>
          <w:ilvl w:val="0"/>
          <w:numId w:val="1"/>
        </w:numPr>
        <w:tabs>
          <w:tab w:val="left" w:pos="1080"/>
        </w:tabs>
        <w:spacing w:line="360" w:lineRule="auto"/>
        <w:ind w:left="0" w:firstLine="720"/>
        <w:rPr>
          <w:sz w:val="24"/>
          <w:szCs w:val="24"/>
        </w:rPr>
      </w:pPr>
      <w:r w:rsidRPr="005D74FA">
        <w:rPr>
          <w:sz w:val="24"/>
          <w:szCs w:val="24"/>
        </w:rPr>
        <w:t>Çështja e legjitimimit (</w:t>
      </w:r>
      <w:proofErr w:type="spellStart"/>
      <w:r w:rsidRPr="005D74FA">
        <w:rPr>
          <w:i/>
          <w:sz w:val="24"/>
          <w:szCs w:val="24"/>
        </w:rPr>
        <w:t>locus</w:t>
      </w:r>
      <w:proofErr w:type="spellEnd"/>
      <w:r w:rsidRPr="005D74FA">
        <w:rPr>
          <w:i/>
          <w:sz w:val="24"/>
          <w:szCs w:val="24"/>
        </w:rPr>
        <w:t xml:space="preserve"> </w:t>
      </w:r>
      <w:proofErr w:type="spellStart"/>
      <w:r w:rsidRPr="005D74FA">
        <w:rPr>
          <w:i/>
          <w:sz w:val="24"/>
          <w:szCs w:val="24"/>
        </w:rPr>
        <w:t>standi</w:t>
      </w:r>
      <w:proofErr w:type="spellEnd"/>
      <w:r w:rsidRPr="005D74FA">
        <w:rPr>
          <w:sz w:val="24"/>
          <w:szCs w:val="24"/>
        </w:rPr>
        <w:t>) është vlerësuar nga Gjykata si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347A06" w:rsidRPr="005D74FA" w:rsidRDefault="00AD1A1A" w:rsidP="00347A06">
      <w:pPr>
        <w:pStyle w:val="ListParagraph"/>
        <w:numPr>
          <w:ilvl w:val="0"/>
          <w:numId w:val="1"/>
        </w:numPr>
        <w:tabs>
          <w:tab w:val="left" w:pos="1080"/>
        </w:tabs>
        <w:spacing w:line="360" w:lineRule="auto"/>
        <w:ind w:left="0" w:firstLine="720"/>
        <w:rPr>
          <w:sz w:val="24"/>
          <w:szCs w:val="24"/>
        </w:rPr>
      </w:pPr>
      <w:r w:rsidRPr="005D74FA">
        <w:rPr>
          <w:sz w:val="24"/>
          <w:szCs w:val="24"/>
        </w:rPr>
        <w:t>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760AB5" w:rsidRPr="005D74FA">
        <w:rPr>
          <w:rFonts w:eastAsia="Times New Roman"/>
          <w:sz w:val="24"/>
          <w:szCs w:val="24"/>
        </w:rPr>
        <w:t xml:space="preserve">. </w:t>
      </w:r>
    </w:p>
    <w:p w:rsidR="00AD1A1A" w:rsidRPr="005D74FA" w:rsidRDefault="00AD1A1A" w:rsidP="00347A06">
      <w:pPr>
        <w:pStyle w:val="ListParagraph"/>
        <w:numPr>
          <w:ilvl w:val="0"/>
          <w:numId w:val="1"/>
        </w:numPr>
        <w:tabs>
          <w:tab w:val="left" w:pos="1080"/>
        </w:tabs>
        <w:spacing w:line="360" w:lineRule="auto"/>
        <w:ind w:left="0" w:firstLine="720"/>
        <w:rPr>
          <w:sz w:val="24"/>
          <w:szCs w:val="24"/>
        </w:rPr>
      </w:pPr>
      <w:r w:rsidRPr="005D74FA">
        <w:rPr>
          <w:sz w:val="24"/>
          <w:szCs w:val="24"/>
        </w:rPr>
        <w:t xml:space="preserve">Kriteret për pranueshmërinë e ankimit kushtetues individual janë të natyrës kumulative, pra duhet të plotësohen njëkohësisht. Në këtë vështrim, mjafton mosplotësimi i njërit prej </w:t>
      </w:r>
      <w:r w:rsidR="00E47042" w:rsidRPr="005D74FA">
        <w:rPr>
          <w:sz w:val="24"/>
          <w:szCs w:val="24"/>
        </w:rPr>
        <w:t>tyre</w:t>
      </w:r>
      <w:r w:rsidRPr="005D74FA">
        <w:rPr>
          <w:sz w:val="24"/>
          <w:szCs w:val="24"/>
        </w:rPr>
        <w:t xml:space="preserve"> që kërkuesi të mos legjitimohet për vënien në lëvizje të gjykimit kushtetues.</w:t>
      </w:r>
    </w:p>
    <w:p w:rsidR="00760AB5" w:rsidRPr="005D74FA" w:rsidRDefault="008D1F64" w:rsidP="00347A06">
      <w:pPr>
        <w:pStyle w:val="ListParagraph"/>
        <w:numPr>
          <w:ilvl w:val="0"/>
          <w:numId w:val="1"/>
        </w:numPr>
        <w:tabs>
          <w:tab w:val="left" w:pos="1080"/>
        </w:tabs>
        <w:spacing w:line="360" w:lineRule="auto"/>
        <w:ind w:left="0" w:firstLine="720"/>
        <w:rPr>
          <w:sz w:val="24"/>
          <w:szCs w:val="24"/>
        </w:rPr>
      </w:pPr>
      <w:r w:rsidRPr="005D74FA">
        <w:rPr>
          <w:rFonts w:eastAsia="Calibri"/>
          <w:sz w:val="24"/>
          <w:szCs w:val="24"/>
        </w:rPr>
        <w:t xml:space="preserve">Gjykata vëren se kërkuesi, si individ, </w:t>
      </w:r>
      <w:r w:rsidRPr="005D74FA">
        <w:rPr>
          <w:rFonts w:eastAsia="Times New Roman"/>
          <w:sz w:val="24"/>
          <w:szCs w:val="24"/>
        </w:rPr>
        <w:t xml:space="preserve">legjitimohet </w:t>
      </w:r>
      <w:proofErr w:type="spellStart"/>
      <w:r w:rsidR="00760AB5" w:rsidRPr="005D74FA">
        <w:rPr>
          <w:rFonts w:eastAsia="Calibri"/>
          <w:i/>
          <w:sz w:val="24"/>
          <w:szCs w:val="24"/>
        </w:rPr>
        <w:t>ratione</w:t>
      </w:r>
      <w:proofErr w:type="spellEnd"/>
      <w:r w:rsidR="00760AB5" w:rsidRPr="005D74FA">
        <w:rPr>
          <w:rFonts w:eastAsia="Calibri"/>
          <w:i/>
          <w:sz w:val="24"/>
          <w:szCs w:val="24"/>
        </w:rPr>
        <w:t xml:space="preserve"> </w:t>
      </w:r>
      <w:proofErr w:type="spellStart"/>
      <w:r w:rsidR="00760AB5" w:rsidRPr="005D74FA">
        <w:rPr>
          <w:rFonts w:eastAsia="Calibri"/>
          <w:i/>
          <w:sz w:val="24"/>
          <w:szCs w:val="24"/>
        </w:rPr>
        <w:t>personae</w:t>
      </w:r>
      <w:proofErr w:type="spellEnd"/>
      <w:r w:rsidR="00760AB5" w:rsidRPr="005D74FA">
        <w:rPr>
          <w:rFonts w:eastAsia="Calibri"/>
          <w:sz w:val="24"/>
          <w:szCs w:val="24"/>
        </w:rPr>
        <w:t>, në kuptim të neneve 131, pika 1, shkronja “f”, 134, pika 1, shkronja “i” dhe 134, pika 2, të Kushtetutës, pasi ka qenë palë në procesin gjyqësor, për të cilin ka ngritur pretendime në këtë Gjykatë dhe ka interes të drejtpërdrejtë</w:t>
      </w:r>
      <w:r w:rsidR="00A16139" w:rsidRPr="005D74FA">
        <w:rPr>
          <w:rFonts w:eastAsia="Calibri"/>
          <w:sz w:val="24"/>
          <w:szCs w:val="24"/>
        </w:rPr>
        <w:t xml:space="preserve"> në çështjen e parashtruar</w:t>
      </w:r>
      <w:r w:rsidR="00760AB5" w:rsidRPr="005D74FA">
        <w:rPr>
          <w:rFonts w:eastAsia="Calibri"/>
          <w:sz w:val="24"/>
          <w:szCs w:val="24"/>
        </w:rPr>
        <w:t>.</w:t>
      </w:r>
    </w:p>
    <w:p w:rsidR="00D17FB1" w:rsidRPr="005D74FA" w:rsidRDefault="00347A06" w:rsidP="00605C3A">
      <w:pPr>
        <w:pStyle w:val="ListParagraph"/>
        <w:numPr>
          <w:ilvl w:val="0"/>
          <w:numId w:val="1"/>
        </w:numPr>
        <w:tabs>
          <w:tab w:val="left" w:pos="1080"/>
        </w:tabs>
        <w:spacing w:line="360" w:lineRule="auto"/>
        <w:ind w:left="0" w:firstLine="720"/>
        <w:rPr>
          <w:sz w:val="24"/>
          <w:szCs w:val="24"/>
        </w:rPr>
      </w:pPr>
      <w:r w:rsidRPr="005D74FA">
        <w:rPr>
          <w:sz w:val="24"/>
          <w:szCs w:val="24"/>
        </w:rPr>
        <w:t xml:space="preserve">Një tjetër kriter paraprak, që duhet të përmbushet nga individi përpara se t’i drejtohet kësaj Gjykate, lidhet me </w:t>
      </w:r>
      <w:r w:rsidRPr="005D74FA">
        <w:rPr>
          <w:bCs/>
          <w:i/>
          <w:sz w:val="24"/>
          <w:szCs w:val="24"/>
        </w:rPr>
        <w:t>shterimin e mjeteve juridike</w:t>
      </w:r>
      <w:r w:rsidR="00C83E9F" w:rsidRPr="005D74FA">
        <w:rPr>
          <w:bCs/>
          <w:i/>
          <w:sz w:val="24"/>
          <w:szCs w:val="24"/>
        </w:rPr>
        <w:t xml:space="preserve"> efektive</w:t>
      </w:r>
      <w:r w:rsidRPr="005D74FA">
        <w:rPr>
          <w:bCs/>
          <w:sz w:val="24"/>
          <w:szCs w:val="24"/>
        </w:rPr>
        <w:t xml:space="preserve">. </w:t>
      </w:r>
      <w:r w:rsidRPr="005D74FA">
        <w:rPr>
          <w:sz w:val="24"/>
          <w:szCs w:val="24"/>
        </w:rPr>
        <w:t xml:space="preserve">Sipas nenit 131, pika 1, shkronja “f”, të Kushtetutës, Gjykata Kushtetuese vendos për gjykimin përfundimtar të ankesave të individëve, pasi të jenë shteruar të gjitha mjetet juridike efektive për mbrojtjen e të drejtave kushtetuese, që individi pretendon se i janë cenuar nga akti i pushtetit publik. Qëllimi i këtij neni të Kushtetutës është, ndër të tjera, të mundësojë, brenda sistemit gjyqësor të zakonshëm, parandalimin ose riparimin e shkeljeve të pretenduara, përpara se të tilla pretendime të paraqiten në Gjykatën Kushtetuese </w:t>
      </w:r>
      <w:r w:rsidRPr="005D74FA">
        <w:rPr>
          <w:i/>
          <w:sz w:val="24"/>
          <w:szCs w:val="24"/>
        </w:rPr>
        <w:t>(shih vendim</w:t>
      </w:r>
      <w:r w:rsidR="000052E3" w:rsidRPr="005D74FA">
        <w:rPr>
          <w:i/>
          <w:sz w:val="24"/>
          <w:szCs w:val="24"/>
        </w:rPr>
        <w:t>et nr. 23, datë 29.04.2021;</w:t>
      </w:r>
      <w:r w:rsidRPr="005D74FA">
        <w:rPr>
          <w:i/>
          <w:sz w:val="24"/>
          <w:szCs w:val="24"/>
        </w:rPr>
        <w:t xml:space="preserve"> nr. </w:t>
      </w:r>
      <w:r w:rsidR="00605C3A" w:rsidRPr="005D74FA">
        <w:rPr>
          <w:i/>
          <w:sz w:val="24"/>
          <w:szCs w:val="24"/>
        </w:rPr>
        <w:t xml:space="preserve">54, datë 24.07.2017 </w:t>
      </w:r>
      <w:r w:rsidRPr="005D74FA">
        <w:rPr>
          <w:i/>
          <w:sz w:val="24"/>
          <w:szCs w:val="24"/>
        </w:rPr>
        <w:t>të Gjykatës Kushtetuese)</w:t>
      </w:r>
      <w:r w:rsidRPr="005D74FA">
        <w:rPr>
          <w:sz w:val="24"/>
          <w:szCs w:val="24"/>
        </w:rPr>
        <w:t>.</w:t>
      </w:r>
    </w:p>
    <w:p w:rsidR="0033066F" w:rsidRPr="005D74FA" w:rsidRDefault="00697D5B" w:rsidP="00347A06">
      <w:pPr>
        <w:pStyle w:val="ListParagraph"/>
        <w:numPr>
          <w:ilvl w:val="0"/>
          <w:numId w:val="1"/>
        </w:numPr>
        <w:tabs>
          <w:tab w:val="left" w:pos="1080"/>
        </w:tabs>
        <w:spacing w:line="360" w:lineRule="auto"/>
        <w:ind w:left="0" w:firstLine="720"/>
        <w:rPr>
          <w:sz w:val="24"/>
          <w:szCs w:val="24"/>
        </w:rPr>
      </w:pPr>
      <w:r w:rsidRPr="005D74FA">
        <w:rPr>
          <w:sz w:val="24"/>
          <w:szCs w:val="24"/>
        </w:rPr>
        <w:t xml:space="preserve">Duke qenë se mbrojtja kushtetuese ka një funksion </w:t>
      </w:r>
      <w:r w:rsidRPr="005D74FA">
        <w:rPr>
          <w:i/>
          <w:sz w:val="24"/>
          <w:szCs w:val="24"/>
        </w:rPr>
        <w:t>subsidiar</w:t>
      </w:r>
      <w:r w:rsidRPr="005D74FA">
        <w:rPr>
          <w:sz w:val="24"/>
          <w:szCs w:val="24"/>
        </w:rPr>
        <w:t xml:space="preserve">, ajo mund të kërkohet vetëm për një vendim përfundimtar, të çfarëdolloj forme, që përmbyll procesin gjyqësor. Cenimi i së drejtës për një proces të rregullt ligjor, e garantuar nga neni 42 i Kushtetutës, mund të pretendohet në këtë Gjykatë vetëm pasi të shterohen të gjitha mundësitë e ofruara nga sistemi i apelimeve dhe kjo vlen edhe në rastet kur procedurat gjyqësore paraprake çojnë në një rëndim të mëtejshëm ose në </w:t>
      </w:r>
      <w:proofErr w:type="spellStart"/>
      <w:r w:rsidRPr="005D74FA">
        <w:rPr>
          <w:sz w:val="24"/>
          <w:szCs w:val="24"/>
        </w:rPr>
        <w:t>tejzgjatjen</w:t>
      </w:r>
      <w:proofErr w:type="spellEnd"/>
      <w:r w:rsidRPr="005D74FA">
        <w:rPr>
          <w:sz w:val="24"/>
          <w:szCs w:val="24"/>
        </w:rPr>
        <w:t xml:space="preserve"> e cenimit të kësaj të drejte </w:t>
      </w:r>
      <w:r w:rsidRPr="005D74FA">
        <w:rPr>
          <w:i/>
          <w:sz w:val="24"/>
          <w:szCs w:val="24"/>
        </w:rPr>
        <w:t>(shih vendim</w:t>
      </w:r>
      <w:r w:rsidR="000052E3" w:rsidRPr="005D74FA">
        <w:rPr>
          <w:i/>
          <w:sz w:val="24"/>
          <w:szCs w:val="24"/>
        </w:rPr>
        <w:t>et nr. 14, datë 11.03.2021;</w:t>
      </w:r>
      <w:r w:rsidRPr="005D74FA">
        <w:rPr>
          <w:i/>
          <w:sz w:val="24"/>
          <w:szCs w:val="24"/>
        </w:rPr>
        <w:t xml:space="preserve"> nr. 29, datë 30.03.2017 të Gjykatës Kushtetuese)</w:t>
      </w:r>
      <w:r w:rsidR="004A27BB" w:rsidRPr="005D74FA">
        <w:rPr>
          <w:sz w:val="24"/>
          <w:szCs w:val="24"/>
        </w:rPr>
        <w:t xml:space="preserve">. </w:t>
      </w:r>
    </w:p>
    <w:p w:rsidR="00347A06" w:rsidRPr="005D74FA" w:rsidRDefault="00EC4364" w:rsidP="00347A06">
      <w:pPr>
        <w:pStyle w:val="ListParagraph"/>
        <w:numPr>
          <w:ilvl w:val="0"/>
          <w:numId w:val="1"/>
        </w:numPr>
        <w:tabs>
          <w:tab w:val="left" w:pos="1080"/>
        </w:tabs>
        <w:spacing w:line="360" w:lineRule="auto"/>
        <w:ind w:left="0" w:firstLine="720"/>
        <w:rPr>
          <w:sz w:val="24"/>
          <w:szCs w:val="24"/>
        </w:rPr>
      </w:pPr>
      <w:r w:rsidRPr="005D74FA">
        <w:rPr>
          <w:sz w:val="24"/>
          <w:szCs w:val="24"/>
        </w:rPr>
        <w:t>N</w:t>
      </w:r>
      <w:r w:rsidR="00347A06" w:rsidRPr="005D74FA">
        <w:rPr>
          <w:sz w:val="24"/>
          <w:szCs w:val="24"/>
        </w:rPr>
        <w:t xml:space="preserve">ë jurisprudencën e saj, Gjykata </w:t>
      </w:r>
      <w:r w:rsidR="004A27BB" w:rsidRPr="005D74FA">
        <w:rPr>
          <w:sz w:val="24"/>
          <w:szCs w:val="24"/>
        </w:rPr>
        <w:t>k</w:t>
      </w:r>
      <w:r w:rsidR="00347A06" w:rsidRPr="005D74FA">
        <w:rPr>
          <w:sz w:val="24"/>
          <w:szCs w:val="24"/>
        </w:rPr>
        <w:t xml:space="preserve">a mbajtur qëndrimin </w:t>
      </w:r>
      <w:r w:rsidR="004A27BB" w:rsidRPr="005D74FA">
        <w:rPr>
          <w:sz w:val="24"/>
          <w:szCs w:val="24"/>
        </w:rPr>
        <w:t>se, përjashtim</w:t>
      </w:r>
      <w:r w:rsidR="00697D5B" w:rsidRPr="005D74FA">
        <w:rPr>
          <w:sz w:val="24"/>
          <w:szCs w:val="24"/>
        </w:rPr>
        <w:t>isht</w:t>
      </w:r>
      <w:r w:rsidR="004A27BB" w:rsidRPr="005D74FA">
        <w:rPr>
          <w:sz w:val="24"/>
          <w:szCs w:val="24"/>
        </w:rPr>
        <w:t xml:space="preserve">, kontrollit të saj i nënshtrohen edhe ato vendime të ndërmjetme, karakteri i të cilave do të konsiderohet përfundimtar për qëllimet e nenit 131, pika 1, shkronja “f”, të Kushtetutës dhe nenit </w:t>
      </w:r>
      <w:r w:rsidR="00697D5B" w:rsidRPr="005D74FA">
        <w:rPr>
          <w:sz w:val="24"/>
          <w:szCs w:val="24"/>
        </w:rPr>
        <w:t>71/a, pika 1, shkronja “a”, të ligjit nr. 8577/2000.</w:t>
      </w:r>
      <w:r w:rsidR="0033066F" w:rsidRPr="005D74FA">
        <w:rPr>
          <w:sz w:val="24"/>
          <w:szCs w:val="24"/>
        </w:rPr>
        <w:t xml:space="preserve"> </w:t>
      </w:r>
      <w:r w:rsidR="00374841" w:rsidRPr="005D74FA">
        <w:rPr>
          <w:sz w:val="24"/>
          <w:szCs w:val="24"/>
        </w:rPr>
        <w:t xml:space="preserve">Ky </w:t>
      </w:r>
      <w:r w:rsidR="0033066F" w:rsidRPr="005D74FA">
        <w:rPr>
          <w:sz w:val="24"/>
          <w:szCs w:val="24"/>
        </w:rPr>
        <w:t xml:space="preserve">përjashtim zbatohet vetëm kur plotësohen </w:t>
      </w:r>
      <w:r w:rsidR="00F22513" w:rsidRPr="005D74FA">
        <w:rPr>
          <w:sz w:val="24"/>
          <w:szCs w:val="24"/>
        </w:rPr>
        <w:t>së</w:t>
      </w:r>
      <w:r w:rsidR="00A934C5" w:rsidRPr="005D74FA">
        <w:rPr>
          <w:sz w:val="24"/>
          <w:szCs w:val="24"/>
        </w:rPr>
        <w:t xml:space="preserve"> bashku tri</w:t>
      </w:r>
      <w:r w:rsidR="00374841" w:rsidRPr="005D74FA">
        <w:rPr>
          <w:sz w:val="24"/>
          <w:szCs w:val="24"/>
        </w:rPr>
        <w:t xml:space="preserve"> kritere</w:t>
      </w:r>
      <w:r w:rsidR="00425B93" w:rsidRPr="005D74FA">
        <w:rPr>
          <w:sz w:val="24"/>
          <w:szCs w:val="24"/>
        </w:rPr>
        <w:t>: i)</w:t>
      </w:r>
      <w:r w:rsidR="0033066F" w:rsidRPr="005D74FA">
        <w:rPr>
          <w:sz w:val="24"/>
          <w:szCs w:val="24"/>
        </w:rPr>
        <w:t xml:space="preserve"> vendimi i ndërmjetëm duhet që të ketë vendosur mbi të drejtën e individit të pretenduar të cenuar, të jetë bërë objekt i ankimit të veçantë dhe të jetë shqyrtuar edhe nga gjykatat më të larta, të cilat të jenë shprehur, qoftë edhe tërthorazi</w:t>
      </w:r>
      <w:r w:rsidR="00A934C5" w:rsidRPr="005D74FA">
        <w:rPr>
          <w:sz w:val="24"/>
          <w:szCs w:val="24"/>
        </w:rPr>
        <w:t>,</w:t>
      </w:r>
      <w:r w:rsidR="0033066F" w:rsidRPr="005D74FA">
        <w:rPr>
          <w:sz w:val="24"/>
          <w:szCs w:val="24"/>
        </w:rPr>
        <w:t xml:space="preserve"> për të drejtën që pretendohet të jetë cenuar</w:t>
      </w:r>
      <w:r w:rsidR="00425B93" w:rsidRPr="005D74FA">
        <w:rPr>
          <w:sz w:val="24"/>
          <w:szCs w:val="24"/>
        </w:rPr>
        <w:t>;</w:t>
      </w:r>
      <w:r w:rsidR="0033066F" w:rsidRPr="005D74FA">
        <w:rPr>
          <w:sz w:val="24"/>
          <w:szCs w:val="24"/>
        </w:rPr>
        <w:t xml:space="preserve"> </w:t>
      </w:r>
      <w:proofErr w:type="spellStart"/>
      <w:r w:rsidR="00425B93" w:rsidRPr="005D74FA">
        <w:rPr>
          <w:sz w:val="24"/>
          <w:szCs w:val="24"/>
        </w:rPr>
        <w:t>ii</w:t>
      </w:r>
      <w:proofErr w:type="spellEnd"/>
      <w:r w:rsidR="00425B93" w:rsidRPr="005D74FA">
        <w:rPr>
          <w:sz w:val="24"/>
          <w:szCs w:val="24"/>
        </w:rPr>
        <w:t>)</w:t>
      </w:r>
      <w:r w:rsidR="0033066F" w:rsidRPr="005D74FA">
        <w:rPr>
          <w:sz w:val="24"/>
          <w:szCs w:val="24"/>
        </w:rPr>
        <w:t xml:space="preserve"> ky lloj vendimi i ndërmjetëm duhet të ketë një masë autonomie nga procesi i themelit, në kuptimin që pavarësisht se shqyrtimi gjyqësor i mosmarrëveshjes së themelit vazhdon, vendimi përfundimtar që do të jepet në themel nuk është i aftë të ndryshojë vendimin e ndërmjetëm dhe as të riparojë në masën </w:t>
      </w:r>
      <w:r w:rsidR="00425B93" w:rsidRPr="005D74FA">
        <w:rPr>
          <w:sz w:val="24"/>
          <w:szCs w:val="24"/>
        </w:rPr>
        <w:t xml:space="preserve">e duhur efektet që ai ka sjellë; </w:t>
      </w:r>
      <w:proofErr w:type="spellStart"/>
      <w:r w:rsidR="00425B93" w:rsidRPr="005D74FA">
        <w:rPr>
          <w:sz w:val="24"/>
          <w:szCs w:val="24"/>
        </w:rPr>
        <w:t>iii</w:t>
      </w:r>
      <w:proofErr w:type="spellEnd"/>
      <w:r w:rsidR="00425B93" w:rsidRPr="005D74FA">
        <w:rPr>
          <w:sz w:val="24"/>
          <w:szCs w:val="24"/>
        </w:rPr>
        <w:t>)</w:t>
      </w:r>
      <w:r w:rsidR="0033066F" w:rsidRPr="005D74FA">
        <w:rPr>
          <w:sz w:val="24"/>
          <w:szCs w:val="24"/>
        </w:rPr>
        <w:t xml:space="preserve"> shkelja e pretenduar </w:t>
      </w:r>
      <w:r w:rsidR="00425B93" w:rsidRPr="005D74FA">
        <w:rPr>
          <w:sz w:val="24"/>
          <w:szCs w:val="24"/>
        </w:rPr>
        <w:t xml:space="preserve">duhet </w:t>
      </w:r>
      <w:r w:rsidR="0033066F" w:rsidRPr="005D74FA">
        <w:rPr>
          <w:sz w:val="24"/>
          <w:szCs w:val="24"/>
        </w:rPr>
        <w:t xml:space="preserve">të jetë pasojë e drejtpërdrejtë e vendimit të ndërmjetëm të kundërshtuar, pra kërkuesi duhet të provojë se është viktimë e shkeljes </w:t>
      </w:r>
      <w:r w:rsidR="00A934C5" w:rsidRPr="005D74FA">
        <w:rPr>
          <w:sz w:val="24"/>
          <w:szCs w:val="24"/>
        </w:rPr>
        <w:t xml:space="preserve">së </w:t>
      </w:r>
      <w:r w:rsidR="0033066F" w:rsidRPr="005D74FA">
        <w:rPr>
          <w:sz w:val="24"/>
          <w:szCs w:val="24"/>
        </w:rPr>
        <w:t xml:space="preserve">të drejtës kushtetuese </w:t>
      </w:r>
      <w:r w:rsidR="0033066F" w:rsidRPr="005D74FA">
        <w:rPr>
          <w:i/>
          <w:sz w:val="24"/>
          <w:szCs w:val="24"/>
        </w:rPr>
        <w:t xml:space="preserve">(shih vendimet nr. 14, datë 11.03.2021; </w:t>
      </w:r>
      <w:r w:rsidR="004A03C0" w:rsidRPr="005D74FA">
        <w:rPr>
          <w:i/>
          <w:sz w:val="24"/>
          <w:szCs w:val="24"/>
        </w:rPr>
        <w:t xml:space="preserve">nr. 40, datë 18.07.2012; </w:t>
      </w:r>
      <w:r w:rsidR="0033066F" w:rsidRPr="005D74FA">
        <w:rPr>
          <w:i/>
          <w:sz w:val="24"/>
          <w:szCs w:val="24"/>
        </w:rPr>
        <w:t>nr. 28, datë 23.06.2011 të Gjykatës Kushtetuese)</w:t>
      </w:r>
      <w:r w:rsidR="0033066F" w:rsidRPr="005D74FA">
        <w:rPr>
          <w:sz w:val="24"/>
          <w:szCs w:val="24"/>
        </w:rPr>
        <w:t>.</w:t>
      </w:r>
    </w:p>
    <w:p w:rsidR="00F22513" w:rsidRPr="005D74FA" w:rsidRDefault="00425B93" w:rsidP="00063BC2">
      <w:pPr>
        <w:pStyle w:val="ListParagraph"/>
        <w:numPr>
          <w:ilvl w:val="0"/>
          <w:numId w:val="1"/>
        </w:numPr>
        <w:tabs>
          <w:tab w:val="left" w:pos="1080"/>
        </w:tabs>
        <w:spacing w:line="360" w:lineRule="auto"/>
        <w:ind w:left="0" w:firstLine="720"/>
        <w:rPr>
          <w:sz w:val="24"/>
          <w:szCs w:val="24"/>
        </w:rPr>
      </w:pPr>
      <w:r w:rsidRPr="005D74FA">
        <w:rPr>
          <w:sz w:val="24"/>
          <w:szCs w:val="24"/>
        </w:rPr>
        <w:t xml:space="preserve">Në rastin konkret, Gjykata vëren se vendimet e kundërshtuara i plotësojnë kriteret e </w:t>
      </w:r>
      <w:r w:rsidR="00B4076A" w:rsidRPr="005D74FA">
        <w:rPr>
          <w:sz w:val="24"/>
          <w:szCs w:val="24"/>
        </w:rPr>
        <w:t xml:space="preserve">mësipërme të </w:t>
      </w:r>
      <w:r w:rsidRPr="005D74FA">
        <w:rPr>
          <w:sz w:val="24"/>
          <w:szCs w:val="24"/>
        </w:rPr>
        <w:t>vendosura nga jurisprudenca kushtetuese</w:t>
      </w:r>
      <w:r w:rsidR="00B4076A" w:rsidRPr="005D74FA">
        <w:rPr>
          <w:sz w:val="24"/>
          <w:szCs w:val="24"/>
        </w:rPr>
        <w:t>.</w:t>
      </w:r>
      <w:r w:rsidR="00086CD1" w:rsidRPr="005D74FA">
        <w:rPr>
          <w:sz w:val="24"/>
          <w:szCs w:val="24"/>
        </w:rPr>
        <w:t xml:space="preserve"> Në ankimin kushtetues individual kërkuesi ka ngritur pretendime për masën e regjimit të posaçëm të vendosur ndaj tij përmes urdhrit nr. 253/2020, të cilën ai e ka kundërshtuar </w:t>
      </w:r>
      <w:proofErr w:type="spellStart"/>
      <w:r w:rsidR="00086CD1" w:rsidRPr="005D74FA">
        <w:rPr>
          <w:sz w:val="24"/>
          <w:szCs w:val="24"/>
        </w:rPr>
        <w:t>gjyqësisht</w:t>
      </w:r>
      <w:proofErr w:type="spellEnd"/>
      <w:r w:rsidR="00086CD1" w:rsidRPr="005D74FA">
        <w:rPr>
          <w:sz w:val="24"/>
          <w:szCs w:val="24"/>
        </w:rPr>
        <w:t xml:space="preserve"> deri në Gjykatën e Lartë. Në vendimet e tyre gjykatat janë shprehur për pretendimet e kërkuesit dhe vendimmarrja e këtyre gjykatave, përfshirë edhe ajo e Gjykatës së Lartë, janë objekt i ankimit </w:t>
      </w:r>
      <w:r w:rsidR="00F31418" w:rsidRPr="005D74FA">
        <w:rPr>
          <w:sz w:val="24"/>
          <w:szCs w:val="24"/>
        </w:rPr>
        <w:t xml:space="preserve">të tij </w:t>
      </w:r>
      <w:r w:rsidR="00086CD1" w:rsidRPr="005D74FA">
        <w:rPr>
          <w:sz w:val="24"/>
          <w:szCs w:val="24"/>
        </w:rPr>
        <w:t xml:space="preserve">kushtetues. </w:t>
      </w:r>
      <w:r w:rsidR="00720FDA" w:rsidRPr="005D74FA">
        <w:rPr>
          <w:sz w:val="24"/>
          <w:szCs w:val="24"/>
        </w:rPr>
        <w:t xml:space="preserve">Me anë të </w:t>
      </w:r>
      <w:r w:rsidR="00F22513" w:rsidRPr="005D74FA">
        <w:rPr>
          <w:sz w:val="24"/>
          <w:szCs w:val="24"/>
        </w:rPr>
        <w:t xml:space="preserve">këtyre </w:t>
      </w:r>
      <w:r w:rsidR="00720FDA" w:rsidRPr="005D74FA">
        <w:rPr>
          <w:sz w:val="24"/>
          <w:szCs w:val="24"/>
        </w:rPr>
        <w:t>vendimeve kërkuesi</w:t>
      </w:r>
      <w:r w:rsidR="00F22513" w:rsidRPr="005D74FA">
        <w:rPr>
          <w:sz w:val="24"/>
          <w:szCs w:val="24"/>
        </w:rPr>
        <w:t>t</w:t>
      </w:r>
      <w:r w:rsidR="00720FDA" w:rsidRPr="005D74FA">
        <w:rPr>
          <w:sz w:val="24"/>
          <w:szCs w:val="24"/>
        </w:rPr>
        <w:t xml:space="preserve"> i është kufizuar liria në një regjim të posaçëm, përmes një procesi të veçantë gjyqësor, që ai e kundërshton si të parregullt në aspektet e </w:t>
      </w:r>
      <w:r w:rsidR="00A934C5" w:rsidRPr="005D74FA">
        <w:rPr>
          <w:sz w:val="24"/>
          <w:szCs w:val="24"/>
        </w:rPr>
        <w:t>s</w:t>
      </w:r>
      <w:r w:rsidR="00720FDA" w:rsidRPr="005D74FA">
        <w:rPr>
          <w:sz w:val="24"/>
          <w:szCs w:val="24"/>
        </w:rPr>
        <w:t xml:space="preserve">ë drejtës së mbrojtjes, të </w:t>
      </w:r>
      <w:proofErr w:type="spellStart"/>
      <w:r w:rsidR="00720FDA" w:rsidRPr="005D74FA">
        <w:rPr>
          <w:sz w:val="24"/>
          <w:szCs w:val="24"/>
        </w:rPr>
        <w:t>aksesit</w:t>
      </w:r>
      <w:proofErr w:type="spellEnd"/>
      <w:r w:rsidR="00720FDA" w:rsidRPr="005D74FA">
        <w:rPr>
          <w:sz w:val="24"/>
          <w:szCs w:val="24"/>
        </w:rPr>
        <w:t xml:space="preserve">, si dhe të barazisë së armëve dhe kontradiktoritetit. </w:t>
      </w:r>
    </w:p>
    <w:p w:rsidR="00DF6190" w:rsidRPr="005D74FA" w:rsidRDefault="00F22513" w:rsidP="00083B19">
      <w:pPr>
        <w:pStyle w:val="ListParagraph"/>
        <w:numPr>
          <w:ilvl w:val="0"/>
          <w:numId w:val="1"/>
        </w:numPr>
        <w:tabs>
          <w:tab w:val="left" w:pos="1080"/>
        </w:tabs>
        <w:spacing w:line="360" w:lineRule="auto"/>
        <w:ind w:left="0" w:firstLine="720"/>
        <w:rPr>
          <w:sz w:val="24"/>
          <w:szCs w:val="24"/>
        </w:rPr>
      </w:pPr>
      <w:r w:rsidRPr="005D74FA">
        <w:rPr>
          <w:sz w:val="24"/>
          <w:szCs w:val="24"/>
        </w:rPr>
        <w:t>Po në këtë drejtim, Gjykata vëren se p</w:t>
      </w:r>
      <w:r w:rsidR="00425B93" w:rsidRPr="005D74FA">
        <w:rPr>
          <w:sz w:val="24"/>
          <w:szCs w:val="24"/>
        </w:rPr>
        <w:t xml:space="preserve">avarësisht se shqyrtimi gjyqësor i </w:t>
      </w:r>
      <w:r w:rsidR="000C3770" w:rsidRPr="005D74FA">
        <w:rPr>
          <w:sz w:val="24"/>
          <w:szCs w:val="24"/>
        </w:rPr>
        <w:t xml:space="preserve">çështjes </w:t>
      </w:r>
      <w:r w:rsidR="00952594" w:rsidRPr="005D74FA">
        <w:rPr>
          <w:sz w:val="24"/>
          <w:szCs w:val="24"/>
        </w:rPr>
        <w:t>së fajësisë</w:t>
      </w:r>
      <w:r w:rsidR="000C3770" w:rsidRPr="005D74FA">
        <w:rPr>
          <w:sz w:val="24"/>
          <w:szCs w:val="24"/>
        </w:rPr>
        <w:t xml:space="preserve"> </w:t>
      </w:r>
      <w:r w:rsidR="00952594" w:rsidRPr="005D74FA">
        <w:rPr>
          <w:sz w:val="24"/>
          <w:szCs w:val="24"/>
        </w:rPr>
        <w:t xml:space="preserve">së </w:t>
      </w:r>
      <w:r w:rsidR="000C3770" w:rsidRPr="005D74FA">
        <w:rPr>
          <w:sz w:val="24"/>
          <w:szCs w:val="24"/>
        </w:rPr>
        <w:t>kërkuesit</w:t>
      </w:r>
      <w:r w:rsidR="00425B93" w:rsidRPr="005D74FA">
        <w:rPr>
          <w:sz w:val="24"/>
          <w:szCs w:val="24"/>
        </w:rPr>
        <w:t xml:space="preserve"> vazhdon ende, vendimi përfundimtar që do të jepet </w:t>
      </w:r>
      <w:r w:rsidR="00B4076A" w:rsidRPr="005D74FA">
        <w:rPr>
          <w:sz w:val="24"/>
          <w:szCs w:val="24"/>
        </w:rPr>
        <w:t xml:space="preserve">për themelin </w:t>
      </w:r>
      <w:r w:rsidR="0062372A" w:rsidRPr="005D74FA">
        <w:rPr>
          <w:sz w:val="24"/>
          <w:szCs w:val="24"/>
        </w:rPr>
        <w:t xml:space="preserve">e saj </w:t>
      </w:r>
      <w:r w:rsidR="00425B93" w:rsidRPr="005D74FA">
        <w:rPr>
          <w:sz w:val="24"/>
          <w:szCs w:val="24"/>
        </w:rPr>
        <w:t xml:space="preserve">nuk është i </w:t>
      </w:r>
      <w:r w:rsidR="001D3A36" w:rsidRPr="005D74FA">
        <w:rPr>
          <w:sz w:val="24"/>
          <w:szCs w:val="24"/>
        </w:rPr>
        <w:t xml:space="preserve">tillë që të mund </w:t>
      </w:r>
      <w:r w:rsidR="00425B93" w:rsidRPr="005D74FA">
        <w:rPr>
          <w:sz w:val="24"/>
          <w:szCs w:val="24"/>
        </w:rPr>
        <w:t xml:space="preserve">të ndryshojë vendimet e kundërshtuara </w:t>
      </w:r>
      <w:r w:rsidR="00AD1902" w:rsidRPr="005D74FA">
        <w:rPr>
          <w:sz w:val="24"/>
          <w:szCs w:val="24"/>
        </w:rPr>
        <w:t>për</w:t>
      </w:r>
      <w:r w:rsidR="00720FDA" w:rsidRPr="005D74FA">
        <w:rPr>
          <w:sz w:val="24"/>
          <w:szCs w:val="24"/>
        </w:rPr>
        <w:t xml:space="preserve"> </w:t>
      </w:r>
      <w:r w:rsidR="00AD1902" w:rsidRPr="005D74FA">
        <w:rPr>
          <w:sz w:val="24"/>
          <w:szCs w:val="24"/>
        </w:rPr>
        <w:t>vendosjen e</w:t>
      </w:r>
      <w:r w:rsidR="00DC1921" w:rsidRPr="005D74FA">
        <w:rPr>
          <w:sz w:val="24"/>
          <w:szCs w:val="24"/>
        </w:rPr>
        <w:t xml:space="preserve"> tij</w:t>
      </w:r>
      <w:r w:rsidR="00B4076A" w:rsidRPr="005D74FA">
        <w:rPr>
          <w:sz w:val="24"/>
          <w:szCs w:val="24"/>
        </w:rPr>
        <w:t xml:space="preserve"> </w:t>
      </w:r>
      <w:r w:rsidR="00AD1902" w:rsidRPr="005D74FA">
        <w:rPr>
          <w:sz w:val="24"/>
          <w:szCs w:val="24"/>
        </w:rPr>
        <w:t>në regjim</w:t>
      </w:r>
      <w:r w:rsidR="00425B93" w:rsidRPr="005D74FA">
        <w:rPr>
          <w:sz w:val="24"/>
          <w:szCs w:val="24"/>
        </w:rPr>
        <w:t xml:space="preserve"> </w:t>
      </w:r>
      <w:r w:rsidR="00AD1902" w:rsidRPr="005D74FA">
        <w:rPr>
          <w:sz w:val="24"/>
          <w:szCs w:val="24"/>
        </w:rPr>
        <w:t>të</w:t>
      </w:r>
      <w:r w:rsidR="00425B93" w:rsidRPr="005D74FA">
        <w:rPr>
          <w:sz w:val="24"/>
          <w:szCs w:val="24"/>
        </w:rPr>
        <w:t xml:space="preserve"> posaçëm në burg të sigurisë së lartë. </w:t>
      </w:r>
      <w:r w:rsidR="00CC57AE" w:rsidRPr="005D74FA">
        <w:rPr>
          <w:sz w:val="24"/>
          <w:szCs w:val="24"/>
        </w:rPr>
        <w:t>Për rrjedhojë, procesi gjyqësor i zhvilluar</w:t>
      </w:r>
      <w:r w:rsidRPr="005D74FA">
        <w:rPr>
          <w:sz w:val="24"/>
          <w:szCs w:val="24"/>
        </w:rPr>
        <w:t xml:space="preserve"> në këtë drejtim është</w:t>
      </w:r>
      <w:r w:rsidR="006F38B4" w:rsidRPr="005D74FA">
        <w:rPr>
          <w:sz w:val="24"/>
          <w:szCs w:val="24"/>
        </w:rPr>
        <w:t xml:space="preserve"> autonom</w:t>
      </w:r>
      <w:r w:rsidR="00CC57AE" w:rsidRPr="005D74FA">
        <w:rPr>
          <w:sz w:val="24"/>
          <w:szCs w:val="24"/>
        </w:rPr>
        <w:t xml:space="preserve"> nga procesi i shqyrtimit të çështjes së themelit për akuzat penale në ngarkim të kërkuesit. </w:t>
      </w:r>
      <w:r w:rsidRPr="005D74FA">
        <w:rPr>
          <w:sz w:val="24"/>
          <w:szCs w:val="24"/>
        </w:rPr>
        <w:t xml:space="preserve">Vendosja në këtë regjim të posaçëm, i ndryshëm nga regjimet e zakonshme të sigurisë për vuajtjen e dënimeve penale, ka çuar në kufizim të mëtejshëm të </w:t>
      </w:r>
      <w:proofErr w:type="spellStart"/>
      <w:r w:rsidRPr="005D74FA">
        <w:rPr>
          <w:sz w:val="24"/>
          <w:szCs w:val="24"/>
        </w:rPr>
        <w:t>të</w:t>
      </w:r>
      <w:proofErr w:type="spellEnd"/>
      <w:r w:rsidRPr="005D74FA">
        <w:rPr>
          <w:sz w:val="24"/>
          <w:szCs w:val="24"/>
        </w:rPr>
        <w:t xml:space="preserve"> drejtave </w:t>
      </w:r>
      <w:r w:rsidR="002E74A8" w:rsidRPr="005D74FA">
        <w:rPr>
          <w:sz w:val="24"/>
          <w:szCs w:val="24"/>
        </w:rPr>
        <w:t>që kërkuesi</w:t>
      </w:r>
      <w:r w:rsidRPr="005D74FA">
        <w:rPr>
          <w:sz w:val="24"/>
          <w:szCs w:val="24"/>
        </w:rPr>
        <w:t xml:space="preserve"> kishte si i paraburgosur në IEVP-në “</w:t>
      </w:r>
      <w:proofErr w:type="spellStart"/>
      <w:r w:rsidRPr="005D74FA">
        <w:rPr>
          <w:sz w:val="24"/>
          <w:szCs w:val="24"/>
        </w:rPr>
        <w:t>Jordan</w:t>
      </w:r>
      <w:proofErr w:type="spellEnd"/>
      <w:r w:rsidRPr="005D74FA">
        <w:rPr>
          <w:sz w:val="24"/>
          <w:szCs w:val="24"/>
        </w:rPr>
        <w:t xml:space="preserve"> </w:t>
      </w:r>
      <w:proofErr w:type="spellStart"/>
      <w:r w:rsidRPr="005D74FA">
        <w:rPr>
          <w:sz w:val="24"/>
          <w:szCs w:val="24"/>
        </w:rPr>
        <w:t>Misja</w:t>
      </w:r>
      <w:proofErr w:type="spellEnd"/>
      <w:r w:rsidRPr="005D74FA">
        <w:rPr>
          <w:sz w:val="24"/>
          <w:szCs w:val="24"/>
        </w:rPr>
        <w:t>”, çka bën që p</w:t>
      </w:r>
      <w:r w:rsidR="00086CD1" w:rsidRPr="005D74FA">
        <w:rPr>
          <w:sz w:val="24"/>
          <w:szCs w:val="24"/>
        </w:rPr>
        <w:t>rocesi gjyqësor</w:t>
      </w:r>
      <w:r w:rsidRPr="005D74FA">
        <w:rPr>
          <w:sz w:val="24"/>
          <w:szCs w:val="24"/>
        </w:rPr>
        <w:t xml:space="preserve"> në lidh</w:t>
      </w:r>
      <w:r w:rsidR="00773B24" w:rsidRPr="005D74FA">
        <w:rPr>
          <w:sz w:val="24"/>
          <w:szCs w:val="24"/>
        </w:rPr>
        <w:t>je me këto të drejta të qëndroj</w:t>
      </w:r>
      <w:r w:rsidRPr="005D74FA">
        <w:rPr>
          <w:sz w:val="24"/>
          <w:szCs w:val="24"/>
        </w:rPr>
        <w:t xml:space="preserve">ë </w:t>
      </w:r>
      <w:r w:rsidR="00773B24" w:rsidRPr="005D74FA">
        <w:rPr>
          <w:sz w:val="24"/>
          <w:szCs w:val="24"/>
        </w:rPr>
        <w:t>i pavarur</w:t>
      </w:r>
      <w:r w:rsidRPr="005D74FA">
        <w:rPr>
          <w:sz w:val="24"/>
          <w:szCs w:val="24"/>
        </w:rPr>
        <w:t xml:space="preserve"> nga të drejtat e tij përgjatë procesit penal të themelit, në lidhje me akuzën penale në ngarkim të tij. Në linjën e këtij arsyetimi, Gjykata vlerëson të theksojë edhe qëndrimin e </w:t>
      </w:r>
      <w:r w:rsidR="00A934C5" w:rsidRPr="005D74FA">
        <w:rPr>
          <w:sz w:val="24"/>
          <w:szCs w:val="24"/>
        </w:rPr>
        <w:t xml:space="preserve">Gjykatës Evropiane për të Drejtat e Njeriut </w:t>
      </w:r>
      <w:r w:rsidR="00A934C5" w:rsidRPr="005D74FA">
        <w:rPr>
          <w:i/>
          <w:sz w:val="24"/>
          <w:szCs w:val="24"/>
        </w:rPr>
        <w:t>(</w:t>
      </w:r>
      <w:r w:rsidRPr="005D74FA">
        <w:rPr>
          <w:i/>
          <w:sz w:val="24"/>
          <w:szCs w:val="24"/>
        </w:rPr>
        <w:t>GJEDNJ</w:t>
      </w:r>
      <w:r w:rsidR="00A934C5" w:rsidRPr="005D74FA">
        <w:rPr>
          <w:i/>
          <w:sz w:val="24"/>
          <w:szCs w:val="24"/>
        </w:rPr>
        <w:t>)</w:t>
      </w:r>
      <w:r w:rsidRPr="005D74FA">
        <w:rPr>
          <w:sz w:val="24"/>
          <w:szCs w:val="24"/>
        </w:rPr>
        <w:t xml:space="preserve">, e cila i ka konsideruar vendimet e dhëna nga gjykatat kombëtare ndaj një urdhri të ministrit të Drejtësisë për vendosjen e një të pandehuri ose të burgosuri në regjim të posaçëm të burgut të sigurisë së lartë si procese të veçanta nga procesi penal i themelit i zhvilluar ndaj tij </w:t>
      </w:r>
      <w:r w:rsidRPr="005D74FA">
        <w:rPr>
          <w:i/>
          <w:sz w:val="24"/>
          <w:szCs w:val="24"/>
        </w:rPr>
        <w:t xml:space="preserve">(shih vendimet e GJEDNJ-së </w:t>
      </w:r>
      <w:proofErr w:type="spellStart"/>
      <w:r w:rsidRPr="005D74FA">
        <w:rPr>
          <w:i/>
          <w:sz w:val="24"/>
          <w:szCs w:val="24"/>
        </w:rPr>
        <w:t>Barbaro</w:t>
      </w:r>
      <w:proofErr w:type="spellEnd"/>
      <w:r w:rsidRPr="005D74FA">
        <w:rPr>
          <w:i/>
          <w:sz w:val="24"/>
          <w:szCs w:val="24"/>
        </w:rPr>
        <w:t xml:space="preserve"> k. Italisë, datë 16.02.2010; </w:t>
      </w:r>
      <w:proofErr w:type="spellStart"/>
      <w:r w:rsidRPr="005D74FA">
        <w:rPr>
          <w:i/>
          <w:sz w:val="24"/>
          <w:szCs w:val="24"/>
        </w:rPr>
        <w:t>Enea</w:t>
      </w:r>
      <w:proofErr w:type="spellEnd"/>
      <w:r w:rsidRPr="005D74FA">
        <w:rPr>
          <w:i/>
          <w:sz w:val="24"/>
          <w:szCs w:val="24"/>
        </w:rPr>
        <w:t xml:space="preserve"> k. Italisë, datë 17.09.2009; </w:t>
      </w:r>
      <w:proofErr w:type="spellStart"/>
      <w:r w:rsidR="00601F4B" w:rsidRPr="005D74FA">
        <w:rPr>
          <w:i/>
          <w:sz w:val="24"/>
          <w:szCs w:val="24"/>
        </w:rPr>
        <w:t>Asciutto</w:t>
      </w:r>
      <w:proofErr w:type="spellEnd"/>
      <w:r w:rsidR="00601F4B" w:rsidRPr="005D74FA">
        <w:rPr>
          <w:i/>
          <w:sz w:val="24"/>
          <w:szCs w:val="24"/>
        </w:rPr>
        <w:t xml:space="preserve"> k. Italisë, datë 27.11.2007; </w:t>
      </w:r>
      <w:proofErr w:type="spellStart"/>
      <w:r w:rsidRPr="005D74FA">
        <w:rPr>
          <w:i/>
          <w:sz w:val="24"/>
          <w:szCs w:val="24"/>
        </w:rPr>
        <w:t>Ganci</w:t>
      </w:r>
      <w:proofErr w:type="spellEnd"/>
      <w:r w:rsidRPr="005D74FA">
        <w:rPr>
          <w:i/>
          <w:sz w:val="24"/>
          <w:szCs w:val="24"/>
        </w:rPr>
        <w:t xml:space="preserve"> k. Italisë, datë 30.10.2003)</w:t>
      </w:r>
      <w:r w:rsidRPr="005D74FA">
        <w:rPr>
          <w:sz w:val="24"/>
          <w:szCs w:val="24"/>
        </w:rPr>
        <w:t>. Gjykata konstaton</w:t>
      </w:r>
      <w:r w:rsidR="002E74A8" w:rsidRPr="005D74FA">
        <w:rPr>
          <w:sz w:val="24"/>
          <w:szCs w:val="24"/>
        </w:rPr>
        <w:t>, gjithashtu,</w:t>
      </w:r>
      <w:r w:rsidR="00425B93" w:rsidRPr="005D74FA">
        <w:rPr>
          <w:sz w:val="24"/>
          <w:szCs w:val="24"/>
        </w:rPr>
        <w:t xml:space="preserve"> se shkelja e pretenduar nga kërkuesi është pasojë e drejtpërdrejtë e vendimeve të kundërshtuara.</w:t>
      </w:r>
      <w:r w:rsidR="0033066F" w:rsidRPr="005D74FA">
        <w:rPr>
          <w:sz w:val="24"/>
          <w:szCs w:val="24"/>
        </w:rPr>
        <w:t xml:space="preserve"> </w:t>
      </w:r>
    </w:p>
    <w:p w:rsidR="00F23677" w:rsidRPr="005D74FA" w:rsidRDefault="00F23677" w:rsidP="00F23677">
      <w:pPr>
        <w:pStyle w:val="ListParagraph"/>
        <w:numPr>
          <w:ilvl w:val="0"/>
          <w:numId w:val="1"/>
        </w:numPr>
        <w:tabs>
          <w:tab w:val="left" w:pos="1080"/>
        </w:tabs>
        <w:spacing w:line="360" w:lineRule="auto"/>
        <w:ind w:left="0" w:firstLine="720"/>
        <w:rPr>
          <w:sz w:val="24"/>
          <w:szCs w:val="24"/>
        </w:rPr>
      </w:pPr>
      <w:r w:rsidRPr="005D74FA">
        <w:rPr>
          <w:sz w:val="24"/>
          <w:szCs w:val="24"/>
        </w:rPr>
        <w:t xml:space="preserve">Për </w:t>
      </w:r>
      <w:r w:rsidR="00D064AA" w:rsidRPr="005D74FA">
        <w:rPr>
          <w:sz w:val="24"/>
          <w:szCs w:val="24"/>
        </w:rPr>
        <w:t>sa më lart</w:t>
      </w:r>
      <w:r w:rsidRPr="005D74FA">
        <w:rPr>
          <w:sz w:val="24"/>
          <w:szCs w:val="24"/>
        </w:rPr>
        <w:t xml:space="preserve">, Gjykata vëren se </w:t>
      </w:r>
      <w:r w:rsidR="0062372A" w:rsidRPr="005D74FA">
        <w:rPr>
          <w:sz w:val="24"/>
          <w:szCs w:val="24"/>
        </w:rPr>
        <w:t xml:space="preserve">për </w:t>
      </w:r>
      <w:r w:rsidRPr="005D74FA">
        <w:rPr>
          <w:sz w:val="24"/>
          <w:szCs w:val="24"/>
        </w:rPr>
        <w:t xml:space="preserve">vendimet </w:t>
      </w:r>
      <w:r w:rsidR="008F6DBB" w:rsidRPr="005D74FA">
        <w:rPr>
          <w:sz w:val="24"/>
          <w:szCs w:val="24"/>
        </w:rPr>
        <w:t>gjyqësore</w:t>
      </w:r>
      <w:r w:rsidR="00434BFF" w:rsidRPr="005D74FA">
        <w:rPr>
          <w:sz w:val="24"/>
          <w:szCs w:val="24"/>
        </w:rPr>
        <w:t>,</w:t>
      </w:r>
      <w:r w:rsidR="00A0458F" w:rsidRPr="005D74FA">
        <w:rPr>
          <w:sz w:val="24"/>
          <w:szCs w:val="24"/>
        </w:rPr>
        <w:t xml:space="preserve"> objekt kërkese</w:t>
      </w:r>
      <w:r w:rsidR="00434BFF" w:rsidRPr="005D74FA">
        <w:rPr>
          <w:sz w:val="24"/>
          <w:szCs w:val="24"/>
        </w:rPr>
        <w:t>,</w:t>
      </w:r>
      <w:r w:rsidRPr="005D74FA">
        <w:rPr>
          <w:sz w:val="24"/>
          <w:szCs w:val="24"/>
        </w:rPr>
        <w:t xml:space="preserve"> </w:t>
      </w:r>
      <w:r w:rsidR="0062372A" w:rsidRPr="005D74FA">
        <w:rPr>
          <w:sz w:val="24"/>
          <w:szCs w:val="24"/>
        </w:rPr>
        <w:t xml:space="preserve">kërkuesi i ka shteruar mjetet efektive në dispozicion për mbrojtjen e të drejtave të tij kushtetuese, prandaj ato </w:t>
      </w:r>
      <w:r w:rsidRPr="005D74FA">
        <w:rPr>
          <w:sz w:val="24"/>
          <w:szCs w:val="24"/>
        </w:rPr>
        <w:t xml:space="preserve">janë të një natyre të tillë që i nënshtrohen kontrollit kushtetues. </w:t>
      </w:r>
    </w:p>
    <w:p w:rsidR="00F50535" w:rsidRPr="005D74FA" w:rsidRDefault="003E43ED" w:rsidP="00347A06">
      <w:pPr>
        <w:pStyle w:val="ListParagraph"/>
        <w:numPr>
          <w:ilvl w:val="0"/>
          <w:numId w:val="1"/>
        </w:numPr>
        <w:tabs>
          <w:tab w:val="left" w:pos="1080"/>
        </w:tabs>
        <w:spacing w:line="360" w:lineRule="auto"/>
        <w:ind w:left="0" w:firstLine="720"/>
        <w:rPr>
          <w:sz w:val="24"/>
          <w:szCs w:val="24"/>
        </w:rPr>
      </w:pPr>
      <w:r w:rsidRPr="005D74FA">
        <w:rPr>
          <w:bCs/>
          <w:sz w:val="24"/>
          <w:szCs w:val="24"/>
        </w:rPr>
        <w:t>Lidhur me</w:t>
      </w:r>
      <w:r w:rsidR="00F50535" w:rsidRPr="005D74FA">
        <w:rPr>
          <w:bCs/>
          <w:sz w:val="24"/>
          <w:szCs w:val="24"/>
        </w:rPr>
        <w:t xml:space="preserve"> legjitimimi</w:t>
      </w:r>
      <w:r w:rsidRPr="005D74FA">
        <w:rPr>
          <w:bCs/>
          <w:sz w:val="24"/>
          <w:szCs w:val="24"/>
        </w:rPr>
        <w:t>n</w:t>
      </w:r>
      <w:r w:rsidR="00F50535" w:rsidRPr="005D74FA">
        <w:rPr>
          <w:bCs/>
          <w:sz w:val="24"/>
          <w:szCs w:val="24"/>
        </w:rPr>
        <w:t xml:space="preserve"> </w:t>
      </w:r>
      <w:proofErr w:type="spellStart"/>
      <w:r w:rsidR="00F50535" w:rsidRPr="005D74FA">
        <w:rPr>
          <w:bCs/>
          <w:i/>
          <w:sz w:val="24"/>
          <w:szCs w:val="24"/>
        </w:rPr>
        <w:t>ratione</w:t>
      </w:r>
      <w:proofErr w:type="spellEnd"/>
      <w:r w:rsidR="00F50535" w:rsidRPr="005D74FA">
        <w:rPr>
          <w:bCs/>
          <w:i/>
          <w:sz w:val="24"/>
          <w:szCs w:val="24"/>
        </w:rPr>
        <w:t xml:space="preserve"> </w:t>
      </w:r>
      <w:proofErr w:type="spellStart"/>
      <w:r w:rsidR="00F50535" w:rsidRPr="005D74FA">
        <w:rPr>
          <w:bCs/>
          <w:i/>
          <w:sz w:val="24"/>
          <w:szCs w:val="24"/>
        </w:rPr>
        <w:t>temporis</w:t>
      </w:r>
      <w:proofErr w:type="spellEnd"/>
      <w:r w:rsidR="00F50535" w:rsidRPr="005D74FA">
        <w:rPr>
          <w:bCs/>
          <w:sz w:val="24"/>
          <w:szCs w:val="24"/>
        </w:rPr>
        <w:t>, nga materialet bashkëlidhur kërkesës rezulton se vendimi i Kolegjit Penal të Gjykatës së Lartë</w:t>
      </w:r>
      <w:r w:rsidR="00217F80" w:rsidRPr="005D74FA">
        <w:rPr>
          <w:bCs/>
          <w:sz w:val="24"/>
          <w:szCs w:val="24"/>
        </w:rPr>
        <w:t xml:space="preserve">, </w:t>
      </w:r>
      <w:r w:rsidR="00217F80" w:rsidRPr="005D74FA">
        <w:rPr>
          <w:rFonts w:eastAsia="Times New Roman"/>
          <w:sz w:val="24"/>
          <w:szCs w:val="24"/>
        </w:rPr>
        <w:t>i cili ka mbyllur procesin gjyqësor në gjykatat e zakonshme,</w:t>
      </w:r>
      <w:r w:rsidR="00F50535" w:rsidRPr="005D74FA">
        <w:rPr>
          <w:bCs/>
          <w:sz w:val="24"/>
          <w:szCs w:val="24"/>
        </w:rPr>
        <w:t xml:space="preserve"> mban datën 25.05.2021, ndërsa kërkesa është paraqitur në Gjykatë në datën 02.09.2021. Në këto kushte, </w:t>
      </w:r>
      <w:r w:rsidR="00217F80" w:rsidRPr="005D74FA">
        <w:rPr>
          <w:bCs/>
          <w:sz w:val="24"/>
          <w:szCs w:val="24"/>
        </w:rPr>
        <w:t xml:space="preserve">Gjykata vlerëson se </w:t>
      </w:r>
      <w:r w:rsidR="00F50535" w:rsidRPr="005D74FA">
        <w:rPr>
          <w:bCs/>
          <w:sz w:val="24"/>
          <w:szCs w:val="24"/>
        </w:rPr>
        <w:t>kërkesa është paraqitur brenda afatit 4-mujor</w:t>
      </w:r>
      <w:r w:rsidR="00C01D21" w:rsidRPr="005D74FA">
        <w:rPr>
          <w:bCs/>
          <w:sz w:val="24"/>
          <w:szCs w:val="24"/>
        </w:rPr>
        <w:t>,</w:t>
      </w:r>
      <w:r w:rsidR="00F50535" w:rsidRPr="005D74FA">
        <w:rPr>
          <w:bCs/>
          <w:sz w:val="24"/>
          <w:szCs w:val="24"/>
        </w:rPr>
        <w:t xml:space="preserve"> të përcaktuar nga neni 71/a, pika 1, shkronja “b”, i ligjit nr. 8577/2000.</w:t>
      </w:r>
      <w:r w:rsidR="00217F80" w:rsidRPr="005D74FA">
        <w:rPr>
          <w:bCs/>
          <w:sz w:val="24"/>
          <w:szCs w:val="24"/>
        </w:rPr>
        <w:t xml:space="preserve"> </w:t>
      </w:r>
    </w:p>
    <w:p w:rsidR="002E74A8" w:rsidRPr="005D74FA" w:rsidRDefault="00EE7064" w:rsidP="00083B19">
      <w:pPr>
        <w:pStyle w:val="ListParagraph"/>
        <w:numPr>
          <w:ilvl w:val="0"/>
          <w:numId w:val="1"/>
        </w:numPr>
        <w:tabs>
          <w:tab w:val="left" w:pos="1080"/>
        </w:tabs>
        <w:spacing w:line="360" w:lineRule="auto"/>
        <w:ind w:left="0" w:firstLine="720"/>
        <w:rPr>
          <w:sz w:val="24"/>
          <w:szCs w:val="24"/>
        </w:rPr>
      </w:pPr>
      <w:r w:rsidRPr="005D74FA">
        <w:rPr>
          <w:sz w:val="24"/>
          <w:szCs w:val="24"/>
        </w:rPr>
        <w:t xml:space="preserve">Në lidhje me legjitimimin </w:t>
      </w:r>
      <w:proofErr w:type="spellStart"/>
      <w:r w:rsidRPr="005D74FA">
        <w:rPr>
          <w:i/>
          <w:sz w:val="24"/>
          <w:szCs w:val="24"/>
        </w:rPr>
        <w:t>ratione</w:t>
      </w:r>
      <w:proofErr w:type="spellEnd"/>
      <w:r w:rsidRPr="005D74FA">
        <w:rPr>
          <w:i/>
          <w:sz w:val="24"/>
          <w:szCs w:val="24"/>
        </w:rPr>
        <w:t xml:space="preserve"> </w:t>
      </w:r>
      <w:proofErr w:type="spellStart"/>
      <w:r w:rsidRPr="005D74FA">
        <w:rPr>
          <w:i/>
          <w:sz w:val="24"/>
          <w:szCs w:val="24"/>
        </w:rPr>
        <w:t>materia</w:t>
      </w:r>
      <w:r w:rsidR="00DC2DF4" w:rsidRPr="005D74FA">
        <w:rPr>
          <w:i/>
          <w:sz w:val="24"/>
          <w:szCs w:val="24"/>
        </w:rPr>
        <w:t>e</w:t>
      </w:r>
      <w:proofErr w:type="spellEnd"/>
      <w:r w:rsidRPr="005D74FA">
        <w:rPr>
          <w:i/>
          <w:sz w:val="24"/>
          <w:szCs w:val="24"/>
        </w:rPr>
        <w:t xml:space="preserve"> </w:t>
      </w:r>
      <w:r w:rsidRPr="005D74FA">
        <w:rPr>
          <w:sz w:val="24"/>
          <w:szCs w:val="24"/>
        </w:rPr>
        <w:t>të kërkuesit</w:t>
      </w:r>
      <w:r w:rsidR="00F84958" w:rsidRPr="005D74FA">
        <w:rPr>
          <w:sz w:val="24"/>
          <w:szCs w:val="24"/>
        </w:rPr>
        <w:t>,</w:t>
      </w:r>
      <w:r w:rsidRPr="005D74FA">
        <w:rPr>
          <w:sz w:val="24"/>
          <w:szCs w:val="24"/>
        </w:rPr>
        <w:t xml:space="preserve"> s</w:t>
      </w:r>
      <w:r w:rsidR="00AF500B" w:rsidRPr="005D74FA">
        <w:rPr>
          <w:sz w:val="24"/>
          <w:szCs w:val="24"/>
        </w:rPr>
        <w:t xml:space="preserve">ipas nenit </w:t>
      </w:r>
      <w:r w:rsidR="00AF500B" w:rsidRPr="005D74FA">
        <w:rPr>
          <w:bCs/>
          <w:sz w:val="24"/>
          <w:szCs w:val="24"/>
        </w:rPr>
        <w:t>131, pika 1, shkronja “f”,</w:t>
      </w:r>
      <w:r w:rsidR="00AF500B" w:rsidRPr="005D74FA">
        <w:rPr>
          <w:sz w:val="24"/>
          <w:szCs w:val="24"/>
        </w:rPr>
        <w:t xml:space="preserve"> të Kushtetutës, si dhe nenit 71/a të ligjit </w:t>
      </w:r>
      <w:r w:rsidR="00AF500B" w:rsidRPr="005D74FA">
        <w:rPr>
          <w:bCs/>
          <w:sz w:val="24"/>
          <w:szCs w:val="24"/>
        </w:rPr>
        <w:t xml:space="preserve">nr. 8577/2000, </w:t>
      </w:r>
      <w:r w:rsidR="00DC2DF4" w:rsidRPr="005D74FA">
        <w:rPr>
          <w:sz w:val="24"/>
          <w:szCs w:val="24"/>
        </w:rPr>
        <w:t xml:space="preserve">Gjykata evidenton </w:t>
      </w:r>
      <w:r w:rsidR="00DC2DF4" w:rsidRPr="005D74FA">
        <w:rPr>
          <w:iCs/>
          <w:sz w:val="24"/>
          <w:szCs w:val="24"/>
        </w:rPr>
        <w:t>se kërkuesi, në objektin e ankimit kushtetues, ka pretenduar shkeljen e së drejtës për proces të rregullt ligjor, në aspektin e së d</w:t>
      </w:r>
      <w:r w:rsidR="00297CDA" w:rsidRPr="005D74FA">
        <w:rPr>
          <w:iCs/>
          <w:sz w:val="24"/>
          <w:szCs w:val="24"/>
        </w:rPr>
        <w:t xml:space="preserve">rejtës së mbrojtjes, </w:t>
      </w:r>
      <w:proofErr w:type="spellStart"/>
      <w:r w:rsidR="00297CDA" w:rsidRPr="005D74FA">
        <w:rPr>
          <w:iCs/>
          <w:sz w:val="24"/>
          <w:szCs w:val="24"/>
        </w:rPr>
        <w:t>aksesit</w:t>
      </w:r>
      <w:proofErr w:type="spellEnd"/>
      <w:r w:rsidR="00297CDA" w:rsidRPr="005D74FA">
        <w:rPr>
          <w:iCs/>
          <w:sz w:val="24"/>
          <w:szCs w:val="24"/>
        </w:rPr>
        <w:t xml:space="preserve">, </w:t>
      </w:r>
      <w:r w:rsidR="00DC2DF4" w:rsidRPr="005D74FA">
        <w:rPr>
          <w:iCs/>
          <w:sz w:val="24"/>
          <w:szCs w:val="24"/>
        </w:rPr>
        <w:t>barazisë së armëve</w:t>
      </w:r>
      <w:r w:rsidR="00297CDA" w:rsidRPr="005D74FA">
        <w:rPr>
          <w:iCs/>
          <w:sz w:val="24"/>
          <w:szCs w:val="24"/>
        </w:rPr>
        <w:t xml:space="preserve"> dhe kontradiktoritetit</w:t>
      </w:r>
      <w:r w:rsidR="0062372A" w:rsidRPr="005D74FA">
        <w:rPr>
          <w:iCs/>
          <w:sz w:val="24"/>
          <w:szCs w:val="24"/>
        </w:rPr>
        <w:t>, të cilat kanë natyrë kushtetuese</w:t>
      </w:r>
      <w:r w:rsidR="004738B6" w:rsidRPr="005D74FA">
        <w:rPr>
          <w:iCs/>
          <w:sz w:val="24"/>
          <w:szCs w:val="24"/>
        </w:rPr>
        <w:t>,</w:t>
      </w:r>
      <w:r w:rsidR="00D07AC3" w:rsidRPr="005D74FA">
        <w:rPr>
          <w:iCs/>
          <w:sz w:val="24"/>
          <w:szCs w:val="24"/>
        </w:rPr>
        <w:t xml:space="preserve"> për rrjedhojë</w:t>
      </w:r>
      <w:r w:rsidR="00DC2DF4" w:rsidRPr="005D74FA">
        <w:rPr>
          <w:iCs/>
          <w:sz w:val="24"/>
          <w:szCs w:val="24"/>
        </w:rPr>
        <w:t xml:space="preserve"> G</w:t>
      </w:r>
      <w:r w:rsidR="00C01D21" w:rsidRPr="005D74FA">
        <w:rPr>
          <w:sz w:val="24"/>
          <w:szCs w:val="24"/>
        </w:rPr>
        <w:t>jykata</w:t>
      </w:r>
      <w:r w:rsidR="00DC2DF4" w:rsidRPr="005D74FA">
        <w:rPr>
          <w:sz w:val="24"/>
          <w:szCs w:val="24"/>
        </w:rPr>
        <w:t xml:space="preserve"> </w:t>
      </w:r>
      <w:r w:rsidR="00DC2DF4" w:rsidRPr="005D74FA">
        <w:rPr>
          <w:iCs/>
          <w:sz w:val="24"/>
          <w:szCs w:val="24"/>
        </w:rPr>
        <w:t xml:space="preserve">vlerëson se </w:t>
      </w:r>
      <w:r w:rsidR="00DC2DF4" w:rsidRPr="005D74FA">
        <w:rPr>
          <w:sz w:val="24"/>
          <w:szCs w:val="24"/>
        </w:rPr>
        <w:t xml:space="preserve">në vështrim të neneve 42 dhe 131, pika 1, shkronja “f”, të Kushtetutës, pretendimet e tij </w:t>
      </w:r>
      <w:r w:rsidR="00DC2DF4" w:rsidRPr="005D74FA">
        <w:rPr>
          <w:iCs/>
          <w:sz w:val="24"/>
          <w:szCs w:val="24"/>
        </w:rPr>
        <w:t xml:space="preserve">përfshihen në juridiksionin kushtetues. </w:t>
      </w:r>
    </w:p>
    <w:p w:rsidR="00DC2DF4" w:rsidRPr="005D74FA" w:rsidRDefault="00DC2DF4" w:rsidP="00DC2DF4">
      <w:pPr>
        <w:pStyle w:val="ListParagraph"/>
        <w:numPr>
          <w:ilvl w:val="0"/>
          <w:numId w:val="1"/>
        </w:numPr>
        <w:tabs>
          <w:tab w:val="left" w:pos="1080"/>
        </w:tabs>
        <w:spacing w:line="360" w:lineRule="auto"/>
        <w:ind w:left="0" w:firstLine="720"/>
        <w:rPr>
          <w:sz w:val="24"/>
          <w:szCs w:val="24"/>
        </w:rPr>
      </w:pPr>
      <w:r w:rsidRPr="005D74FA">
        <w:rPr>
          <w:bCs/>
          <w:sz w:val="24"/>
          <w:szCs w:val="24"/>
        </w:rPr>
        <w:t xml:space="preserve">Gjykata </w:t>
      </w:r>
      <w:r w:rsidRPr="005D74FA">
        <w:rPr>
          <w:sz w:val="24"/>
          <w:szCs w:val="24"/>
        </w:rPr>
        <w:t>vëren se sipas</w:t>
      </w:r>
      <w:r w:rsidRPr="005D74FA">
        <w:rPr>
          <w:rFonts w:eastAsia="Times New Roman"/>
          <w:bCs/>
          <w:sz w:val="24"/>
          <w:szCs w:val="24"/>
        </w:rPr>
        <w:t xml:space="preserve"> GJEDNJ-së, masat përmes të cilave një i paraburgosur ose i burgosur vendoset në regjim të posaçëm të ushtrimit të </w:t>
      </w:r>
      <w:proofErr w:type="spellStart"/>
      <w:r w:rsidRPr="005D74FA">
        <w:rPr>
          <w:rFonts w:eastAsia="Times New Roman"/>
          <w:bCs/>
          <w:sz w:val="24"/>
          <w:szCs w:val="24"/>
        </w:rPr>
        <w:t>të</w:t>
      </w:r>
      <w:proofErr w:type="spellEnd"/>
      <w:r w:rsidRPr="005D74FA">
        <w:rPr>
          <w:rFonts w:eastAsia="Times New Roman"/>
          <w:bCs/>
          <w:sz w:val="24"/>
          <w:szCs w:val="24"/>
        </w:rPr>
        <w:t xml:space="preserve"> drejtave në burg të sigurisë së lartë, në vetvete, nuk kanë karakter ndëshkues, por parandalues </w:t>
      </w:r>
      <w:r w:rsidRPr="005D74FA">
        <w:rPr>
          <w:i/>
          <w:sz w:val="24"/>
          <w:szCs w:val="24"/>
        </w:rPr>
        <w:t xml:space="preserve">(shih vendimin e GJEDNJ-së </w:t>
      </w:r>
      <w:proofErr w:type="spellStart"/>
      <w:r w:rsidRPr="005D74FA">
        <w:rPr>
          <w:i/>
          <w:sz w:val="24"/>
          <w:szCs w:val="24"/>
        </w:rPr>
        <w:t>Provenzano</w:t>
      </w:r>
      <w:proofErr w:type="spellEnd"/>
      <w:r w:rsidRPr="005D74FA">
        <w:rPr>
          <w:i/>
          <w:sz w:val="24"/>
          <w:szCs w:val="24"/>
        </w:rPr>
        <w:t xml:space="preserve"> k. Italisë, datë 25.10.2018, § 150)</w:t>
      </w:r>
      <w:r w:rsidRPr="005D74FA">
        <w:rPr>
          <w:sz w:val="24"/>
          <w:szCs w:val="24"/>
        </w:rPr>
        <w:t>. Për rrjedhojë, kufizimet që i bëhen të drejtave të një të burgosuri si rezultat i vendosjes së tij në regjim të posaçëm burgimi</w:t>
      </w:r>
      <w:r w:rsidR="00C01D21" w:rsidRPr="005D74FA">
        <w:rPr>
          <w:sz w:val="24"/>
          <w:szCs w:val="24"/>
        </w:rPr>
        <w:t>,</w:t>
      </w:r>
      <w:r w:rsidRPr="005D74FA">
        <w:rPr>
          <w:sz w:val="24"/>
          <w:szCs w:val="24"/>
        </w:rPr>
        <w:t xml:space="preserve"> bien brenda sferës së të drejtave personale dhe</w:t>
      </w:r>
      <w:r w:rsidR="00C01D21" w:rsidRPr="005D74FA">
        <w:rPr>
          <w:sz w:val="24"/>
          <w:szCs w:val="24"/>
        </w:rPr>
        <w:t>,</w:t>
      </w:r>
      <w:r w:rsidRPr="005D74FA">
        <w:rPr>
          <w:sz w:val="24"/>
          <w:szCs w:val="24"/>
        </w:rPr>
        <w:t xml:space="preserve"> si të tilla</w:t>
      </w:r>
      <w:r w:rsidR="00C01D21" w:rsidRPr="005D74FA">
        <w:rPr>
          <w:sz w:val="24"/>
          <w:szCs w:val="24"/>
        </w:rPr>
        <w:t>,</w:t>
      </w:r>
      <w:r w:rsidRPr="005D74FA">
        <w:rPr>
          <w:sz w:val="24"/>
          <w:szCs w:val="24"/>
        </w:rPr>
        <w:t xml:space="preserve"> përfshihen brenda konceptit të “të drejtave dhe detyrimeve civile”</w:t>
      </w:r>
      <w:r w:rsidR="00101A8C" w:rsidRPr="005D74FA">
        <w:rPr>
          <w:sz w:val="24"/>
          <w:szCs w:val="24"/>
        </w:rPr>
        <w:t>,</w:t>
      </w:r>
      <w:r w:rsidRPr="005D74FA">
        <w:rPr>
          <w:sz w:val="24"/>
          <w:szCs w:val="24"/>
        </w:rPr>
        <w:t xml:space="preserve"> të parashikuar në nenin 6/1 të KEDNJ-së</w:t>
      </w:r>
      <w:r w:rsidR="007F0A84" w:rsidRPr="005D74FA">
        <w:rPr>
          <w:sz w:val="24"/>
          <w:szCs w:val="24"/>
        </w:rPr>
        <w:t xml:space="preserve"> që</w:t>
      </w:r>
      <w:r w:rsidR="00513C43" w:rsidRPr="005D74FA">
        <w:rPr>
          <w:sz w:val="24"/>
          <w:szCs w:val="24"/>
        </w:rPr>
        <w:t xml:space="preserve"> garanton</w:t>
      </w:r>
      <w:r w:rsidR="007F0A84" w:rsidRPr="005D74FA">
        <w:rPr>
          <w:sz w:val="24"/>
          <w:szCs w:val="24"/>
        </w:rPr>
        <w:t xml:space="preserve"> të drejtën e procesit të</w:t>
      </w:r>
      <w:r w:rsidR="00513C43" w:rsidRPr="005D74FA">
        <w:rPr>
          <w:sz w:val="24"/>
          <w:szCs w:val="24"/>
        </w:rPr>
        <w:t xml:space="preserve"> rregullt</w:t>
      </w:r>
      <w:r w:rsidRPr="005D74FA">
        <w:rPr>
          <w:sz w:val="24"/>
          <w:szCs w:val="24"/>
        </w:rPr>
        <w:t xml:space="preserve"> </w:t>
      </w:r>
      <w:r w:rsidRPr="005D74FA">
        <w:rPr>
          <w:i/>
          <w:sz w:val="24"/>
          <w:szCs w:val="24"/>
        </w:rPr>
        <w:t xml:space="preserve">(shih vendimet e GJEDNJ-së </w:t>
      </w:r>
      <w:proofErr w:type="spellStart"/>
      <w:r w:rsidRPr="005D74FA">
        <w:rPr>
          <w:i/>
          <w:sz w:val="24"/>
          <w:szCs w:val="24"/>
        </w:rPr>
        <w:t>Enea</w:t>
      </w:r>
      <w:proofErr w:type="spellEnd"/>
      <w:r w:rsidRPr="005D74FA">
        <w:rPr>
          <w:i/>
          <w:sz w:val="24"/>
          <w:szCs w:val="24"/>
        </w:rPr>
        <w:t xml:space="preserve"> k. Italisë, datë 17.09.2009, §§ 97-98; </w:t>
      </w:r>
      <w:proofErr w:type="spellStart"/>
      <w:r w:rsidRPr="005D74FA">
        <w:rPr>
          <w:i/>
          <w:sz w:val="24"/>
          <w:szCs w:val="24"/>
        </w:rPr>
        <w:t>Papalia</w:t>
      </w:r>
      <w:proofErr w:type="spellEnd"/>
      <w:r w:rsidRPr="005D74FA">
        <w:rPr>
          <w:i/>
          <w:sz w:val="24"/>
          <w:szCs w:val="24"/>
        </w:rPr>
        <w:t xml:space="preserve"> k. Italisë, datë 04.12.2007, § 27; </w:t>
      </w:r>
      <w:proofErr w:type="spellStart"/>
      <w:r w:rsidRPr="005D74FA">
        <w:rPr>
          <w:i/>
          <w:sz w:val="24"/>
          <w:szCs w:val="24"/>
        </w:rPr>
        <w:t>Musumeci</w:t>
      </w:r>
      <w:proofErr w:type="spellEnd"/>
      <w:r w:rsidRPr="005D74FA">
        <w:rPr>
          <w:i/>
          <w:sz w:val="24"/>
          <w:szCs w:val="24"/>
        </w:rPr>
        <w:t xml:space="preserve"> k. Italisë, datë 11.01.2005, § 36; </w:t>
      </w:r>
      <w:proofErr w:type="spellStart"/>
      <w:r w:rsidRPr="005D74FA">
        <w:rPr>
          <w:i/>
          <w:sz w:val="24"/>
          <w:szCs w:val="24"/>
        </w:rPr>
        <w:t>Ganci</w:t>
      </w:r>
      <w:proofErr w:type="spellEnd"/>
      <w:r w:rsidRPr="005D74FA">
        <w:rPr>
          <w:i/>
          <w:sz w:val="24"/>
          <w:szCs w:val="24"/>
        </w:rPr>
        <w:t xml:space="preserve"> k. Italisë, datë 30.12.2003, §§ 20-26)</w:t>
      </w:r>
      <w:r w:rsidRPr="005D74FA">
        <w:rPr>
          <w:sz w:val="24"/>
          <w:szCs w:val="24"/>
        </w:rPr>
        <w:t xml:space="preserve">. Sipas GJEDNJ-së, garancitë e </w:t>
      </w:r>
      <w:r w:rsidR="00D9767F" w:rsidRPr="005D74FA">
        <w:rPr>
          <w:sz w:val="24"/>
          <w:szCs w:val="24"/>
        </w:rPr>
        <w:t>procesit të rregullt ligjor,</w:t>
      </w:r>
      <w:r w:rsidRPr="005D74FA">
        <w:rPr>
          <w:sz w:val="24"/>
          <w:szCs w:val="24"/>
        </w:rPr>
        <w:t xml:space="preserve"> të tilla si e drejta për </w:t>
      </w:r>
      <w:proofErr w:type="spellStart"/>
      <w:r w:rsidRPr="005D74FA">
        <w:rPr>
          <w:sz w:val="24"/>
          <w:szCs w:val="24"/>
        </w:rPr>
        <w:t>akses</w:t>
      </w:r>
      <w:proofErr w:type="spellEnd"/>
      <w:r w:rsidRPr="005D74FA">
        <w:rPr>
          <w:sz w:val="24"/>
          <w:szCs w:val="24"/>
        </w:rPr>
        <w:t xml:space="preserve">, për t’u dëgjuar, për barazi të armëve dhe </w:t>
      </w:r>
      <w:proofErr w:type="spellStart"/>
      <w:r w:rsidRPr="005D74FA">
        <w:rPr>
          <w:sz w:val="24"/>
          <w:szCs w:val="24"/>
        </w:rPr>
        <w:t>kontradiktoritet</w:t>
      </w:r>
      <w:proofErr w:type="spellEnd"/>
      <w:r w:rsidRPr="005D74FA">
        <w:rPr>
          <w:sz w:val="24"/>
          <w:szCs w:val="24"/>
        </w:rPr>
        <w:t xml:space="preserve">, zbatohen edhe në këto lloj procedurash </w:t>
      </w:r>
      <w:r w:rsidRPr="005D74FA">
        <w:rPr>
          <w:i/>
          <w:sz w:val="24"/>
          <w:szCs w:val="24"/>
        </w:rPr>
        <w:t xml:space="preserve">(shih vendimet e GJEDNJ-së </w:t>
      </w:r>
      <w:proofErr w:type="spellStart"/>
      <w:r w:rsidRPr="005D74FA">
        <w:rPr>
          <w:i/>
          <w:sz w:val="24"/>
          <w:szCs w:val="24"/>
        </w:rPr>
        <w:t>Musumeci</w:t>
      </w:r>
      <w:proofErr w:type="spellEnd"/>
      <w:r w:rsidRPr="005D74FA">
        <w:rPr>
          <w:i/>
          <w:sz w:val="24"/>
          <w:szCs w:val="24"/>
        </w:rPr>
        <w:t xml:space="preserve"> k. Italisë, </w:t>
      </w:r>
      <w:r w:rsidRPr="005D74FA">
        <w:rPr>
          <w:rFonts w:eastAsia="Times New Roman"/>
          <w:i/>
          <w:sz w:val="24"/>
          <w:szCs w:val="24"/>
          <w:lang w:eastAsia="fr-FR"/>
        </w:rPr>
        <w:t xml:space="preserve">datë 11.01.2005, §§ 48-49; </w:t>
      </w:r>
      <w:proofErr w:type="spellStart"/>
      <w:r w:rsidRPr="005D74FA">
        <w:rPr>
          <w:i/>
          <w:sz w:val="24"/>
          <w:szCs w:val="24"/>
        </w:rPr>
        <w:t>Ganci</w:t>
      </w:r>
      <w:proofErr w:type="spellEnd"/>
      <w:r w:rsidRPr="005D74FA">
        <w:rPr>
          <w:i/>
          <w:sz w:val="24"/>
          <w:szCs w:val="24"/>
        </w:rPr>
        <w:t xml:space="preserve"> k. Italisë, </w:t>
      </w:r>
      <w:r w:rsidRPr="005D74FA">
        <w:rPr>
          <w:rFonts w:eastAsia="Times New Roman"/>
          <w:i/>
          <w:sz w:val="24"/>
          <w:szCs w:val="24"/>
          <w:lang w:eastAsia="fr-FR"/>
        </w:rPr>
        <w:t xml:space="preserve">datë 30.10.2003, §§ 20-26; </w:t>
      </w:r>
      <w:proofErr w:type="spellStart"/>
      <w:r w:rsidRPr="005D74FA">
        <w:rPr>
          <w:i/>
          <w:sz w:val="24"/>
          <w:szCs w:val="24"/>
        </w:rPr>
        <w:t>Werner</w:t>
      </w:r>
      <w:proofErr w:type="spellEnd"/>
      <w:r w:rsidRPr="005D74FA">
        <w:rPr>
          <w:i/>
          <w:sz w:val="24"/>
          <w:szCs w:val="24"/>
        </w:rPr>
        <w:t xml:space="preserve"> k. Austrisë, datë 24.11.1997, § 66)</w:t>
      </w:r>
      <w:r w:rsidRPr="005D74FA">
        <w:rPr>
          <w:sz w:val="24"/>
          <w:szCs w:val="24"/>
        </w:rPr>
        <w:t>.</w:t>
      </w:r>
    </w:p>
    <w:p w:rsidR="001A2CB0" w:rsidRPr="005D74FA" w:rsidRDefault="001A2CB0" w:rsidP="001A2CB0">
      <w:pPr>
        <w:pStyle w:val="ListParagraph"/>
        <w:numPr>
          <w:ilvl w:val="0"/>
          <w:numId w:val="1"/>
        </w:numPr>
        <w:tabs>
          <w:tab w:val="left" w:pos="1080"/>
        </w:tabs>
        <w:spacing w:line="360" w:lineRule="auto"/>
        <w:ind w:left="0" w:firstLine="720"/>
        <w:rPr>
          <w:sz w:val="24"/>
          <w:szCs w:val="24"/>
        </w:rPr>
      </w:pPr>
      <w:r w:rsidRPr="005D74FA">
        <w:rPr>
          <w:sz w:val="24"/>
          <w:szCs w:val="24"/>
        </w:rPr>
        <w:t xml:space="preserve">Gjykata thekson se, në kushtet kur objekt i gjykimit kushtetues janë vendimet gjyqësore  që lidhen me urdhrin e parë nr. 253/2020,  në situatën kur regjimi i posaçëm i burgut të sigurisë së lartë ndikon në të drejtat dhe liritë themelore të individit, kërkuesi legjitimohet </w:t>
      </w:r>
      <w:proofErr w:type="spellStart"/>
      <w:r w:rsidRPr="005D74FA">
        <w:rPr>
          <w:i/>
          <w:sz w:val="24"/>
          <w:szCs w:val="24"/>
        </w:rPr>
        <w:t>ratione</w:t>
      </w:r>
      <w:proofErr w:type="spellEnd"/>
      <w:r w:rsidRPr="005D74FA">
        <w:rPr>
          <w:i/>
          <w:sz w:val="24"/>
          <w:szCs w:val="24"/>
        </w:rPr>
        <w:t xml:space="preserve"> </w:t>
      </w:r>
      <w:proofErr w:type="spellStart"/>
      <w:r w:rsidRPr="005D74FA">
        <w:rPr>
          <w:i/>
          <w:sz w:val="24"/>
          <w:szCs w:val="24"/>
        </w:rPr>
        <w:t>materiae</w:t>
      </w:r>
      <w:proofErr w:type="spellEnd"/>
      <w:r w:rsidRPr="005D74FA">
        <w:rPr>
          <w:sz w:val="24"/>
          <w:szCs w:val="24"/>
        </w:rPr>
        <w:t xml:space="preserve"> për pretendimet e tij kushtetuese për cenimin e së drejtës së mbrojtjes, </w:t>
      </w:r>
      <w:proofErr w:type="spellStart"/>
      <w:r w:rsidRPr="005D74FA">
        <w:rPr>
          <w:sz w:val="24"/>
          <w:szCs w:val="24"/>
        </w:rPr>
        <w:t>aksesit</w:t>
      </w:r>
      <w:proofErr w:type="spellEnd"/>
      <w:r w:rsidRPr="005D74FA">
        <w:rPr>
          <w:sz w:val="24"/>
          <w:szCs w:val="24"/>
        </w:rPr>
        <w:t xml:space="preserve">, barazisë së armëve dhe kontradiktoritetit. </w:t>
      </w:r>
    </w:p>
    <w:p w:rsidR="008455EB" w:rsidRPr="005D74FA" w:rsidRDefault="008455EB" w:rsidP="008455EB">
      <w:pPr>
        <w:pStyle w:val="ListParagraph"/>
        <w:numPr>
          <w:ilvl w:val="0"/>
          <w:numId w:val="1"/>
        </w:numPr>
        <w:tabs>
          <w:tab w:val="left" w:pos="1080"/>
        </w:tabs>
        <w:spacing w:line="360" w:lineRule="auto"/>
        <w:ind w:left="0" w:firstLine="720"/>
        <w:rPr>
          <w:sz w:val="24"/>
          <w:szCs w:val="24"/>
        </w:rPr>
      </w:pPr>
      <w:r w:rsidRPr="005D74FA">
        <w:rPr>
          <w:sz w:val="24"/>
          <w:szCs w:val="24"/>
        </w:rPr>
        <w:t xml:space="preserve">Gjykata </w:t>
      </w:r>
      <w:r w:rsidR="00DC2DF4" w:rsidRPr="005D74FA">
        <w:rPr>
          <w:sz w:val="24"/>
          <w:szCs w:val="24"/>
        </w:rPr>
        <w:t>konstaton</w:t>
      </w:r>
      <w:r w:rsidR="001A2CB0" w:rsidRPr="005D74FA">
        <w:rPr>
          <w:sz w:val="24"/>
          <w:szCs w:val="24"/>
        </w:rPr>
        <w:t>, gjithashtu,</w:t>
      </w:r>
      <w:r w:rsidR="005D3B02" w:rsidRPr="005D74FA">
        <w:rPr>
          <w:sz w:val="24"/>
          <w:szCs w:val="24"/>
        </w:rPr>
        <w:t xml:space="preserve"> se </w:t>
      </w:r>
      <w:r w:rsidR="007F0A84" w:rsidRPr="005D74FA">
        <w:rPr>
          <w:sz w:val="24"/>
          <w:szCs w:val="24"/>
        </w:rPr>
        <w:t>kë</w:t>
      </w:r>
      <w:r w:rsidR="00513C43" w:rsidRPr="005D74FA">
        <w:rPr>
          <w:sz w:val="24"/>
          <w:szCs w:val="24"/>
        </w:rPr>
        <w:t>rkuesi</w:t>
      </w:r>
      <w:r w:rsidR="00E51272" w:rsidRPr="005D74FA">
        <w:rPr>
          <w:sz w:val="24"/>
          <w:szCs w:val="24"/>
        </w:rPr>
        <w:t>,</w:t>
      </w:r>
      <w:r w:rsidR="00513C43" w:rsidRPr="005D74FA">
        <w:rPr>
          <w:sz w:val="24"/>
          <w:szCs w:val="24"/>
        </w:rPr>
        <w:t xml:space="preserve"> </w:t>
      </w:r>
      <w:r w:rsidR="00967F9C" w:rsidRPr="005D74FA">
        <w:rPr>
          <w:sz w:val="24"/>
          <w:szCs w:val="24"/>
        </w:rPr>
        <w:t>në thelb</w:t>
      </w:r>
      <w:r w:rsidR="00E51272" w:rsidRPr="005D74FA">
        <w:rPr>
          <w:sz w:val="24"/>
          <w:szCs w:val="24"/>
        </w:rPr>
        <w:t>,</w:t>
      </w:r>
      <w:r w:rsidR="00967F9C" w:rsidRPr="005D74FA">
        <w:rPr>
          <w:sz w:val="24"/>
          <w:szCs w:val="24"/>
        </w:rPr>
        <w:t xml:space="preserve"> </w:t>
      </w:r>
      <w:r w:rsidR="007F0A84" w:rsidRPr="005D74FA">
        <w:rPr>
          <w:sz w:val="24"/>
          <w:szCs w:val="24"/>
        </w:rPr>
        <w:t xml:space="preserve">kundërshton </w:t>
      </w:r>
      <w:r w:rsidRPr="005D74FA">
        <w:rPr>
          <w:sz w:val="24"/>
          <w:szCs w:val="24"/>
        </w:rPr>
        <w:t xml:space="preserve">urdhrin nr. 253/2020, </w:t>
      </w:r>
      <w:r w:rsidR="007F0A84" w:rsidRPr="005D74FA">
        <w:rPr>
          <w:sz w:val="24"/>
          <w:szCs w:val="24"/>
        </w:rPr>
        <w:t>duke paraqitur në</w:t>
      </w:r>
      <w:r w:rsidR="001F7CA4" w:rsidRPr="005D74FA">
        <w:rPr>
          <w:sz w:val="24"/>
          <w:szCs w:val="24"/>
        </w:rPr>
        <w:t xml:space="preserve"> pë</w:t>
      </w:r>
      <w:r w:rsidR="00513C43" w:rsidRPr="005D74FA">
        <w:rPr>
          <w:sz w:val="24"/>
          <w:szCs w:val="24"/>
        </w:rPr>
        <w:t>rmbajtje t</w:t>
      </w:r>
      <w:r w:rsidR="007F0A84" w:rsidRPr="005D74FA">
        <w:rPr>
          <w:sz w:val="24"/>
          <w:szCs w:val="24"/>
        </w:rPr>
        <w:t>ë kë</w:t>
      </w:r>
      <w:r w:rsidR="00513C43" w:rsidRPr="005D74FA">
        <w:rPr>
          <w:sz w:val="24"/>
          <w:szCs w:val="24"/>
        </w:rPr>
        <w:t>rkes</w:t>
      </w:r>
      <w:r w:rsidR="007F0A84" w:rsidRPr="005D74FA">
        <w:rPr>
          <w:sz w:val="24"/>
          <w:szCs w:val="24"/>
        </w:rPr>
        <w:t>ë</w:t>
      </w:r>
      <w:r w:rsidR="00513C43" w:rsidRPr="005D74FA">
        <w:rPr>
          <w:sz w:val="24"/>
          <w:szCs w:val="24"/>
        </w:rPr>
        <w:t xml:space="preserve">s edhe </w:t>
      </w:r>
      <w:r w:rsidRPr="005D74FA">
        <w:rPr>
          <w:sz w:val="24"/>
          <w:szCs w:val="24"/>
        </w:rPr>
        <w:t xml:space="preserve">pretendime për urdhrin </w:t>
      </w:r>
      <w:r w:rsidR="001A2CB0" w:rsidRPr="005D74FA">
        <w:rPr>
          <w:sz w:val="24"/>
          <w:szCs w:val="24"/>
        </w:rPr>
        <w:t xml:space="preserve">pasues </w:t>
      </w:r>
      <w:r w:rsidRPr="005D74FA">
        <w:rPr>
          <w:sz w:val="24"/>
          <w:szCs w:val="24"/>
        </w:rPr>
        <w:t>nr. 474/2021</w:t>
      </w:r>
      <w:r w:rsidR="007F0A84" w:rsidRPr="005D74FA">
        <w:rPr>
          <w:sz w:val="24"/>
          <w:szCs w:val="24"/>
        </w:rPr>
        <w:t xml:space="preserve">, </w:t>
      </w:r>
      <w:r w:rsidR="00716146" w:rsidRPr="005D74FA">
        <w:rPr>
          <w:sz w:val="24"/>
          <w:szCs w:val="24"/>
        </w:rPr>
        <w:t>që ka</w:t>
      </w:r>
      <w:r w:rsidR="00513C43" w:rsidRPr="005D74FA">
        <w:rPr>
          <w:sz w:val="24"/>
          <w:szCs w:val="24"/>
        </w:rPr>
        <w:t xml:space="preserve"> zgjatur </w:t>
      </w:r>
      <w:r w:rsidR="00E601CA" w:rsidRPr="005D74FA">
        <w:rPr>
          <w:sz w:val="24"/>
          <w:szCs w:val="24"/>
        </w:rPr>
        <w:t xml:space="preserve">më tej </w:t>
      </w:r>
      <w:r w:rsidRPr="005D74FA">
        <w:rPr>
          <w:sz w:val="24"/>
          <w:szCs w:val="24"/>
        </w:rPr>
        <w:t xml:space="preserve">me 1 vit </w:t>
      </w:r>
      <w:r w:rsidR="00716146" w:rsidRPr="005D74FA">
        <w:rPr>
          <w:sz w:val="24"/>
          <w:szCs w:val="24"/>
        </w:rPr>
        <w:t xml:space="preserve">vënien </w:t>
      </w:r>
      <w:r w:rsidR="00513C43" w:rsidRPr="005D74FA">
        <w:rPr>
          <w:sz w:val="24"/>
          <w:szCs w:val="24"/>
        </w:rPr>
        <w:t>e</w:t>
      </w:r>
      <w:r w:rsidRPr="005D74FA">
        <w:rPr>
          <w:sz w:val="24"/>
          <w:szCs w:val="24"/>
        </w:rPr>
        <w:t xml:space="preserve"> tij në regjim të posaçëm në burg të sigurisë së lartë. N</w:t>
      </w:r>
      <w:r w:rsidR="001A2CB0" w:rsidRPr="005D74FA">
        <w:rPr>
          <w:sz w:val="24"/>
          <w:szCs w:val="24"/>
        </w:rPr>
        <w:t>ga ana tjetër, n</w:t>
      </w:r>
      <w:r w:rsidRPr="005D74FA">
        <w:rPr>
          <w:sz w:val="24"/>
          <w:szCs w:val="24"/>
        </w:rPr>
        <w:t xml:space="preserve">ë parashtrimet e saj para Gjykatës, Prokuroria e Posaçme ka pretenduar se efektet e urdhrit nr. 253/2020 kanë zgjatur vetëm </w:t>
      </w:r>
      <w:r w:rsidR="00E51272" w:rsidRPr="005D74FA">
        <w:rPr>
          <w:sz w:val="24"/>
          <w:szCs w:val="24"/>
        </w:rPr>
        <w:t>1</w:t>
      </w:r>
      <w:r w:rsidRPr="005D74FA">
        <w:rPr>
          <w:sz w:val="24"/>
          <w:szCs w:val="24"/>
        </w:rPr>
        <w:t xml:space="preserve"> vit dhe kanë pushuar në datën 28.07.2021. Në këto kushte, ky akt nuk mund të sjellë më pasoja, për shkak të </w:t>
      </w:r>
      <w:r w:rsidR="00716146" w:rsidRPr="005D74FA">
        <w:rPr>
          <w:sz w:val="24"/>
          <w:szCs w:val="24"/>
        </w:rPr>
        <w:t>mbarimit</w:t>
      </w:r>
      <w:r w:rsidRPr="005D74FA">
        <w:rPr>
          <w:sz w:val="24"/>
          <w:szCs w:val="24"/>
        </w:rPr>
        <w:t xml:space="preserve"> të afatit të përcaktuar ligjërisht.</w:t>
      </w:r>
    </w:p>
    <w:p w:rsidR="00963E23" w:rsidRPr="005D74FA" w:rsidRDefault="001A2CB0" w:rsidP="00963E23">
      <w:pPr>
        <w:pStyle w:val="ListParagraph"/>
        <w:numPr>
          <w:ilvl w:val="0"/>
          <w:numId w:val="1"/>
        </w:numPr>
        <w:tabs>
          <w:tab w:val="left" w:pos="1080"/>
        </w:tabs>
        <w:spacing w:line="360" w:lineRule="auto"/>
        <w:ind w:left="0" w:firstLine="720"/>
        <w:rPr>
          <w:sz w:val="24"/>
          <w:szCs w:val="24"/>
        </w:rPr>
      </w:pPr>
      <w:r w:rsidRPr="005D74FA">
        <w:rPr>
          <w:sz w:val="24"/>
          <w:szCs w:val="24"/>
        </w:rPr>
        <w:t>N</w:t>
      </w:r>
      <w:r w:rsidR="00963E23" w:rsidRPr="005D74FA">
        <w:rPr>
          <w:sz w:val="24"/>
          <w:szCs w:val="24"/>
        </w:rPr>
        <w:t>ë jurisprudencë konstante</w:t>
      </w:r>
      <w:r w:rsidR="00967F9C" w:rsidRPr="005D74FA">
        <w:rPr>
          <w:sz w:val="24"/>
          <w:szCs w:val="24"/>
        </w:rPr>
        <w:t>,</w:t>
      </w:r>
      <w:r w:rsidR="00963E23" w:rsidRPr="005D74FA">
        <w:rPr>
          <w:sz w:val="24"/>
          <w:szCs w:val="24"/>
        </w:rPr>
        <w:t xml:space="preserve"> Gjykata ka përcaktuar disa standarde kushtetuese, të cilat janë të lidhura nga pikëpamja organike dhe funksionale me njëra-tjetrën</w:t>
      </w:r>
      <w:r w:rsidR="00967F9C" w:rsidRPr="005D74FA">
        <w:rPr>
          <w:sz w:val="24"/>
          <w:szCs w:val="24"/>
        </w:rPr>
        <w:t>, në mënyrë të tillë</w:t>
      </w:r>
      <w:r w:rsidR="00963E23" w:rsidRPr="005D74FA">
        <w:rPr>
          <w:sz w:val="24"/>
          <w:szCs w:val="24"/>
        </w:rPr>
        <w:t xml:space="preserve"> që cenimi i njërit standard ndikon në mënyrë të pashmangshme në cenimin e të tjerave </w:t>
      </w:r>
      <w:r w:rsidR="00963E23" w:rsidRPr="005D74FA">
        <w:rPr>
          <w:i/>
          <w:sz w:val="24"/>
          <w:szCs w:val="24"/>
        </w:rPr>
        <w:t>(shih vendimin nr. 8, datë 23.02.2021 të Gjykatës Kushtetuese)</w:t>
      </w:r>
      <w:r w:rsidR="00963E23" w:rsidRPr="005D74FA">
        <w:rPr>
          <w:sz w:val="24"/>
          <w:szCs w:val="24"/>
        </w:rPr>
        <w:t xml:space="preserve">. Konkretisht, e drejta e kërkuesit për </w:t>
      </w:r>
      <w:proofErr w:type="spellStart"/>
      <w:r w:rsidR="00963E23" w:rsidRPr="005D74FA">
        <w:rPr>
          <w:sz w:val="24"/>
          <w:szCs w:val="24"/>
        </w:rPr>
        <w:t>akses</w:t>
      </w:r>
      <w:proofErr w:type="spellEnd"/>
      <w:r w:rsidR="00963E23" w:rsidRPr="005D74FA">
        <w:rPr>
          <w:sz w:val="24"/>
          <w:szCs w:val="24"/>
        </w:rPr>
        <w:t xml:space="preserve"> dhe për t’u njohur me provat</w:t>
      </w:r>
      <w:r w:rsidR="00967F9C" w:rsidRPr="005D74FA">
        <w:rPr>
          <w:sz w:val="24"/>
          <w:szCs w:val="24"/>
        </w:rPr>
        <w:t>,</w:t>
      </w:r>
      <w:r w:rsidR="00963E23" w:rsidRPr="005D74FA">
        <w:rPr>
          <w:sz w:val="24"/>
          <w:szCs w:val="24"/>
        </w:rPr>
        <w:t xml:space="preserve"> mbi bazën e të cilave ai është vendosur në regjim të posaçëm në burg të sigurisë së lartë</w:t>
      </w:r>
      <w:r w:rsidR="00967F9C" w:rsidRPr="005D74FA">
        <w:rPr>
          <w:sz w:val="24"/>
          <w:szCs w:val="24"/>
        </w:rPr>
        <w:t>,</w:t>
      </w:r>
      <w:r w:rsidR="00963E23" w:rsidRPr="005D74FA">
        <w:rPr>
          <w:sz w:val="24"/>
          <w:szCs w:val="24"/>
        </w:rPr>
        <w:t xml:space="preserve"> është e lidhur ngushtësisht me ushtrimin e të drejtave të tij të mbrojtjes, barazisë së armëve dhe kontradiktoritetit në gjykim. </w:t>
      </w:r>
    </w:p>
    <w:p w:rsidR="003E797A" w:rsidRPr="005D74FA" w:rsidRDefault="00963E23" w:rsidP="00063BC2">
      <w:pPr>
        <w:pStyle w:val="ListParagraph"/>
        <w:numPr>
          <w:ilvl w:val="0"/>
          <w:numId w:val="1"/>
        </w:numPr>
        <w:tabs>
          <w:tab w:val="left" w:pos="1080"/>
        </w:tabs>
        <w:spacing w:line="360" w:lineRule="auto"/>
        <w:ind w:left="0" w:firstLine="720"/>
        <w:rPr>
          <w:sz w:val="24"/>
          <w:szCs w:val="24"/>
        </w:rPr>
      </w:pPr>
      <w:r w:rsidRPr="005D74FA">
        <w:rPr>
          <w:rFonts w:eastAsia="MS Mincho"/>
          <w:bCs/>
          <w:sz w:val="24"/>
          <w:szCs w:val="24"/>
        </w:rPr>
        <w:t xml:space="preserve">Gjykata vëren se, në thelb, kërkuesi ka pretenduar se gjykatat </w:t>
      </w:r>
      <w:r w:rsidR="00482698" w:rsidRPr="005D74FA">
        <w:rPr>
          <w:rFonts w:eastAsia="MS Mincho"/>
          <w:bCs/>
          <w:sz w:val="24"/>
          <w:szCs w:val="24"/>
        </w:rPr>
        <w:t>i kanë cenuar atij të drejtën për proces</w:t>
      </w:r>
      <w:r w:rsidRPr="005D74FA">
        <w:rPr>
          <w:rFonts w:eastAsia="MS Mincho"/>
          <w:bCs/>
          <w:sz w:val="24"/>
          <w:szCs w:val="24"/>
        </w:rPr>
        <w:t xml:space="preserve"> të rregullt ligjor, duke mos i dhënë mundësi të mbrohet </w:t>
      </w:r>
      <w:proofErr w:type="spellStart"/>
      <w:r w:rsidRPr="005D74FA">
        <w:rPr>
          <w:rFonts w:eastAsia="MS Mincho"/>
          <w:bCs/>
          <w:sz w:val="24"/>
          <w:szCs w:val="24"/>
        </w:rPr>
        <w:t>efektivisht</w:t>
      </w:r>
      <w:proofErr w:type="spellEnd"/>
      <w:r w:rsidRPr="005D74FA">
        <w:rPr>
          <w:rFonts w:eastAsia="MS Mincho"/>
          <w:bCs/>
          <w:sz w:val="24"/>
          <w:szCs w:val="24"/>
        </w:rPr>
        <w:t xml:space="preserve"> dhe të ushtrojë të drejt</w:t>
      </w:r>
      <w:r w:rsidR="00482698" w:rsidRPr="005D74FA">
        <w:rPr>
          <w:rFonts w:eastAsia="MS Mincho"/>
          <w:bCs/>
          <w:sz w:val="24"/>
          <w:szCs w:val="24"/>
        </w:rPr>
        <w:t>ën</w:t>
      </w:r>
      <w:r w:rsidRPr="005D74FA">
        <w:rPr>
          <w:rFonts w:eastAsia="MS Mincho"/>
          <w:bCs/>
          <w:sz w:val="24"/>
          <w:szCs w:val="24"/>
        </w:rPr>
        <w:t xml:space="preserve"> e kontradiktoritetit në gjykim. Për rrjedhojë, n</w:t>
      </w:r>
      <w:r w:rsidR="00DE0B54" w:rsidRPr="005D74FA">
        <w:rPr>
          <w:sz w:val="24"/>
          <w:szCs w:val="24"/>
        </w:rPr>
        <w:t xml:space="preserve">ë zbatim të parimit </w:t>
      </w:r>
      <w:proofErr w:type="spellStart"/>
      <w:r w:rsidR="00DE0B54" w:rsidRPr="005D74FA">
        <w:rPr>
          <w:i/>
          <w:sz w:val="24"/>
          <w:szCs w:val="24"/>
        </w:rPr>
        <w:t>iura</w:t>
      </w:r>
      <w:proofErr w:type="spellEnd"/>
      <w:r w:rsidR="003E797A" w:rsidRPr="005D74FA">
        <w:rPr>
          <w:i/>
          <w:sz w:val="24"/>
          <w:szCs w:val="24"/>
        </w:rPr>
        <w:t xml:space="preserve"> </w:t>
      </w:r>
      <w:proofErr w:type="spellStart"/>
      <w:r w:rsidR="003E797A" w:rsidRPr="005D74FA">
        <w:rPr>
          <w:i/>
          <w:sz w:val="24"/>
          <w:szCs w:val="24"/>
        </w:rPr>
        <w:t>novit</w:t>
      </w:r>
      <w:proofErr w:type="spellEnd"/>
      <w:r w:rsidR="003E797A" w:rsidRPr="005D74FA">
        <w:rPr>
          <w:i/>
          <w:sz w:val="24"/>
          <w:szCs w:val="24"/>
        </w:rPr>
        <w:t xml:space="preserve"> </w:t>
      </w:r>
      <w:proofErr w:type="spellStart"/>
      <w:r w:rsidR="003E797A" w:rsidRPr="005D74FA">
        <w:rPr>
          <w:i/>
          <w:sz w:val="24"/>
          <w:szCs w:val="24"/>
        </w:rPr>
        <w:t>curia</w:t>
      </w:r>
      <w:proofErr w:type="spellEnd"/>
      <w:r w:rsidR="003E797A" w:rsidRPr="005D74FA">
        <w:rPr>
          <w:i/>
          <w:sz w:val="24"/>
          <w:szCs w:val="24"/>
        </w:rPr>
        <w:t xml:space="preserve">, </w:t>
      </w:r>
      <w:r w:rsidR="00DE0B54" w:rsidRPr="005D74FA">
        <w:rPr>
          <w:sz w:val="24"/>
          <w:szCs w:val="24"/>
        </w:rPr>
        <w:t xml:space="preserve">Gjykata vlerëson të analizojë pretendimet e ngritura nga kërkuesi </w:t>
      </w:r>
      <w:r w:rsidR="003E797A" w:rsidRPr="005D74FA">
        <w:rPr>
          <w:sz w:val="24"/>
          <w:szCs w:val="24"/>
        </w:rPr>
        <w:t>në</w:t>
      </w:r>
      <w:r w:rsidR="003E797A" w:rsidRPr="005D74FA">
        <w:rPr>
          <w:i/>
          <w:sz w:val="24"/>
          <w:szCs w:val="24"/>
        </w:rPr>
        <w:t xml:space="preserve"> </w:t>
      </w:r>
      <w:r w:rsidR="003E797A" w:rsidRPr="005D74FA">
        <w:rPr>
          <w:sz w:val="24"/>
          <w:szCs w:val="24"/>
        </w:rPr>
        <w:t xml:space="preserve">këndvështrim të </w:t>
      </w:r>
      <w:r w:rsidR="00482698" w:rsidRPr="005D74FA">
        <w:rPr>
          <w:sz w:val="24"/>
          <w:szCs w:val="24"/>
        </w:rPr>
        <w:t xml:space="preserve">së drejtës për </w:t>
      </w:r>
      <w:proofErr w:type="spellStart"/>
      <w:r w:rsidR="00482698" w:rsidRPr="005D74FA">
        <w:rPr>
          <w:sz w:val="24"/>
          <w:szCs w:val="24"/>
        </w:rPr>
        <w:t>kontradiktoritet</w:t>
      </w:r>
      <w:proofErr w:type="spellEnd"/>
      <w:r w:rsidR="00482698" w:rsidRPr="005D74FA">
        <w:rPr>
          <w:sz w:val="24"/>
          <w:szCs w:val="24"/>
        </w:rPr>
        <w:t>, si pjesë thelbësore e procesit të rregullt ligjor</w:t>
      </w:r>
      <w:r w:rsidR="003E797A" w:rsidRPr="005D74FA">
        <w:rPr>
          <w:sz w:val="24"/>
          <w:szCs w:val="24"/>
        </w:rPr>
        <w:t xml:space="preserve">, duke qenë se cenimi i </w:t>
      </w:r>
      <w:r w:rsidR="00482698" w:rsidRPr="005D74FA">
        <w:rPr>
          <w:sz w:val="24"/>
          <w:szCs w:val="24"/>
        </w:rPr>
        <w:t>saj</w:t>
      </w:r>
      <w:r w:rsidR="003E797A" w:rsidRPr="005D74FA">
        <w:rPr>
          <w:sz w:val="24"/>
          <w:szCs w:val="24"/>
        </w:rPr>
        <w:t xml:space="preserve"> ndikon edhe në elemente të tjera të procesit të rregullt</w:t>
      </w:r>
      <w:r w:rsidR="00DE0B54" w:rsidRPr="005D74FA">
        <w:rPr>
          <w:sz w:val="24"/>
          <w:szCs w:val="24"/>
        </w:rPr>
        <w:t xml:space="preserve">, të tilla si </w:t>
      </w:r>
      <w:r w:rsidR="00967F9C" w:rsidRPr="005D74FA">
        <w:rPr>
          <w:sz w:val="24"/>
          <w:szCs w:val="24"/>
        </w:rPr>
        <w:t>e</w:t>
      </w:r>
      <w:r w:rsidR="00DE0B54" w:rsidRPr="005D74FA">
        <w:rPr>
          <w:sz w:val="24"/>
          <w:szCs w:val="24"/>
        </w:rPr>
        <w:t xml:space="preserve"> drejta e </w:t>
      </w:r>
      <w:r w:rsidR="003E797A" w:rsidRPr="005D74FA">
        <w:rPr>
          <w:sz w:val="24"/>
          <w:szCs w:val="24"/>
        </w:rPr>
        <w:t>mbrojtje</w:t>
      </w:r>
      <w:r w:rsidR="00DE0B54" w:rsidRPr="005D74FA">
        <w:rPr>
          <w:sz w:val="24"/>
          <w:szCs w:val="24"/>
        </w:rPr>
        <w:t>s</w:t>
      </w:r>
      <w:r w:rsidR="00967F9C" w:rsidRPr="005D74FA">
        <w:rPr>
          <w:sz w:val="24"/>
          <w:szCs w:val="24"/>
        </w:rPr>
        <w:t xml:space="preserve">, </w:t>
      </w:r>
      <w:proofErr w:type="spellStart"/>
      <w:r w:rsidR="00967F9C" w:rsidRPr="005D74FA">
        <w:rPr>
          <w:sz w:val="24"/>
          <w:szCs w:val="24"/>
        </w:rPr>
        <w:t>a</w:t>
      </w:r>
      <w:r w:rsidR="003E797A" w:rsidRPr="005D74FA">
        <w:rPr>
          <w:sz w:val="24"/>
          <w:szCs w:val="24"/>
        </w:rPr>
        <w:t>kses</w:t>
      </w:r>
      <w:r w:rsidR="00DE0B54" w:rsidRPr="005D74FA">
        <w:rPr>
          <w:sz w:val="24"/>
          <w:szCs w:val="24"/>
        </w:rPr>
        <w:t>i</w:t>
      </w:r>
      <w:proofErr w:type="spellEnd"/>
      <w:r w:rsidR="003E797A" w:rsidRPr="005D74FA">
        <w:rPr>
          <w:sz w:val="24"/>
          <w:szCs w:val="24"/>
        </w:rPr>
        <w:t xml:space="preserve"> dhe barazi</w:t>
      </w:r>
      <w:r w:rsidR="00DE0B54" w:rsidRPr="005D74FA">
        <w:rPr>
          <w:sz w:val="24"/>
          <w:szCs w:val="24"/>
        </w:rPr>
        <w:t>a</w:t>
      </w:r>
      <w:r w:rsidR="003E797A" w:rsidRPr="005D74FA">
        <w:rPr>
          <w:sz w:val="24"/>
          <w:szCs w:val="24"/>
        </w:rPr>
        <w:t xml:space="preserve"> </w:t>
      </w:r>
      <w:r w:rsidR="00DE0B54" w:rsidRPr="005D74FA">
        <w:rPr>
          <w:sz w:val="24"/>
          <w:szCs w:val="24"/>
        </w:rPr>
        <w:t>e armëve</w:t>
      </w:r>
      <w:r w:rsidR="003E797A" w:rsidRPr="005D74FA">
        <w:rPr>
          <w:sz w:val="24"/>
          <w:szCs w:val="24"/>
        </w:rPr>
        <w:t>.</w:t>
      </w:r>
    </w:p>
    <w:p w:rsidR="00337492" w:rsidRPr="005D74FA" w:rsidRDefault="00337492" w:rsidP="00337492">
      <w:pPr>
        <w:pStyle w:val="ListParagraph"/>
        <w:tabs>
          <w:tab w:val="left" w:pos="1080"/>
        </w:tabs>
        <w:spacing w:line="360" w:lineRule="auto"/>
        <w:rPr>
          <w:sz w:val="24"/>
          <w:szCs w:val="24"/>
        </w:rPr>
      </w:pPr>
    </w:p>
    <w:p w:rsidR="00337492" w:rsidRPr="005D74FA" w:rsidRDefault="00337492" w:rsidP="00337492">
      <w:pPr>
        <w:pStyle w:val="ListParagraph"/>
        <w:tabs>
          <w:tab w:val="left" w:pos="1080"/>
        </w:tabs>
        <w:spacing w:line="360" w:lineRule="auto"/>
        <w:rPr>
          <w:i/>
          <w:sz w:val="24"/>
          <w:szCs w:val="24"/>
        </w:rPr>
      </w:pPr>
      <w:r w:rsidRPr="005D74FA">
        <w:rPr>
          <w:i/>
          <w:sz w:val="24"/>
          <w:szCs w:val="24"/>
        </w:rPr>
        <w:t xml:space="preserve">B. </w:t>
      </w:r>
      <w:r w:rsidR="00217F80" w:rsidRPr="005D74FA">
        <w:rPr>
          <w:i/>
          <w:sz w:val="24"/>
          <w:szCs w:val="24"/>
        </w:rPr>
        <w:t>Për themelin e pretendimeve</w:t>
      </w:r>
    </w:p>
    <w:p w:rsidR="00D873C7" w:rsidRPr="005D74FA" w:rsidRDefault="00217F80" w:rsidP="004F1D7E">
      <w:pPr>
        <w:pStyle w:val="ListParagraph"/>
        <w:tabs>
          <w:tab w:val="left" w:pos="1080"/>
        </w:tabs>
        <w:spacing w:line="360" w:lineRule="auto"/>
        <w:rPr>
          <w:i/>
          <w:sz w:val="24"/>
          <w:szCs w:val="24"/>
        </w:rPr>
      </w:pPr>
      <w:r w:rsidRPr="005D74FA">
        <w:rPr>
          <w:i/>
          <w:sz w:val="24"/>
          <w:szCs w:val="24"/>
        </w:rPr>
        <w:t xml:space="preserve">B.1. </w:t>
      </w:r>
      <w:r w:rsidR="00D873C7" w:rsidRPr="005D74FA">
        <w:rPr>
          <w:i/>
          <w:sz w:val="24"/>
          <w:szCs w:val="24"/>
        </w:rPr>
        <w:t xml:space="preserve">Për cenimin e </w:t>
      </w:r>
      <w:r w:rsidR="00470581" w:rsidRPr="005D74FA">
        <w:rPr>
          <w:i/>
          <w:sz w:val="24"/>
          <w:szCs w:val="24"/>
        </w:rPr>
        <w:t xml:space="preserve">parimit të kontradiktoritetit </w:t>
      </w:r>
      <w:r w:rsidR="000D113A" w:rsidRPr="005D74FA">
        <w:rPr>
          <w:i/>
          <w:sz w:val="24"/>
          <w:szCs w:val="24"/>
        </w:rPr>
        <w:t xml:space="preserve"> </w:t>
      </w:r>
    </w:p>
    <w:p w:rsidR="00697D5B" w:rsidRPr="005D74FA" w:rsidRDefault="00D873C7" w:rsidP="00083B19">
      <w:pPr>
        <w:pStyle w:val="ListParagraph"/>
        <w:numPr>
          <w:ilvl w:val="0"/>
          <w:numId w:val="1"/>
        </w:numPr>
        <w:tabs>
          <w:tab w:val="left" w:pos="1080"/>
        </w:tabs>
        <w:spacing w:line="360" w:lineRule="auto"/>
        <w:ind w:left="0" w:firstLine="720"/>
        <w:rPr>
          <w:sz w:val="24"/>
          <w:szCs w:val="24"/>
        </w:rPr>
      </w:pPr>
      <w:r w:rsidRPr="005D74FA">
        <w:rPr>
          <w:sz w:val="24"/>
          <w:szCs w:val="24"/>
        </w:rPr>
        <w:t>Kërkuesi ka kundërshtuar në Gjykatë vendimet gjyqësore</w:t>
      </w:r>
      <w:r w:rsidR="006E25D8" w:rsidRPr="005D74FA">
        <w:rPr>
          <w:sz w:val="24"/>
          <w:szCs w:val="24"/>
        </w:rPr>
        <w:t>,</w:t>
      </w:r>
      <w:r w:rsidRPr="005D74FA">
        <w:rPr>
          <w:sz w:val="24"/>
          <w:szCs w:val="24"/>
        </w:rPr>
        <w:t xml:space="preserve"> të cilat kanë</w:t>
      </w:r>
      <w:r w:rsidR="00482698" w:rsidRPr="005D74FA">
        <w:rPr>
          <w:sz w:val="24"/>
          <w:szCs w:val="24"/>
        </w:rPr>
        <w:t xml:space="preserve"> shqyrtuar ankimin e tij ndaj urdhrit</w:t>
      </w:r>
      <w:r w:rsidR="000174D7" w:rsidRPr="005D74FA">
        <w:rPr>
          <w:sz w:val="24"/>
          <w:szCs w:val="24"/>
        </w:rPr>
        <w:t xml:space="preserve"> nr. 253/2020</w:t>
      </w:r>
      <w:r w:rsidRPr="005D74FA">
        <w:rPr>
          <w:sz w:val="24"/>
          <w:szCs w:val="24"/>
        </w:rPr>
        <w:t>, përmes të cilit ai është vendosur në regj</w:t>
      </w:r>
      <w:r w:rsidR="00D71621" w:rsidRPr="005D74FA">
        <w:rPr>
          <w:sz w:val="24"/>
          <w:szCs w:val="24"/>
        </w:rPr>
        <w:t xml:space="preserve">imin e posaçëm të ushtrimit të </w:t>
      </w:r>
      <w:proofErr w:type="spellStart"/>
      <w:r w:rsidR="00D71621" w:rsidRPr="005D74FA">
        <w:rPr>
          <w:sz w:val="24"/>
          <w:szCs w:val="24"/>
        </w:rPr>
        <w:t>t</w:t>
      </w:r>
      <w:r w:rsidRPr="005D74FA">
        <w:rPr>
          <w:sz w:val="24"/>
          <w:szCs w:val="24"/>
        </w:rPr>
        <w:t>ë</w:t>
      </w:r>
      <w:proofErr w:type="spellEnd"/>
      <w:r w:rsidRPr="005D74FA">
        <w:rPr>
          <w:sz w:val="24"/>
          <w:szCs w:val="24"/>
        </w:rPr>
        <w:t xml:space="preserve"> drejtave në burg të sigurisë së lartë. Sipas tij, vendosja në këtë regjim është bazuar në katër shkresa të institucioneve të ndryshme shtetërore</w:t>
      </w:r>
      <w:r w:rsidR="002A4D8C" w:rsidRPr="005D74FA">
        <w:rPr>
          <w:sz w:val="24"/>
          <w:szCs w:val="24"/>
        </w:rPr>
        <w:t xml:space="preserve"> të klasifikuara “sekret” dhe “i kufizuar”</w:t>
      </w:r>
      <w:r w:rsidR="006E25D8" w:rsidRPr="005D74FA">
        <w:rPr>
          <w:sz w:val="24"/>
          <w:szCs w:val="24"/>
        </w:rPr>
        <w:t>,</w:t>
      </w:r>
      <w:r w:rsidR="002A4D8C" w:rsidRPr="005D74FA">
        <w:rPr>
          <w:sz w:val="24"/>
          <w:szCs w:val="24"/>
        </w:rPr>
        <w:t xml:space="preserve"> sipas ligjit nr. 8457/1999</w:t>
      </w:r>
      <w:r w:rsidR="00536562" w:rsidRPr="005D74FA">
        <w:rPr>
          <w:sz w:val="24"/>
          <w:szCs w:val="24"/>
        </w:rPr>
        <w:t xml:space="preserve">, me përmbajtjen e të cilave nuk </w:t>
      </w:r>
      <w:r w:rsidRPr="005D74FA">
        <w:rPr>
          <w:sz w:val="24"/>
          <w:szCs w:val="24"/>
        </w:rPr>
        <w:t>është</w:t>
      </w:r>
      <w:r w:rsidR="00536562" w:rsidRPr="005D74FA">
        <w:rPr>
          <w:sz w:val="24"/>
          <w:szCs w:val="24"/>
        </w:rPr>
        <w:t xml:space="preserve"> njohur as ai dhe </w:t>
      </w:r>
      <w:r w:rsidR="00674D04" w:rsidRPr="005D74FA">
        <w:rPr>
          <w:sz w:val="24"/>
          <w:szCs w:val="24"/>
        </w:rPr>
        <w:t xml:space="preserve">as </w:t>
      </w:r>
      <w:r w:rsidR="00536562" w:rsidRPr="005D74FA">
        <w:rPr>
          <w:sz w:val="24"/>
          <w:szCs w:val="24"/>
        </w:rPr>
        <w:t>gjykatat.</w:t>
      </w:r>
      <w:r w:rsidR="00281D26" w:rsidRPr="005D74FA">
        <w:rPr>
          <w:sz w:val="24"/>
          <w:szCs w:val="24"/>
        </w:rPr>
        <w:t xml:space="preserve"> Ndërkohë që </w:t>
      </w:r>
      <w:r w:rsidR="000D113A" w:rsidRPr="005D74FA">
        <w:rPr>
          <w:sz w:val="24"/>
          <w:szCs w:val="24"/>
        </w:rPr>
        <w:t xml:space="preserve">fillimisht </w:t>
      </w:r>
      <w:r w:rsidR="00281D26" w:rsidRPr="005D74FA">
        <w:rPr>
          <w:sz w:val="24"/>
          <w:szCs w:val="24"/>
        </w:rPr>
        <w:t xml:space="preserve">Gjykata e Posaçme e Shkallës së Parë </w:t>
      </w:r>
      <w:r w:rsidR="0033615C" w:rsidRPr="005D74FA">
        <w:rPr>
          <w:sz w:val="24"/>
          <w:szCs w:val="24"/>
        </w:rPr>
        <w:t xml:space="preserve">ka </w:t>
      </w:r>
      <w:r w:rsidR="00281D26" w:rsidRPr="005D74FA">
        <w:rPr>
          <w:sz w:val="24"/>
          <w:szCs w:val="24"/>
        </w:rPr>
        <w:t>vlerë</w:t>
      </w:r>
      <w:r w:rsidR="0033615C" w:rsidRPr="005D74FA">
        <w:rPr>
          <w:sz w:val="24"/>
          <w:szCs w:val="24"/>
        </w:rPr>
        <w:t>suar</w:t>
      </w:r>
      <w:r w:rsidR="00281D26" w:rsidRPr="005D74FA">
        <w:rPr>
          <w:sz w:val="24"/>
          <w:szCs w:val="24"/>
        </w:rPr>
        <w:t xml:space="preserve"> të nevojshme tërheqjen nga Ministria e Drejtësisë të praktikës për nxjerrjen e urdhrit nr. 253/2020, me vendim të ndërmjetëm </w:t>
      </w:r>
      <w:r w:rsidR="000D113A" w:rsidRPr="005D74FA">
        <w:rPr>
          <w:sz w:val="24"/>
          <w:szCs w:val="24"/>
        </w:rPr>
        <w:t>ka revokuar</w:t>
      </w:r>
      <w:r w:rsidR="00281D26" w:rsidRPr="005D74FA">
        <w:rPr>
          <w:sz w:val="24"/>
          <w:szCs w:val="24"/>
        </w:rPr>
        <w:t xml:space="preserve"> vendimin e saj për kërkimin e këtij dokumentacioni</w:t>
      </w:r>
      <w:r w:rsidR="00686024" w:rsidRPr="005D74FA">
        <w:rPr>
          <w:sz w:val="24"/>
          <w:szCs w:val="24"/>
        </w:rPr>
        <w:t>,</w:t>
      </w:r>
      <w:r w:rsidR="00281D26" w:rsidRPr="005D74FA">
        <w:rPr>
          <w:sz w:val="24"/>
          <w:szCs w:val="24"/>
        </w:rPr>
        <w:t xml:space="preserve"> me arsyetimin se aktet ishin të klasifikuara “sekret” dhe se ajo nuk ishte e certifikuar për t’u njohur me to. </w:t>
      </w:r>
      <w:r w:rsidRPr="005D74FA">
        <w:rPr>
          <w:sz w:val="24"/>
          <w:szCs w:val="24"/>
        </w:rPr>
        <w:t xml:space="preserve">Po </w:t>
      </w:r>
      <w:r w:rsidR="00944AC5" w:rsidRPr="005D74FA">
        <w:rPr>
          <w:sz w:val="24"/>
          <w:szCs w:val="24"/>
        </w:rPr>
        <w:t>sipas kërkuesit</w:t>
      </w:r>
      <w:r w:rsidRPr="005D74FA">
        <w:rPr>
          <w:sz w:val="24"/>
          <w:szCs w:val="24"/>
        </w:rPr>
        <w:t xml:space="preserve">, </w:t>
      </w:r>
      <w:r w:rsidR="001D38EC" w:rsidRPr="005D74FA">
        <w:rPr>
          <w:sz w:val="24"/>
          <w:szCs w:val="24"/>
        </w:rPr>
        <w:t>legjislacioni në fuqi njeh të drejtën e</w:t>
      </w:r>
      <w:r w:rsidR="00507D0F" w:rsidRPr="005D74FA">
        <w:rPr>
          <w:sz w:val="24"/>
          <w:szCs w:val="24"/>
        </w:rPr>
        <w:t xml:space="preserve"> gjykatës për të pasur </w:t>
      </w:r>
      <w:proofErr w:type="spellStart"/>
      <w:r w:rsidR="00507D0F" w:rsidRPr="005D74FA">
        <w:rPr>
          <w:sz w:val="24"/>
          <w:szCs w:val="24"/>
        </w:rPr>
        <w:t>akses</w:t>
      </w:r>
      <w:proofErr w:type="spellEnd"/>
      <w:r w:rsidR="00507D0F" w:rsidRPr="005D74FA">
        <w:rPr>
          <w:sz w:val="24"/>
          <w:szCs w:val="24"/>
        </w:rPr>
        <w:t xml:space="preserve"> në</w:t>
      </w:r>
      <w:r w:rsidR="001D38EC" w:rsidRPr="005D74FA">
        <w:rPr>
          <w:sz w:val="24"/>
          <w:szCs w:val="24"/>
        </w:rPr>
        <w:t xml:space="preserve"> informacionet e klasifikuar</w:t>
      </w:r>
      <w:r w:rsidR="00562EE8" w:rsidRPr="005D74FA">
        <w:rPr>
          <w:sz w:val="24"/>
          <w:szCs w:val="24"/>
        </w:rPr>
        <w:t>a</w:t>
      </w:r>
      <w:r w:rsidR="00281D26" w:rsidRPr="005D74FA">
        <w:rPr>
          <w:sz w:val="24"/>
          <w:szCs w:val="24"/>
        </w:rPr>
        <w:t xml:space="preserve"> “sekret shtetëror” dhe</w:t>
      </w:r>
      <w:r w:rsidR="001D38EC" w:rsidRPr="005D74FA">
        <w:rPr>
          <w:sz w:val="24"/>
          <w:szCs w:val="24"/>
        </w:rPr>
        <w:t xml:space="preserve"> </w:t>
      </w:r>
      <w:r w:rsidR="00281D26" w:rsidRPr="005D74FA">
        <w:rPr>
          <w:sz w:val="24"/>
          <w:szCs w:val="24"/>
        </w:rPr>
        <w:t>d</w:t>
      </w:r>
      <w:r w:rsidR="001D38EC" w:rsidRPr="005D74FA">
        <w:rPr>
          <w:sz w:val="24"/>
          <w:szCs w:val="24"/>
        </w:rPr>
        <w:t xml:space="preserve">etyrimi për ruajtjen e sekretit nuk e pengonte </w:t>
      </w:r>
      <w:r w:rsidR="00281D26" w:rsidRPr="005D74FA">
        <w:rPr>
          <w:sz w:val="24"/>
          <w:szCs w:val="24"/>
        </w:rPr>
        <w:t>atë</w:t>
      </w:r>
      <w:r w:rsidR="001D38EC" w:rsidRPr="005D74FA">
        <w:rPr>
          <w:sz w:val="24"/>
          <w:szCs w:val="24"/>
        </w:rPr>
        <w:t xml:space="preserve"> të vlerësonte ligjshmërinë e akteve</w:t>
      </w:r>
      <w:r w:rsidR="006E25D8" w:rsidRPr="005D74FA">
        <w:rPr>
          <w:sz w:val="24"/>
          <w:szCs w:val="24"/>
        </w:rPr>
        <w:t>,</w:t>
      </w:r>
      <w:r w:rsidR="001D38EC" w:rsidRPr="005D74FA">
        <w:rPr>
          <w:sz w:val="24"/>
          <w:szCs w:val="24"/>
        </w:rPr>
        <w:t xml:space="preserve"> të cilat qenë në themel të vendimmarrjes së</w:t>
      </w:r>
      <w:r w:rsidR="00000B2E" w:rsidRPr="005D74FA">
        <w:rPr>
          <w:sz w:val="24"/>
          <w:szCs w:val="24"/>
        </w:rPr>
        <w:t xml:space="preserve"> m</w:t>
      </w:r>
      <w:r w:rsidR="001D38EC" w:rsidRPr="005D74FA">
        <w:rPr>
          <w:sz w:val="24"/>
          <w:szCs w:val="24"/>
        </w:rPr>
        <w:t xml:space="preserve">inistrit të Drejtësisë </w:t>
      </w:r>
      <w:r w:rsidR="00EB163A" w:rsidRPr="005D74FA">
        <w:rPr>
          <w:sz w:val="24"/>
          <w:szCs w:val="24"/>
        </w:rPr>
        <w:t xml:space="preserve">për vendosjen e kërkuesit në regjim të posaçëm të ushtrimit të </w:t>
      </w:r>
      <w:proofErr w:type="spellStart"/>
      <w:r w:rsidR="00EB163A" w:rsidRPr="005D74FA">
        <w:rPr>
          <w:sz w:val="24"/>
          <w:szCs w:val="24"/>
        </w:rPr>
        <w:t>të</w:t>
      </w:r>
      <w:proofErr w:type="spellEnd"/>
      <w:r w:rsidR="00EB163A" w:rsidRPr="005D74FA">
        <w:rPr>
          <w:sz w:val="24"/>
          <w:szCs w:val="24"/>
        </w:rPr>
        <w:t xml:space="preserve"> drejtave në burg. </w:t>
      </w:r>
      <w:proofErr w:type="spellStart"/>
      <w:r w:rsidR="00507D0F" w:rsidRPr="005D74FA">
        <w:rPr>
          <w:sz w:val="24"/>
          <w:szCs w:val="24"/>
        </w:rPr>
        <w:t>Mosshqyrtimi</w:t>
      </w:r>
      <w:proofErr w:type="spellEnd"/>
      <w:r w:rsidR="00507D0F" w:rsidRPr="005D74FA">
        <w:rPr>
          <w:sz w:val="24"/>
          <w:szCs w:val="24"/>
        </w:rPr>
        <w:t xml:space="preserve"> </w:t>
      </w:r>
      <w:r w:rsidR="006E25D8" w:rsidRPr="005D74FA">
        <w:rPr>
          <w:sz w:val="24"/>
          <w:szCs w:val="24"/>
        </w:rPr>
        <w:t>dh</w:t>
      </w:r>
      <w:r w:rsidR="00507D0F" w:rsidRPr="005D74FA">
        <w:rPr>
          <w:sz w:val="24"/>
          <w:szCs w:val="24"/>
        </w:rPr>
        <w:t xml:space="preserve">e </w:t>
      </w:r>
      <w:proofErr w:type="spellStart"/>
      <w:r w:rsidR="00507D0F" w:rsidRPr="005D74FA">
        <w:rPr>
          <w:sz w:val="24"/>
          <w:szCs w:val="24"/>
        </w:rPr>
        <w:t>m</w:t>
      </w:r>
      <w:r w:rsidR="001434CD" w:rsidRPr="005D74FA">
        <w:rPr>
          <w:sz w:val="24"/>
          <w:szCs w:val="24"/>
        </w:rPr>
        <w:t>osvlerësimi</w:t>
      </w:r>
      <w:proofErr w:type="spellEnd"/>
      <w:r w:rsidR="001434CD" w:rsidRPr="005D74FA">
        <w:rPr>
          <w:sz w:val="24"/>
          <w:szCs w:val="24"/>
        </w:rPr>
        <w:t xml:space="preserve"> </w:t>
      </w:r>
      <w:r w:rsidR="00507D0F" w:rsidRPr="005D74FA">
        <w:rPr>
          <w:sz w:val="24"/>
          <w:szCs w:val="24"/>
        </w:rPr>
        <w:t xml:space="preserve">i këtyre akteve </w:t>
      </w:r>
      <w:r w:rsidR="001434CD" w:rsidRPr="005D74FA">
        <w:rPr>
          <w:sz w:val="24"/>
          <w:szCs w:val="24"/>
        </w:rPr>
        <w:t xml:space="preserve">nga gjykatat i </w:t>
      </w:r>
      <w:r w:rsidR="00EB163A" w:rsidRPr="005D74FA">
        <w:rPr>
          <w:sz w:val="24"/>
          <w:szCs w:val="24"/>
        </w:rPr>
        <w:t xml:space="preserve">ka cenuar </w:t>
      </w:r>
      <w:r w:rsidR="006E25D8" w:rsidRPr="005D74FA">
        <w:rPr>
          <w:sz w:val="24"/>
          <w:szCs w:val="24"/>
        </w:rPr>
        <w:t xml:space="preserve">atij </w:t>
      </w:r>
      <w:r w:rsidR="00EB163A" w:rsidRPr="005D74FA">
        <w:rPr>
          <w:sz w:val="24"/>
          <w:szCs w:val="24"/>
        </w:rPr>
        <w:t xml:space="preserve">të drejtën e </w:t>
      </w:r>
      <w:proofErr w:type="spellStart"/>
      <w:r w:rsidR="005565A0" w:rsidRPr="005D74FA">
        <w:rPr>
          <w:sz w:val="24"/>
          <w:szCs w:val="24"/>
        </w:rPr>
        <w:t>aksesit</w:t>
      </w:r>
      <w:proofErr w:type="spellEnd"/>
      <w:r w:rsidR="005565A0" w:rsidRPr="005D74FA">
        <w:rPr>
          <w:sz w:val="24"/>
          <w:szCs w:val="24"/>
        </w:rPr>
        <w:t xml:space="preserve"> e të </w:t>
      </w:r>
      <w:r w:rsidR="00EB163A" w:rsidRPr="005D74FA">
        <w:rPr>
          <w:sz w:val="24"/>
          <w:szCs w:val="24"/>
        </w:rPr>
        <w:t xml:space="preserve">mbrojtjes, </w:t>
      </w:r>
      <w:r w:rsidR="00A420E5" w:rsidRPr="005D74FA">
        <w:rPr>
          <w:sz w:val="24"/>
          <w:szCs w:val="24"/>
        </w:rPr>
        <w:t>në drejtim të barazisë së armëve dhe kontradiktoritetit</w:t>
      </w:r>
      <w:r w:rsidR="00D506A5" w:rsidRPr="005D74FA">
        <w:rPr>
          <w:sz w:val="24"/>
          <w:szCs w:val="24"/>
        </w:rPr>
        <w:t>. Po kështu</w:t>
      </w:r>
      <w:r w:rsidR="00CB308F" w:rsidRPr="005D74FA">
        <w:rPr>
          <w:sz w:val="24"/>
          <w:szCs w:val="24"/>
        </w:rPr>
        <w:t>, Gjykata e Lartë, ndërsa pranon të drejtën e palëve në gjykim për t’u njohur me aktet shkresore, provat dhe faktet që administrohen në</w:t>
      </w:r>
      <w:r w:rsidR="00D506A5" w:rsidRPr="005D74FA">
        <w:rPr>
          <w:sz w:val="24"/>
          <w:szCs w:val="24"/>
        </w:rPr>
        <w:t xml:space="preserve"> proces</w:t>
      </w:r>
      <w:r w:rsidR="00113DCA" w:rsidRPr="005D74FA">
        <w:rPr>
          <w:sz w:val="24"/>
          <w:szCs w:val="24"/>
        </w:rPr>
        <w:t>,</w:t>
      </w:r>
      <w:r w:rsidR="00CB308F" w:rsidRPr="005D74FA">
        <w:rPr>
          <w:sz w:val="24"/>
          <w:szCs w:val="24"/>
        </w:rPr>
        <w:t xml:space="preserve"> në mënyrë paradoksale </w:t>
      </w:r>
      <w:r w:rsidR="006E25D8" w:rsidRPr="005D74FA">
        <w:rPr>
          <w:sz w:val="24"/>
          <w:szCs w:val="24"/>
        </w:rPr>
        <w:t xml:space="preserve">ka </w:t>
      </w:r>
      <w:r w:rsidR="00CB308F" w:rsidRPr="005D74FA">
        <w:rPr>
          <w:sz w:val="24"/>
          <w:szCs w:val="24"/>
        </w:rPr>
        <w:t>vendos</w:t>
      </w:r>
      <w:r w:rsidR="006E25D8" w:rsidRPr="005D74FA">
        <w:rPr>
          <w:sz w:val="24"/>
          <w:szCs w:val="24"/>
        </w:rPr>
        <w:t>ur</w:t>
      </w:r>
      <w:r w:rsidR="00CB308F" w:rsidRPr="005D74FA">
        <w:rPr>
          <w:sz w:val="24"/>
          <w:szCs w:val="24"/>
        </w:rPr>
        <w:t xml:space="preserve"> për mospranimin e rekursit.</w:t>
      </w:r>
    </w:p>
    <w:p w:rsidR="00DC2DF4" w:rsidRPr="005D74FA" w:rsidRDefault="00D36BFB" w:rsidP="00083B19">
      <w:pPr>
        <w:pStyle w:val="ListParagraph"/>
        <w:numPr>
          <w:ilvl w:val="0"/>
          <w:numId w:val="1"/>
        </w:numPr>
        <w:tabs>
          <w:tab w:val="left" w:pos="1080"/>
        </w:tabs>
        <w:spacing w:line="360" w:lineRule="auto"/>
        <w:ind w:left="0" w:firstLine="720"/>
        <w:rPr>
          <w:sz w:val="24"/>
          <w:szCs w:val="24"/>
        </w:rPr>
      </w:pPr>
      <w:r w:rsidRPr="005D74FA">
        <w:rPr>
          <w:sz w:val="24"/>
          <w:szCs w:val="24"/>
        </w:rPr>
        <w:t>Subjekti</w:t>
      </w:r>
      <w:r w:rsidR="00DC2DF4" w:rsidRPr="005D74FA">
        <w:rPr>
          <w:sz w:val="24"/>
          <w:szCs w:val="24"/>
        </w:rPr>
        <w:t xml:space="preserve"> i interesuar, </w:t>
      </w:r>
      <w:r w:rsidRPr="005D74FA">
        <w:rPr>
          <w:sz w:val="24"/>
          <w:szCs w:val="24"/>
        </w:rPr>
        <w:t>P</w:t>
      </w:r>
      <w:r w:rsidR="00DC2DF4" w:rsidRPr="005D74FA">
        <w:rPr>
          <w:sz w:val="24"/>
          <w:szCs w:val="24"/>
        </w:rPr>
        <w:t xml:space="preserve">rokuroria e </w:t>
      </w:r>
      <w:r w:rsidRPr="005D74FA">
        <w:rPr>
          <w:sz w:val="24"/>
          <w:szCs w:val="24"/>
        </w:rPr>
        <w:t>P</w:t>
      </w:r>
      <w:r w:rsidR="00DC2DF4" w:rsidRPr="005D74FA">
        <w:rPr>
          <w:sz w:val="24"/>
          <w:szCs w:val="24"/>
        </w:rPr>
        <w:t>osaçme, ka pretenduar se</w:t>
      </w:r>
      <w:r w:rsidR="00086CD1" w:rsidRPr="005D74FA">
        <w:rPr>
          <w:sz w:val="24"/>
          <w:szCs w:val="24"/>
        </w:rPr>
        <w:t xml:space="preserve"> si organ të cilit i janë adresuar aktet që përbëjnë sekret, nuk ka qenë e autorizuar nga institucionet që kanë prodhuar këto akte për të bërë ekspozim të tyre për gjykatën ose kërkuesin. Kërkuesi dhe gjykata janë njohur </w:t>
      </w:r>
      <w:proofErr w:type="spellStart"/>
      <w:r w:rsidR="00086CD1" w:rsidRPr="005D74FA">
        <w:rPr>
          <w:sz w:val="24"/>
          <w:szCs w:val="24"/>
        </w:rPr>
        <w:t>mjaftueshmërisht</w:t>
      </w:r>
      <w:proofErr w:type="spellEnd"/>
      <w:r w:rsidR="00086CD1" w:rsidRPr="005D74FA">
        <w:rPr>
          <w:sz w:val="24"/>
          <w:szCs w:val="24"/>
        </w:rPr>
        <w:t xml:space="preserve"> me thelbin e përmbajtjes së informacionit të klasifikuar, për aq sa është e nevojshme për debatin gjyqësor dhe vendimmarrjen. Njohja me përmbajtjen e këtij informacioni u ka dhënë mundësi palëve, përfshirë dhe kërkuesin, të debatojnë në lidhje me të, si dhe gjykatës që të vlerësojë dhe të krijojë bindjen e saj për këto akte. Kërkesa e ish-drejtuesit të Prokurorisë pranë Gjykatës së Shkallës së Parë për K</w:t>
      </w:r>
      <w:r w:rsidR="006E25D8" w:rsidRPr="005D74FA">
        <w:rPr>
          <w:sz w:val="24"/>
          <w:szCs w:val="24"/>
        </w:rPr>
        <w:t>r</w:t>
      </w:r>
      <w:r w:rsidR="00086CD1" w:rsidRPr="005D74FA">
        <w:rPr>
          <w:sz w:val="24"/>
          <w:szCs w:val="24"/>
        </w:rPr>
        <w:t>ime të Rënda, si dhe konfirmimi i saj nga drejtuesi i Prokurorisë së Posaçme</w:t>
      </w:r>
      <w:r w:rsidR="008D1B37" w:rsidRPr="005D74FA">
        <w:rPr>
          <w:sz w:val="24"/>
          <w:szCs w:val="24"/>
        </w:rPr>
        <w:t>,</w:t>
      </w:r>
      <w:r w:rsidR="00086CD1" w:rsidRPr="005D74FA">
        <w:rPr>
          <w:sz w:val="24"/>
          <w:szCs w:val="24"/>
        </w:rPr>
        <w:t xml:space="preserve"> kanë qenë të mjaftueshme për gjykatën për të </w:t>
      </w:r>
      <w:proofErr w:type="spellStart"/>
      <w:r w:rsidR="00086CD1" w:rsidRPr="005D74FA">
        <w:rPr>
          <w:sz w:val="24"/>
          <w:szCs w:val="24"/>
        </w:rPr>
        <w:t>konkluduar</w:t>
      </w:r>
      <w:proofErr w:type="spellEnd"/>
      <w:r w:rsidR="00086CD1" w:rsidRPr="005D74FA">
        <w:rPr>
          <w:sz w:val="24"/>
          <w:szCs w:val="24"/>
        </w:rPr>
        <w:t xml:space="preserve"> për çështjen dhe për të garantuar parimin e kontradiktoritetit dhe barazisë së armëve për palët në gjykim. Në këto kushte, njohja me aktet ka qenë efektive dhe parimi i barazisë së armëve dhe kontradiktoritetit është garantuar. Kjo mënyrë procedimi nuk ka cenuar thelbin e parimit të procesit të rregullt ligjor</w:t>
      </w:r>
      <w:r w:rsidRPr="005D74FA">
        <w:rPr>
          <w:sz w:val="24"/>
          <w:szCs w:val="24"/>
        </w:rPr>
        <w:t>.</w:t>
      </w:r>
    </w:p>
    <w:p w:rsidR="006E76DD" w:rsidRPr="005D74FA" w:rsidRDefault="00BD67AF" w:rsidP="00FF6DD5">
      <w:pPr>
        <w:pStyle w:val="ListParagraph"/>
        <w:numPr>
          <w:ilvl w:val="0"/>
          <w:numId w:val="1"/>
        </w:numPr>
        <w:tabs>
          <w:tab w:val="left" w:pos="1080"/>
        </w:tabs>
        <w:spacing w:line="360" w:lineRule="auto"/>
        <w:ind w:left="0" w:firstLine="720"/>
        <w:rPr>
          <w:sz w:val="24"/>
          <w:szCs w:val="24"/>
        </w:rPr>
      </w:pPr>
      <w:r w:rsidRPr="005D74FA">
        <w:rPr>
          <w:rFonts w:eastAsia="Calibri"/>
          <w:bCs/>
          <w:sz w:val="24"/>
          <w:szCs w:val="24"/>
        </w:rPr>
        <w:t xml:space="preserve">Neni 42, pika </w:t>
      </w:r>
      <w:r w:rsidR="00DC2DF4" w:rsidRPr="005D74FA">
        <w:rPr>
          <w:rFonts w:eastAsia="Calibri"/>
          <w:bCs/>
          <w:sz w:val="24"/>
          <w:szCs w:val="24"/>
        </w:rPr>
        <w:t>1</w:t>
      </w:r>
      <w:r w:rsidRPr="005D74FA">
        <w:rPr>
          <w:rFonts w:eastAsia="Calibri"/>
          <w:bCs/>
          <w:sz w:val="24"/>
          <w:szCs w:val="24"/>
        </w:rPr>
        <w:t>,</w:t>
      </w:r>
      <w:r w:rsidR="006E76DD" w:rsidRPr="005D74FA">
        <w:rPr>
          <w:rFonts w:eastAsia="Calibri"/>
          <w:bCs/>
          <w:sz w:val="24"/>
          <w:szCs w:val="24"/>
        </w:rPr>
        <w:t xml:space="preserve"> </w:t>
      </w:r>
      <w:r w:rsidRPr="005D74FA">
        <w:rPr>
          <w:rFonts w:eastAsia="Calibri"/>
          <w:bCs/>
          <w:sz w:val="24"/>
          <w:szCs w:val="24"/>
        </w:rPr>
        <w:t>i</w:t>
      </w:r>
      <w:r w:rsidR="006E76DD" w:rsidRPr="005D74FA">
        <w:rPr>
          <w:rFonts w:eastAsia="Calibri"/>
          <w:bCs/>
          <w:sz w:val="24"/>
          <w:szCs w:val="24"/>
        </w:rPr>
        <w:t xml:space="preserve"> Kushtetutës parashiko</w:t>
      </w:r>
      <w:r w:rsidR="009E6AF4" w:rsidRPr="005D74FA">
        <w:rPr>
          <w:rFonts w:eastAsia="Calibri"/>
          <w:bCs/>
          <w:sz w:val="24"/>
          <w:szCs w:val="24"/>
        </w:rPr>
        <w:t>n</w:t>
      </w:r>
      <w:r w:rsidR="006E76DD" w:rsidRPr="005D74FA">
        <w:rPr>
          <w:rFonts w:eastAsia="Calibri"/>
          <w:bCs/>
          <w:sz w:val="24"/>
          <w:szCs w:val="24"/>
        </w:rPr>
        <w:t xml:space="preserve"> se </w:t>
      </w:r>
      <w:r w:rsidR="00086CD1" w:rsidRPr="005D74FA">
        <w:rPr>
          <w:rFonts w:eastAsia="Calibri"/>
          <w:bCs/>
          <w:sz w:val="24"/>
          <w:szCs w:val="24"/>
        </w:rPr>
        <w:t>liria, pro</w:t>
      </w:r>
      <w:r w:rsidR="001F7CA4" w:rsidRPr="005D74FA">
        <w:rPr>
          <w:rFonts w:eastAsia="Calibri"/>
          <w:bCs/>
          <w:sz w:val="24"/>
          <w:szCs w:val="24"/>
        </w:rPr>
        <w:t>na dhe të drejtat e njohura me K</w:t>
      </w:r>
      <w:r w:rsidR="00086CD1" w:rsidRPr="005D74FA">
        <w:rPr>
          <w:rFonts w:eastAsia="Calibri"/>
          <w:bCs/>
          <w:sz w:val="24"/>
          <w:szCs w:val="24"/>
        </w:rPr>
        <w:t>ushtetutë dhe me ligj nuk mund të cenohen pa një proces të rregullt ligjor</w:t>
      </w:r>
      <w:r w:rsidR="006E76DD" w:rsidRPr="005D74FA">
        <w:rPr>
          <w:rFonts w:eastAsia="Calibri"/>
          <w:bCs/>
          <w:sz w:val="24"/>
          <w:szCs w:val="24"/>
        </w:rPr>
        <w:t xml:space="preserve">. </w:t>
      </w:r>
      <w:r w:rsidR="006E76DD" w:rsidRPr="005D74FA">
        <w:rPr>
          <w:rFonts w:eastAsia="Calibri"/>
          <w:sz w:val="24"/>
          <w:szCs w:val="24"/>
        </w:rPr>
        <w:t xml:space="preserve">Kjo dispozitë sanksionon të drejtën për gjykim, ku e drejta e </w:t>
      </w:r>
      <w:proofErr w:type="spellStart"/>
      <w:r w:rsidR="006E76DD" w:rsidRPr="005D74FA">
        <w:rPr>
          <w:rFonts w:eastAsia="Calibri"/>
          <w:sz w:val="24"/>
          <w:szCs w:val="24"/>
        </w:rPr>
        <w:t>aksesit</w:t>
      </w:r>
      <w:proofErr w:type="spellEnd"/>
      <w:r w:rsidR="006E76DD" w:rsidRPr="005D74FA">
        <w:rPr>
          <w:rFonts w:eastAsia="Calibri"/>
          <w:sz w:val="24"/>
          <w:szCs w:val="24"/>
        </w:rPr>
        <w:t xml:space="preserve">, që është e drejta për të vënë në lëvizje gjykatën, përbën një aspekt të saj. E drejta e </w:t>
      </w:r>
      <w:proofErr w:type="spellStart"/>
      <w:r w:rsidR="006E76DD" w:rsidRPr="005D74FA">
        <w:rPr>
          <w:rFonts w:eastAsia="Calibri"/>
          <w:sz w:val="24"/>
          <w:szCs w:val="24"/>
        </w:rPr>
        <w:t>aksesit</w:t>
      </w:r>
      <w:proofErr w:type="spellEnd"/>
      <w:r w:rsidR="006E76DD" w:rsidRPr="005D74FA">
        <w:rPr>
          <w:rFonts w:eastAsia="Calibri"/>
          <w:sz w:val="24"/>
          <w:szCs w:val="24"/>
        </w:rPr>
        <w:t xml:space="preserve"> u garanton subjekteve të cenuara të drejtën t’i drejtohen një gjykate, e cila do t’i dëgjojë pretendimet e tyre dhe do të shpallë një vendim pas një gjykimi të drejtë dhe publik. Kjo e drejtë e individit nuk përfshin vetëm të drejtën për të vënë në lëvizje gjykatën, por edhe të drejtën për të pasur prej saj një zgjidhje përfundimtare për mosmarrëveshjen objekt gjykimi, pasi </w:t>
      </w:r>
      <w:proofErr w:type="spellStart"/>
      <w:r w:rsidR="006E76DD" w:rsidRPr="005D74FA">
        <w:rPr>
          <w:rFonts w:eastAsia="Calibri"/>
          <w:sz w:val="24"/>
          <w:szCs w:val="24"/>
        </w:rPr>
        <w:t>aksesi</w:t>
      </w:r>
      <w:proofErr w:type="spellEnd"/>
      <w:r w:rsidR="006E76DD" w:rsidRPr="005D74FA">
        <w:rPr>
          <w:rFonts w:eastAsia="Calibri"/>
          <w:sz w:val="24"/>
          <w:szCs w:val="24"/>
        </w:rPr>
        <w:t xml:space="preserve"> në gjykatë duhet të jetë substan</w:t>
      </w:r>
      <w:r w:rsidR="00B02557" w:rsidRPr="005D74FA">
        <w:rPr>
          <w:rFonts w:eastAsia="Calibri"/>
          <w:sz w:val="24"/>
          <w:szCs w:val="24"/>
        </w:rPr>
        <w:t>cial</w:t>
      </w:r>
      <w:r w:rsidR="006E76DD" w:rsidRPr="005D74FA">
        <w:rPr>
          <w:rFonts w:eastAsia="Calibri"/>
          <w:sz w:val="24"/>
          <w:szCs w:val="24"/>
        </w:rPr>
        <w:t xml:space="preserve"> dhe jo thjesht formal. Në rast se mohohet kjo e drejtë procesi konsiderohet i parregullt, sepse </w:t>
      </w:r>
      <w:proofErr w:type="spellStart"/>
      <w:r w:rsidR="006E76DD" w:rsidRPr="005D74FA">
        <w:rPr>
          <w:rFonts w:eastAsia="Calibri"/>
          <w:sz w:val="24"/>
          <w:szCs w:val="24"/>
        </w:rPr>
        <w:t>aksesi</w:t>
      </w:r>
      <w:proofErr w:type="spellEnd"/>
      <w:r w:rsidR="006E76DD" w:rsidRPr="005D74FA">
        <w:rPr>
          <w:rFonts w:eastAsia="Calibri"/>
          <w:sz w:val="24"/>
          <w:szCs w:val="24"/>
        </w:rPr>
        <w:t xml:space="preserve"> në gjykatë është, para së gjithash, një kusht kryesor për të realizuar mbrojtjen e të drejtave të tjera të individit</w:t>
      </w:r>
      <w:r w:rsidR="002748C4" w:rsidRPr="005D74FA">
        <w:rPr>
          <w:rFonts w:eastAsia="Calibri"/>
          <w:sz w:val="24"/>
          <w:szCs w:val="24"/>
        </w:rPr>
        <w:t xml:space="preserve"> </w:t>
      </w:r>
      <w:r w:rsidR="002748C4" w:rsidRPr="005D74FA">
        <w:rPr>
          <w:rFonts w:eastAsia="Calibri"/>
          <w:i/>
          <w:sz w:val="24"/>
          <w:szCs w:val="24"/>
        </w:rPr>
        <w:t>(shih vendim</w:t>
      </w:r>
      <w:r w:rsidR="00DC0CD2" w:rsidRPr="005D74FA">
        <w:rPr>
          <w:rFonts w:eastAsia="Calibri"/>
          <w:i/>
          <w:sz w:val="24"/>
          <w:szCs w:val="24"/>
        </w:rPr>
        <w:t>et</w:t>
      </w:r>
      <w:r w:rsidR="002748C4" w:rsidRPr="005D74FA">
        <w:rPr>
          <w:rFonts w:eastAsia="Calibri"/>
          <w:i/>
          <w:sz w:val="24"/>
          <w:szCs w:val="24"/>
        </w:rPr>
        <w:t xml:space="preserve"> nr. 22, datë 29.04.2021; </w:t>
      </w:r>
      <w:r w:rsidR="002748C4" w:rsidRPr="005D74FA">
        <w:rPr>
          <w:i/>
          <w:sz w:val="24"/>
          <w:szCs w:val="24"/>
        </w:rPr>
        <w:t xml:space="preserve">nr. 3, datë 23.02.2016 </w:t>
      </w:r>
      <w:r w:rsidR="002748C4" w:rsidRPr="005D74FA">
        <w:rPr>
          <w:rFonts w:eastAsia="Calibri"/>
          <w:i/>
          <w:sz w:val="24"/>
          <w:szCs w:val="24"/>
        </w:rPr>
        <w:t>të Gjykatës Kushtetuese)</w:t>
      </w:r>
      <w:r w:rsidR="006E76DD" w:rsidRPr="005D74FA">
        <w:rPr>
          <w:rFonts w:eastAsia="Calibri"/>
          <w:sz w:val="24"/>
          <w:szCs w:val="24"/>
        </w:rPr>
        <w:t xml:space="preserve">. </w:t>
      </w:r>
    </w:p>
    <w:p w:rsidR="00BA22C1" w:rsidRPr="005D74FA" w:rsidRDefault="007611A2" w:rsidP="00FF6DD5">
      <w:pPr>
        <w:pStyle w:val="ListParagraph"/>
        <w:numPr>
          <w:ilvl w:val="0"/>
          <w:numId w:val="1"/>
        </w:numPr>
        <w:tabs>
          <w:tab w:val="left" w:pos="1080"/>
        </w:tabs>
        <w:spacing w:line="360" w:lineRule="auto"/>
        <w:ind w:left="0" w:firstLine="720"/>
        <w:rPr>
          <w:sz w:val="24"/>
          <w:szCs w:val="24"/>
        </w:rPr>
      </w:pPr>
      <w:r w:rsidRPr="005D74FA">
        <w:rPr>
          <w:rFonts w:eastAsia="Times New Roman"/>
          <w:bCs/>
          <w:sz w:val="24"/>
          <w:szCs w:val="24"/>
        </w:rPr>
        <w:t>Sipas Gjykatës,</w:t>
      </w:r>
      <w:r w:rsidR="00C413F7" w:rsidRPr="005D74FA">
        <w:rPr>
          <w:rFonts w:eastAsia="Times New Roman"/>
          <w:bCs/>
          <w:sz w:val="24"/>
          <w:szCs w:val="24"/>
        </w:rPr>
        <w:t xml:space="preserve"> parimi i barazisë së armëve </w:t>
      </w:r>
      <w:r w:rsidR="000031D1" w:rsidRPr="005D74FA">
        <w:rPr>
          <w:rFonts w:eastAsia="Times New Roman"/>
          <w:bCs/>
          <w:sz w:val="24"/>
          <w:szCs w:val="24"/>
        </w:rPr>
        <w:t xml:space="preserve">dhe kontradiktoritetit </w:t>
      </w:r>
      <w:r w:rsidR="00C413F7" w:rsidRPr="005D74FA">
        <w:rPr>
          <w:rFonts w:eastAsia="Times New Roman"/>
          <w:bCs/>
          <w:sz w:val="24"/>
          <w:szCs w:val="24"/>
        </w:rPr>
        <w:t xml:space="preserve">nënkupton se çdokush që është palë në proces duhet të ketë mundësi të barabarta që të paraqesë çështjen e tij dhe se asnjë palë nuk duhet të gëzojë avantazh të konsiderueshëm ndaj palës tjetër, por duhet të përcaktohet një ekuilibër i drejtë mes palëve. Nëse nuk do të ekzistonte barazia e armëve në gjykim, atëherë argumentet e njërës palë do të mbizotëronin mbi argumentet e palës tjetër, për rrjedhojë e drejta për të marrë pjesë në gjykim do të zhvishej nga funksioni i saj kushtetues për të garantuar një proces të rregullt ligjor. Bazuar në këto parime, gjykatës i dalin një sërë detyrash, mes të cilave rëndësi të veçantë merr krijimi i mundësive të barabarta për pjesëmarrjen e palëve ose përfaqësuesve të tyre në proces, si dhe mundësia e deklarimit të tyre për faktet, provat dhe vlerësimet ligjore që janë të lidhura ngushtë me çështjen që shqyrtohet në gjykatë </w:t>
      </w:r>
      <w:r w:rsidR="00C413F7" w:rsidRPr="005D74FA">
        <w:rPr>
          <w:rFonts w:eastAsia="Times New Roman"/>
          <w:bCs/>
          <w:i/>
          <w:sz w:val="24"/>
          <w:szCs w:val="24"/>
        </w:rPr>
        <w:t xml:space="preserve">(shih vendimet </w:t>
      </w:r>
      <w:r w:rsidR="00197A73" w:rsidRPr="005D74FA">
        <w:rPr>
          <w:rFonts w:eastAsia="Times New Roman"/>
          <w:i/>
          <w:sz w:val="24"/>
          <w:szCs w:val="24"/>
        </w:rPr>
        <w:t xml:space="preserve">nr. 22, datë </w:t>
      </w:r>
      <w:r w:rsidR="00197A73" w:rsidRPr="005D74FA">
        <w:rPr>
          <w:rFonts w:eastAsia="Calibri"/>
          <w:i/>
          <w:sz w:val="24"/>
          <w:szCs w:val="24"/>
        </w:rPr>
        <w:t xml:space="preserve">29.04.2021; </w:t>
      </w:r>
      <w:r w:rsidR="00C413F7" w:rsidRPr="005D74FA">
        <w:rPr>
          <w:rFonts w:eastAsia="Times New Roman"/>
          <w:bCs/>
          <w:i/>
          <w:sz w:val="24"/>
          <w:szCs w:val="24"/>
        </w:rPr>
        <w:t>nr. 19, datë 01.04.2021</w:t>
      </w:r>
      <w:r w:rsidR="00197A73" w:rsidRPr="005D74FA">
        <w:rPr>
          <w:rFonts w:eastAsia="Times New Roman"/>
          <w:bCs/>
          <w:i/>
          <w:sz w:val="24"/>
          <w:szCs w:val="24"/>
        </w:rPr>
        <w:t xml:space="preserve"> </w:t>
      </w:r>
      <w:r w:rsidR="00C413F7" w:rsidRPr="005D74FA">
        <w:rPr>
          <w:rFonts w:eastAsia="Times New Roman"/>
          <w:bCs/>
          <w:i/>
          <w:sz w:val="24"/>
          <w:szCs w:val="24"/>
        </w:rPr>
        <w:t>të Gjykatës Kushtetuese)</w:t>
      </w:r>
      <w:r w:rsidR="00667E8A" w:rsidRPr="005D74FA">
        <w:rPr>
          <w:rFonts w:eastAsia="Times New Roman"/>
          <w:sz w:val="24"/>
          <w:szCs w:val="24"/>
        </w:rPr>
        <w:t>.</w:t>
      </w:r>
    </w:p>
    <w:p w:rsidR="006E76DD" w:rsidRPr="005D74FA" w:rsidRDefault="00836E04" w:rsidP="00E31D29">
      <w:pPr>
        <w:pStyle w:val="ListParagraph"/>
        <w:numPr>
          <w:ilvl w:val="0"/>
          <w:numId w:val="1"/>
        </w:numPr>
        <w:tabs>
          <w:tab w:val="left" w:pos="1080"/>
        </w:tabs>
        <w:spacing w:line="360" w:lineRule="auto"/>
        <w:ind w:left="0" w:firstLine="720"/>
        <w:rPr>
          <w:sz w:val="24"/>
          <w:szCs w:val="24"/>
        </w:rPr>
      </w:pPr>
      <w:r w:rsidRPr="005D74FA">
        <w:rPr>
          <w:rFonts w:eastAsia="Times New Roman"/>
          <w:sz w:val="24"/>
          <w:szCs w:val="24"/>
        </w:rPr>
        <w:t>Gjykata ka theksuar</w:t>
      </w:r>
      <w:r w:rsidR="001B55AE" w:rsidRPr="005D74FA">
        <w:rPr>
          <w:rFonts w:eastAsia="Times New Roman"/>
          <w:sz w:val="24"/>
          <w:szCs w:val="24"/>
        </w:rPr>
        <w:t>, gjithashtu,</w:t>
      </w:r>
      <w:r w:rsidRPr="005D74FA">
        <w:rPr>
          <w:rFonts w:eastAsia="Times New Roman"/>
          <w:sz w:val="24"/>
          <w:szCs w:val="24"/>
        </w:rPr>
        <w:t xml:space="preserve"> se marrja e provave, paraqitja dhe vlerësimi i tyre</w:t>
      </w:r>
      <w:r w:rsidR="00823581" w:rsidRPr="005D74FA">
        <w:rPr>
          <w:rFonts w:eastAsia="Times New Roman"/>
          <w:sz w:val="24"/>
          <w:szCs w:val="24"/>
        </w:rPr>
        <w:t>,</w:t>
      </w:r>
      <w:r w:rsidRPr="005D74FA">
        <w:rPr>
          <w:rFonts w:eastAsia="Times New Roman"/>
          <w:sz w:val="24"/>
          <w:szCs w:val="24"/>
        </w:rPr>
        <w:t xml:space="preserve"> është në juridiksion të gjykimit të zakonshëm dhe jo atij kushtetues. Është vetë gjykata që vlerëson nëse provat duhet të merren dhe mënyra e vlerësimit dhe konkluzionet lidhur me to janë po ashtu në kompetencë të saj </w:t>
      </w:r>
      <w:r w:rsidRPr="005D74FA">
        <w:rPr>
          <w:rFonts w:eastAsia="Times New Roman"/>
          <w:i/>
          <w:sz w:val="24"/>
          <w:szCs w:val="24"/>
        </w:rPr>
        <w:t xml:space="preserve">(shih </w:t>
      </w:r>
      <w:r w:rsidRPr="005D74FA">
        <w:rPr>
          <w:rFonts w:eastAsia="Times New Roman"/>
          <w:i/>
          <w:iCs/>
          <w:sz w:val="24"/>
          <w:szCs w:val="24"/>
        </w:rPr>
        <w:t xml:space="preserve">vendimin nr. 83, datë </w:t>
      </w:r>
      <w:r w:rsidR="00FE06B7" w:rsidRPr="005D74FA">
        <w:rPr>
          <w:rFonts w:eastAsia="Times New Roman"/>
          <w:i/>
          <w:iCs/>
          <w:sz w:val="24"/>
          <w:szCs w:val="24"/>
        </w:rPr>
        <w:t>30</w:t>
      </w:r>
      <w:r w:rsidRPr="005D74FA">
        <w:rPr>
          <w:rFonts w:eastAsia="Times New Roman"/>
          <w:i/>
          <w:iCs/>
          <w:sz w:val="24"/>
          <w:szCs w:val="24"/>
        </w:rPr>
        <w:t>.</w:t>
      </w:r>
      <w:r w:rsidR="00FE06B7" w:rsidRPr="005D74FA">
        <w:rPr>
          <w:rFonts w:eastAsia="Times New Roman"/>
          <w:i/>
          <w:iCs/>
          <w:sz w:val="24"/>
          <w:szCs w:val="24"/>
        </w:rPr>
        <w:t>12</w:t>
      </w:r>
      <w:r w:rsidRPr="005D74FA">
        <w:rPr>
          <w:rFonts w:eastAsia="Times New Roman"/>
          <w:i/>
          <w:iCs/>
          <w:sz w:val="24"/>
          <w:szCs w:val="24"/>
        </w:rPr>
        <w:t>.2016</w:t>
      </w:r>
      <w:r w:rsidRPr="005D74FA">
        <w:rPr>
          <w:rFonts w:eastAsia="Times New Roman"/>
          <w:bCs/>
          <w:i/>
          <w:iCs/>
          <w:sz w:val="24"/>
          <w:szCs w:val="24"/>
        </w:rPr>
        <w:t xml:space="preserve"> </w:t>
      </w:r>
      <w:r w:rsidRPr="005D74FA">
        <w:rPr>
          <w:rFonts w:eastAsia="Times New Roman"/>
          <w:i/>
          <w:iCs/>
          <w:sz w:val="24"/>
          <w:szCs w:val="24"/>
        </w:rPr>
        <w:t>të Gjykatës Kushtetuese)</w:t>
      </w:r>
      <w:r w:rsidRPr="005D74FA">
        <w:rPr>
          <w:rFonts w:eastAsia="Times New Roman"/>
          <w:sz w:val="24"/>
          <w:szCs w:val="24"/>
        </w:rPr>
        <w:t xml:space="preserve">. </w:t>
      </w:r>
      <w:r w:rsidRPr="005D74FA">
        <w:rPr>
          <w:color w:val="000000"/>
          <w:sz w:val="24"/>
          <w:szCs w:val="24"/>
        </w:rPr>
        <w:t xml:space="preserve">Gjykata mund dhe duhet të investohet kur ndaj një procesi gjyqësor ka pretendime për rrugën e mënyrën e marrjes dhe fiksimit të provave, por jo të vlerësimit të tyre </w:t>
      </w:r>
      <w:r w:rsidRPr="005D74FA">
        <w:rPr>
          <w:i/>
          <w:color w:val="000000"/>
          <w:sz w:val="24"/>
          <w:szCs w:val="24"/>
        </w:rPr>
        <w:t>(shih vendimin nr. 19, datë 01.04.2021 të Gjykatës Kushtetuese)</w:t>
      </w:r>
      <w:r w:rsidRPr="005D74FA">
        <w:rPr>
          <w:color w:val="000000"/>
          <w:sz w:val="24"/>
          <w:szCs w:val="24"/>
        </w:rPr>
        <w:t xml:space="preserve">. </w:t>
      </w:r>
    </w:p>
    <w:p w:rsidR="00157FF7" w:rsidRPr="005D74FA" w:rsidRDefault="00D36BFB" w:rsidP="00157FF7">
      <w:pPr>
        <w:pStyle w:val="ListParagraph"/>
        <w:numPr>
          <w:ilvl w:val="0"/>
          <w:numId w:val="1"/>
        </w:numPr>
        <w:tabs>
          <w:tab w:val="left" w:pos="1080"/>
        </w:tabs>
        <w:spacing w:line="360" w:lineRule="auto"/>
        <w:ind w:left="0" w:firstLine="720"/>
        <w:rPr>
          <w:sz w:val="24"/>
          <w:szCs w:val="24"/>
        </w:rPr>
      </w:pPr>
      <w:r w:rsidRPr="005D74FA">
        <w:rPr>
          <w:sz w:val="24"/>
          <w:szCs w:val="24"/>
        </w:rPr>
        <w:t>R</w:t>
      </w:r>
      <w:r w:rsidR="00EB391C" w:rsidRPr="005D74FA">
        <w:rPr>
          <w:sz w:val="24"/>
          <w:szCs w:val="24"/>
        </w:rPr>
        <w:t xml:space="preserve">eferuar akteve të dosjes gjyqësore të administruar për qëllime të </w:t>
      </w:r>
      <w:r w:rsidR="00E665C5" w:rsidRPr="005D74FA">
        <w:rPr>
          <w:sz w:val="24"/>
          <w:szCs w:val="24"/>
        </w:rPr>
        <w:t xml:space="preserve">shqyrtimit </w:t>
      </w:r>
      <w:r w:rsidR="004478AF" w:rsidRPr="005D74FA">
        <w:rPr>
          <w:sz w:val="24"/>
          <w:szCs w:val="24"/>
        </w:rPr>
        <w:t xml:space="preserve">kushtetues </w:t>
      </w:r>
      <w:r w:rsidR="00E665C5" w:rsidRPr="005D74FA">
        <w:rPr>
          <w:sz w:val="24"/>
          <w:szCs w:val="24"/>
        </w:rPr>
        <w:t>të çështje</w:t>
      </w:r>
      <w:r w:rsidR="007C2312" w:rsidRPr="005D74FA">
        <w:rPr>
          <w:sz w:val="24"/>
          <w:szCs w:val="24"/>
        </w:rPr>
        <w:t>s</w:t>
      </w:r>
      <w:r w:rsidR="00EB391C" w:rsidRPr="005D74FA">
        <w:rPr>
          <w:sz w:val="24"/>
          <w:szCs w:val="24"/>
        </w:rPr>
        <w:t xml:space="preserve">, </w:t>
      </w:r>
      <w:r w:rsidR="005B13A9" w:rsidRPr="005D74FA">
        <w:rPr>
          <w:rFonts w:eastAsia="Times New Roman"/>
          <w:iCs/>
          <w:sz w:val="24"/>
          <w:szCs w:val="24"/>
        </w:rPr>
        <w:t>Gjykata vëren se</w:t>
      </w:r>
      <w:r w:rsidR="00157FF7" w:rsidRPr="005D74FA">
        <w:rPr>
          <w:rFonts w:eastAsia="Times New Roman"/>
          <w:iCs/>
          <w:sz w:val="24"/>
          <w:szCs w:val="24"/>
        </w:rPr>
        <w:t xml:space="preserve"> përmes shkresës nr. 166 </w:t>
      </w:r>
      <w:proofErr w:type="spellStart"/>
      <w:r w:rsidR="00157FF7" w:rsidRPr="005D74FA">
        <w:rPr>
          <w:rFonts w:eastAsia="Times New Roman"/>
          <w:iCs/>
          <w:sz w:val="24"/>
          <w:szCs w:val="24"/>
        </w:rPr>
        <w:t>prot</w:t>
      </w:r>
      <w:proofErr w:type="spellEnd"/>
      <w:r w:rsidR="00157FF7" w:rsidRPr="005D74FA">
        <w:rPr>
          <w:rFonts w:eastAsia="Times New Roman"/>
          <w:iCs/>
          <w:sz w:val="24"/>
          <w:szCs w:val="24"/>
        </w:rPr>
        <w:t>., datë 01.11.2019, Prokuroria pranë Gjykatës së Shkallës së Parë për Krime të Rënda i është drejtuar ministrit të Drejtësisë</w:t>
      </w:r>
      <w:r w:rsidR="000B391A" w:rsidRPr="005D74FA">
        <w:rPr>
          <w:rFonts w:eastAsia="Times New Roman"/>
          <w:iCs/>
          <w:sz w:val="24"/>
          <w:szCs w:val="24"/>
        </w:rPr>
        <w:t xml:space="preserve"> me kërkesë</w:t>
      </w:r>
      <w:r w:rsidR="00157FF7" w:rsidRPr="005D74FA">
        <w:rPr>
          <w:rFonts w:eastAsia="Times New Roman"/>
          <w:iCs/>
          <w:sz w:val="24"/>
          <w:szCs w:val="24"/>
        </w:rPr>
        <w:t xml:space="preserve"> për vendosjen e kërkuesit në </w:t>
      </w:r>
      <w:r w:rsidR="00A84A39" w:rsidRPr="005D74FA">
        <w:rPr>
          <w:rFonts w:eastAsia="Times New Roman"/>
          <w:iCs/>
          <w:sz w:val="24"/>
          <w:szCs w:val="24"/>
        </w:rPr>
        <w:t xml:space="preserve">regjim të posaçëm në </w:t>
      </w:r>
      <w:r w:rsidR="00157FF7" w:rsidRPr="005D74FA">
        <w:rPr>
          <w:rFonts w:eastAsia="Times New Roman"/>
          <w:iCs/>
          <w:sz w:val="24"/>
          <w:szCs w:val="24"/>
        </w:rPr>
        <w:t xml:space="preserve">burg të sigurisë së lartë për një afat </w:t>
      </w:r>
      <w:r w:rsidR="008D3E20" w:rsidRPr="005D74FA">
        <w:rPr>
          <w:rFonts w:eastAsia="Times New Roman"/>
          <w:iCs/>
          <w:sz w:val="24"/>
          <w:szCs w:val="24"/>
        </w:rPr>
        <w:t>1-vjeçar</w:t>
      </w:r>
      <w:r w:rsidRPr="005D74FA">
        <w:rPr>
          <w:rFonts w:eastAsia="Times New Roman"/>
          <w:iCs/>
          <w:sz w:val="24"/>
          <w:szCs w:val="24"/>
        </w:rPr>
        <w:t>, pasi</w:t>
      </w:r>
      <w:r w:rsidR="00157FF7" w:rsidRPr="005D74FA">
        <w:rPr>
          <w:rFonts w:eastAsia="Times New Roman"/>
          <w:iCs/>
          <w:sz w:val="24"/>
          <w:szCs w:val="24"/>
        </w:rPr>
        <w:t xml:space="preserve"> ishte informuar nga agjencitë </w:t>
      </w:r>
      <w:proofErr w:type="spellStart"/>
      <w:r w:rsidR="00157FF7" w:rsidRPr="005D74FA">
        <w:rPr>
          <w:rFonts w:eastAsia="Times New Roman"/>
          <w:iCs/>
          <w:sz w:val="24"/>
          <w:szCs w:val="24"/>
        </w:rPr>
        <w:t>ligjzbatuese</w:t>
      </w:r>
      <w:proofErr w:type="spellEnd"/>
      <w:r w:rsidR="00157FF7" w:rsidRPr="005D74FA">
        <w:rPr>
          <w:rFonts w:eastAsia="Times New Roman"/>
          <w:iCs/>
          <w:sz w:val="24"/>
          <w:szCs w:val="24"/>
        </w:rPr>
        <w:t xml:space="preserve"> </w:t>
      </w:r>
      <w:r w:rsidR="00D33856" w:rsidRPr="005D74FA">
        <w:rPr>
          <w:rFonts w:eastAsia="Times New Roman"/>
          <w:iCs/>
          <w:sz w:val="24"/>
          <w:szCs w:val="24"/>
        </w:rPr>
        <w:t>se</w:t>
      </w:r>
      <w:r w:rsidR="00157FF7" w:rsidRPr="005D74FA">
        <w:rPr>
          <w:rFonts w:eastAsia="Times New Roman"/>
          <w:iCs/>
          <w:sz w:val="24"/>
          <w:szCs w:val="24"/>
        </w:rPr>
        <w:t xml:space="preserve"> gjatë kohës kur ndodhej në ambientet e IEVP</w:t>
      </w:r>
      <w:r w:rsidR="00D33856" w:rsidRPr="005D74FA">
        <w:rPr>
          <w:rFonts w:eastAsia="Times New Roman"/>
          <w:iCs/>
          <w:sz w:val="24"/>
          <w:szCs w:val="24"/>
        </w:rPr>
        <w:t>-së</w:t>
      </w:r>
      <w:r w:rsidR="00157FF7" w:rsidRPr="005D74FA">
        <w:rPr>
          <w:rFonts w:eastAsia="Times New Roman"/>
          <w:iCs/>
          <w:sz w:val="24"/>
          <w:szCs w:val="24"/>
        </w:rPr>
        <w:t xml:space="preserve"> “</w:t>
      </w:r>
      <w:proofErr w:type="spellStart"/>
      <w:r w:rsidR="00157FF7" w:rsidRPr="005D74FA">
        <w:rPr>
          <w:rFonts w:eastAsia="Times New Roman"/>
          <w:iCs/>
          <w:sz w:val="24"/>
          <w:szCs w:val="24"/>
        </w:rPr>
        <w:t>Jordan</w:t>
      </w:r>
      <w:proofErr w:type="spellEnd"/>
      <w:r w:rsidR="00157FF7" w:rsidRPr="005D74FA">
        <w:rPr>
          <w:rFonts w:eastAsia="Times New Roman"/>
          <w:iCs/>
          <w:sz w:val="24"/>
          <w:szCs w:val="24"/>
        </w:rPr>
        <w:t xml:space="preserve"> </w:t>
      </w:r>
      <w:proofErr w:type="spellStart"/>
      <w:r w:rsidR="00157FF7" w:rsidRPr="005D74FA">
        <w:rPr>
          <w:rFonts w:eastAsia="Times New Roman"/>
          <w:iCs/>
          <w:sz w:val="24"/>
          <w:szCs w:val="24"/>
        </w:rPr>
        <w:t>Misja</w:t>
      </w:r>
      <w:proofErr w:type="spellEnd"/>
      <w:r w:rsidR="00157FF7" w:rsidRPr="005D74FA">
        <w:rPr>
          <w:rFonts w:eastAsia="Times New Roman"/>
          <w:iCs/>
          <w:sz w:val="24"/>
          <w:szCs w:val="24"/>
        </w:rPr>
        <w:t>”</w:t>
      </w:r>
      <w:r w:rsidR="00A84A39" w:rsidRPr="005D74FA">
        <w:rPr>
          <w:rFonts w:eastAsia="Times New Roman"/>
          <w:iCs/>
          <w:sz w:val="24"/>
          <w:szCs w:val="24"/>
        </w:rPr>
        <w:t>,</w:t>
      </w:r>
      <w:r w:rsidR="000B391A" w:rsidRPr="005D74FA">
        <w:rPr>
          <w:rFonts w:eastAsia="Times New Roman"/>
          <w:iCs/>
          <w:sz w:val="24"/>
          <w:szCs w:val="24"/>
        </w:rPr>
        <w:t xml:space="preserve"> </w:t>
      </w:r>
      <w:r w:rsidR="00A84A39" w:rsidRPr="005D74FA">
        <w:rPr>
          <w:rFonts w:eastAsia="Times New Roman"/>
          <w:iCs/>
          <w:sz w:val="24"/>
          <w:szCs w:val="24"/>
        </w:rPr>
        <w:t xml:space="preserve">ai </w:t>
      </w:r>
      <w:r w:rsidR="00157FF7" w:rsidRPr="005D74FA">
        <w:rPr>
          <w:rFonts w:eastAsia="Times New Roman"/>
          <w:iCs/>
          <w:sz w:val="24"/>
          <w:szCs w:val="24"/>
        </w:rPr>
        <w:t>vazhdonte të ushtronte veprimt</w:t>
      </w:r>
      <w:r w:rsidR="002D05BC" w:rsidRPr="005D74FA">
        <w:rPr>
          <w:rFonts w:eastAsia="Times New Roman"/>
          <w:iCs/>
          <w:sz w:val="24"/>
          <w:szCs w:val="24"/>
        </w:rPr>
        <w:t>ari kriminale që konsistonin në</w:t>
      </w:r>
      <w:r w:rsidR="00157FF7" w:rsidRPr="005D74FA">
        <w:rPr>
          <w:rFonts w:eastAsia="Times New Roman"/>
          <w:iCs/>
          <w:sz w:val="24"/>
          <w:szCs w:val="24"/>
        </w:rPr>
        <w:t xml:space="preserve"> dyshime për kanosje të gjyqtarëve të Gjykat</w:t>
      </w:r>
      <w:r w:rsidR="002D05BC" w:rsidRPr="005D74FA">
        <w:rPr>
          <w:rFonts w:eastAsia="Times New Roman"/>
          <w:iCs/>
          <w:sz w:val="24"/>
          <w:szCs w:val="24"/>
        </w:rPr>
        <w:t xml:space="preserve">ës së Apelit </w:t>
      </w:r>
      <w:r w:rsidR="00823581" w:rsidRPr="005D74FA">
        <w:rPr>
          <w:rFonts w:eastAsia="Times New Roman"/>
          <w:iCs/>
          <w:sz w:val="24"/>
          <w:szCs w:val="24"/>
        </w:rPr>
        <w:t>p</w:t>
      </w:r>
      <w:r w:rsidR="002D05BC" w:rsidRPr="005D74FA">
        <w:rPr>
          <w:rFonts w:eastAsia="Times New Roman"/>
          <w:iCs/>
          <w:sz w:val="24"/>
          <w:szCs w:val="24"/>
        </w:rPr>
        <w:t>ër Krime të Rënda</w:t>
      </w:r>
      <w:r w:rsidR="00CD0D89" w:rsidRPr="005D74FA">
        <w:rPr>
          <w:rFonts w:eastAsia="Times New Roman"/>
          <w:iCs/>
          <w:sz w:val="24"/>
          <w:szCs w:val="24"/>
        </w:rPr>
        <w:t xml:space="preserve"> me qëllim për të ndikuar në vendimmarrjen e tyre</w:t>
      </w:r>
      <w:r w:rsidR="002D05BC" w:rsidRPr="005D74FA">
        <w:rPr>
          <w:rFonts w:eastAsia="Times New Roman"/>
          <w:iCs/>
          <w:sz w:val="24"/>
          <w:szCs w:val="24"/>
        </w:rPr>
        <w:t>,</w:t>
      </w:r>
      <w:r w:rsidR="00CD0D89" w:rsidRPr="005D74FA">
        <w:rPr>
          <w:rFonts w:eastAsia="Times New Roman"/>
          <w:iCs/>
          <w:sz w:val="24"/>
          <w:szCs w:val="24"/>
        </w:rPr>
        <w:t xml:space="preserve"> dyshime për </w:t>
      </w:r>
      <w:r w:rsidR="002D05BC" w:rsidRPr="005D74FA">
        <w:rPr>
          <w:rFonts w:eastAsia="Times New Roman"/>
          <w:iCs/>
          <w:sz w:val="24"/>
          <w:szCs w:val="24"/>
        </w:rPr>
        <w:t xml:space="preserve"> </w:t>
      </w:r>
      <w:r w:rsidR="00CD0D89" w:rsidRPr="005D74FA">
        <w:rPr>
          <w:rFonts w:eastAsia="Times New Roman"/>
          <w:iCs/>
          <w:sz w:val="24"/>
          <w:szCs w:val="24"/>
        </w:rPr>
        <w:t>realizimin e</w:t>
      </w:r>
      <w:r w:rsidR="00157FF7" w:rsidRPr="005D74FA">
        <w:rPr>
          <w:rFonts w:eastAsia="Times New Roman"/>
          <w:iCs/>
          <w:sz w:val="24"/>
          <w:szCs w:val="24"/>
        </w:rPr>
        <w:t xml:space="preserve"> takime</w:t>
      </w:r>
      <w:r w:rsidR="00CD0D89" w:rsidRPr="005D74FA">
        <w:rPr>
          <w:rFonts w:eastAsia="Times New Roman"/>
          <w:iCs/>
          <w:sz w:val="24"/>
          <w:szCs w:val="24"/>
        </w:rPr>
        <w:t>ve</w:t>
      </w:r>
      <w:r w:rsidR="00157FF7" w:rsidRPr="005D74FA">
        <w:rPr>
          <w:rFonts w:eastAsia="Times New Roman"/>
          <w:iCs/>
          <w:sz w:val="24"/>
          <w:szCs w:val="24"/>
        </w:rPr>
        <w:t xml:space="preserve"> me të parabu</w:t>
      </w:r>
      <w:r w:rsidR="002D05BC" w:rsidRPr="005D74FA">
        <w:rPr>
          <w:rFonts w:eastAsia="Times New Roman"/>
          <w:iCs/>
          <w:sz w:val="24"/>
          <w:szCs w:val="24"/>
        </w:rPr>
        <w:t>rgosur të tjerë pranë IEVP-së</w:t>
      </w:r>
      <w:r w:rsidR="00A73570" w:rsidRPr="005D74FA">
        <w:rPr>
          <w:rFonts w:eastAsia="Times New Roman"/>
          <w:iCs/>
          <w:sz w:val="24"/>
          <w:szCs w:val="24"/>
        </w:rPr>
        <w:t>,</w:t>
      </w:r>
      <w:r w:rsidR="002D05BC" w:rsidRPr="005D74FA">
        <w:rPr>
          <w:rFonts w:eastAsia="Times New Roman"/>
          <w:iCs/>
          <w:sz w:val="24"/>
          <w:szCs w:val="24"/>
        </w:rPr>
        <w:t xml:space="preserve"> </w:t>
      </w:r>
      <w:r w:rsidR="00A73570" w:rsidRPr="005D74FA">
        <w:rPr>
          <w:rFonts w:eastAsia="Times New Roman"/>
          <w:iCs/>
          <w:sz w:val="24"/>
          <w:szCs w:val="24"/>
        </w:rPr>
        <w:t xml:space="preserve">si dhe </w:t>
      </w:r>
      <w:r w:rsidR="00157FF7" w:rsidRPr="005D74FA">
        <w:rPr>
          <w:rFonts w:eastAsia="Times New Roman"/>
          <w:iCs/>
          <w:sz w:val="24"/>
          <w:szCs w:val="24"/>
        </w:rPr>
        <w:t>transmet</w:t>
      </w:r>
      <w:r w:rsidR="009C4869" w:rsidRPr="005D74FA">
        <w:rPr>
          <w:rFonts w:eastAsia="Times New Roman"/>
          <w:iCs/>
          <w:sz w:val="24"/>
          <w:szCs w:val="24"/>
        </w:rPr>
        <w:t>im</w:t>
      </w:r>
      <w:r w:rsidR="00157FF7" w:rsidRPr="005D74FA">
        <w:rPr>
          <w:rFonts w:eastAsia="Times New Roman"/>
          <w:iCs/>
          <w:sz w:val="24"/>
          <w:szCs w:val="24"/>
        </w:rPr>
        <w:t xml:space="preserve"> urdhra</w:t>
      </w:r>
      <w:r w:rsidR="009C4869" w:rsidRPr="005D74FA">
        <w:rPr>
          <w:rFonts w:eastAsia="Times New Roman"/>
          <w:iCs/>
          <w:sz w:val="24"/>
          <w:szCs w:val="24"/>
        </w:rPr>
        <w:t>sh</w:t>
      </w:r>
      <w:r w:rsidR="00157FF7" w:rsidRPr="005D74FA">
        <w:rPr>
          <w:rFonts w:eastAsia="Times New Roman"/>
          <w:iCs/>
          <w:sz w:val="24"/>
          <w:szCs w:val="24"/>
        </w:rPr>
        <w:t xml:space="preserve"> jashtë </w:t>
      </w:r>
      <w:r w:rsidR="00A73570" w:rsidRPr="005D74FA">
        <w:rPr>
          <w:rFonts w:eastAsia="Times New Roman"/>
          <w:iCs/>
          <w:sz w:val="24"/>
          <w:szCs w:val="24"/>
        </w:rPr>
        <w:t>saj</w:t>
      </w:r>
      <w:r w:rsidR="00157FF7" w:rsidRPr="005D74FA">
        <w:rPr>
          <w:rFonts w:eastAsia="Times New Roman"/>
          <w:iCs/>
          <w:sz w:val="24"/>
          <w:szCs w:val="24"/>
        </w:rPr>
        <w:t xml:space="preserve"> për kryerje vepr</w:t>
      </w:r>
      <w:r w:rsidR="002D05BC" w:rsidRPr="005D74FA">
        <w:rPr>
          <w:rFonts w:eastAsia="Times New Roman"/>
          <w:iCs/>
          <w:sz w:val="24"/>
          <w:szCs w:val="24"/>
        </w:rPr>
        <w:t xml:space="preserve">imtarie kriminale të paligjshme. </w:t>
      </w:r>
      <w:r w:rsidRPr="005D74FA">
        <w:rPr>
          <w:rFonts w:eastAsia="Times New Roman"/>
          <w:iCs/>
          <w:sz w:val="24"/>
          <w:szCs w:val="24"/>
        </w:rPr>
        <w:t>Po kështu, k</w:t>
      </w:r>
      <w:r w:rsidR="00A84A39" w:rsidRPr="005D74FA">
        <w:rPr>
          <w:rFonts w:eastAsia="Times New Roman"/>
          <w:iCs/>
          <w:sz w:val="24"/>
          <w:szCs w:val="24"/>
        </w:rPr>
        <w:t>jo prokurori</w:t>
      </w:r>
      <w:r w:rsidR="00A8086D" w:rsidRPr="005D74FA">
        <w:rPr>
          <w:rFonts w:eastAsia="Times New Roman"/>
          <w:iCs/>
          <w:sz w:val="24"/>
          <w:szCs w:val="24"/>
        </w:rPr>
        <w:t xml:space="preserve"> ka informuar ministrin e Drejtësisë </w:t>
      </w:r>
      <w:r w:rsidR="00823581" w:rsidRPr="005D74FA">
        <w:rPr>
          <w:rFonts w:eastAsia="Times New Roman"/>
          <w:iCs/>
          <w:sz w:val="24"/>
          <w:szCs w:val="24"/>
        </w:rPr>
        <w:t xml:space="preserve">se </w:t>
      </w:r>
      <w:r w:rsidR="00A8086D" w:rsidRPr="005D74FA">
        <w:rPr>
          <w:rFonts w:eastAsia="Times New Roman"/>
          <w:iCs/>
          <w:sz w:val="24"/>
          <w:szCs w:val="24"/>
        </w:rPr>
        <w:t xml:space="preserve">edhe </w:t>
      </w:r>
      <w:r w:rsidR="00157FF7" w:rsidRPr="005D74FA">
        <w:rPr>
          <w:rFonts w:eastAsia="Times New Roman"/>
          <w:iCs/>
          <w:sz w:val="24"/>
          <w:szCs w:val="24"/>
        </w:rPr>
        <w:t>ndaj drejtuesve të IEVP-së nr. 313, Tiranë ishte bërë kallëzim penal për kryerjen e veprës penale “Shpërdorim</w:t>
      </w:r>
      <w:r w:rsidR="00281D26" w:rsidRPr="005D74FA">
        <w:rPr>
          <w:rFonts w:eastAsia="Times New Roman"/>
          <w:iCs/>
          <w:sz w:val="24"/>
          <w:szCs w:val="24"/>
        </w:rPr>
        <w:t>i</w:t>
      </w:r>
      <w:r w:rsidR="00157FF7" w:rsidRPr="005D74FA">
        <w:rPr>
          <w:rFonts w:eastAsia="Times New Roman"/>
          <w:iCs/>
          <w:sz w:val="24"/>
          <w:szCs w:val="24"/>
        </w:rPr>
        <w:t xml:space="preserve"> i detyrës”, të parashikuar nga </w:t>
      </w:r>
      <w:r w:rsidR="00823581" w:rsidRPr="005D74FA">
        <w:rPr>
          <w:rFonts w:eastAsia="Times New Roman"/>
          <w:iCs/>
          <w:sz w:val="24"/>
          <w:szCs w:val="24"/>
        </w:rPr>
        <w:t xml:space="preserve">neni </w:t>
      </w:r>
      <w:r w:rsidR="00157FF7" w:rsidRPr="005D74FA">
        <w:rPr>
          <w:rFonts w:eastAsia="Times New Roman"/>
          <w:iCs/>
          <w:sz w:val="24"/>
          <w:szCs w:val="24"/>
        </w:rPr>
        <w:t xml:space="preserve">248 i </w:t>
      </w:r>
      <w:r w:rsidR="002D05BC" w:rsidRPr="005D74FA">
        <w:rPr>
          <w:rFonts w:eastAsia="Times New Roman"/>
          <w:iCs/>
          <w:sz w:val="24"/>
          <w:szCs w:val="24"/>
        </w:rPr>
        <w:t>KP-së</w:t>
      </w:r>
      <w:r w:rsidR="00157FF7" w:rsidRPr="005D74FA">
        <w:rPr>
          <w:rFonts w:eastAsia="Times New Roman"/>
          <w:iCs/>
          <w:sz w:val="24"/>
          <w:szCs w:val="24"/>
        </w:rPr>
        <w:t xml:space="preserve">, </w:t>
      </w:r>
      <w:r w:rsidR="00AE1B90" w:rsidRPr="005D74FA">
        <w:rPr>
          <w:rFonts w:eastAsia="Times New Roman"/>
          <w:iCs/>
          <w:sz w:val="24"/>
          <w:szCs w:val="24"/>
        </w:rPr>
        <w:t>pasi i kishin mundësuar kërkuesit</w:t>
      </w:r>
      <w:r w:rsidR="00157FF7" w:rsidRPr="005D74FA">
        <w:rPr>
          <w:rFonts w:eastAsia="Times New Roman"/>
          <w:iCs/>
          <w:sz w:val="24"/>
          <w:szCs w:val="24"/>
        </w:rPr>
        <w:t xml:space="preserve"> kushte lëvizjeje dhe </w:t>
      </w:r>
      <w:r w:rsidR="002D05BC" w:rsidRPr="005D74FA">
        <w:rPr>
          <w:rFonts w:eastAsia="Times New Roman"/>
          <w:iCs/>
          <w:sz w:val="24"/>
          <w:szCs w:val="24"/>
        </w:rPr>
        <w:t>takime në kundërshtim me ligjin. Në këto kushte,</w:t>
      </w:r>
      <w:r w:rsidR="00157FF7" w:rsidRPr="005D74FA">
        <w:rPr>
          <w:rFonts w:eastAsia="Times New Roman"/>
          <w:iCs/>
          <w:sz w:val="24"/>
          <w:szCs w:val="24"/>
        </w:rPr>
        <w:t xml:space="preserve"> vendosja e tij në regjimin e posaçëm të burgut të sigurisë së lartë do të shërbente për ruajtjen e rendit dhe të sigurisë si në ambientet e vuajtjes së dënimit, ashtu edhe jashtë.</w:t>
      </w:r>
    </w:p>
    <w:p w:rsidR="00157FF7" w:rsidRPr="005D74FA" w:rsidRDefault="00D36BFB" w:rsidP="00157FF7">
      <w:pPr>
        <w:pStyle w:val="ListParagraph"/>
        <w:numPr>
          <w:ilvl w:val="0"/>
          <w:numId w:val="1"/>
        </w:numPr>
        <w:tabs>
          <w:tab w:val="left" w:pos="1080"/>
        </w:tabs>
        <w:spacing w:line="360" w:lineRule="auto"/>
        <w:ind w:left="0" w:firstLine="720"/>
        <w:rPr>
          <w:sz w:val="24"/>
          <w:szCs w:val="24"/>
        </w:rPr>
      </w:pPr>
      <w:r w:rsidRPr="005D74FA">
        <w:rPr>
          <w:sz w:val="24"/>
          <w:szCs w:val="24"/>
        </w:rPr>
        <w:t xml:space="preserve">Me ngritjen e </w:t>
      </w:r>
      <w:r w:rsidR="00880958" w:rsidRPr="005D74FA">
        <w:rPr>
          <w:sz w:val="24"/>
          <w:szCs w:val="24"/>
        </w:rPr>
        <w:t>Prokurorisë së Pos</w:t>
      </w:r>
      <w:r w:rsidR="00EF4288" w:rsidRPr="005D74FA">
        <w:rPr>
          <w:sz w:val="24"/>
          <w:szCs w:val="24"/>
        </w:rPr>
        <w:t>açme</w:t>
      </w:r>
      <w:r w:rsidRPr="005D74FA">
        <w:rPr>
          <w:sz w:val="24"/>
          <w:szCs w:val="24"/>
        </w:rPr>
        <w:t>, k</w:t>
      </w:r>
      <w:r w:rsidR="00664117" w:rsidRPr="005D74FA">
        <w:rPr>
          <w:sz w:val="24"/>
          <w:szCs w:val="24"/>
        </w:rPr>
        <w:t xml:space="preserve">ërkesa e Prokurorisë pranë Gjykatës së Shkallës së Parë për Krime të Rënda, e datës 01.11.2019, është </w:t>
      </w:r>
      <w:proofErr w:type="spellStart"/>
      <w:r w:rsidR="00664117" w:rsidRPr="005D74FA">
        <w:rPr>
          <w:sz w:val="24"/>
          <w:szCs w:val="24"/>
        </w:rPr>
        <w:t>rikonfirmuar</w:t>
      </w:r>
      <w:proofErr w:type="spellEnd"/>
      <w:r w:rsidR="00664117" w:rsidRPr="005D74FA">
        <w:rPr>
          <w:sz w:val="24"/>
          <w:szCs w:val="24"/>
        </w:rPr>
        <w:t xml:space="preserve"> </w:t>
      </w:r>
      <w:r w:rsidR="00EF4288" w:rsidRPr="005D74FA">
        <w:rPr>
          <w:sz w:val="24"/>
          <w:szCs w:val="24"/>
        </w:rPr>
        <w:t>edhe</w:t>
      </w:r>
      <w:r w:rsidR="00664117" w:rsidRPr="005D74FA">
        <w:rPr>
          <w:sz w:val="24"/>
          <w:szCs w:val="24"/>
        </w:rPr>
        <w:t xml:space="preserve"> </w:t>
      </w:r>
      <w:r w:rsidR="00EF4288" w:rsidRPr="005D74FA">
        <w:rPr>
          <w:sz w:val="24"/>
          <w:szCs w:val="24"/>
        </w:rPr>
        <w:t>prej saj</w:t>
      </w:r>
      <w:r w:rsidR="00BF2373" w:rsidRPr="005D74FA">
        <w:rPr>
          <w:sz w:val="24"/>
          <w:szCs w:val="24"/>
        </w:rPr>
        <w:t>, përmes shkresës</w:t>
      </w:r>
      <w:r w:rsidR="00A13A82" w:rsidRPr="005D74FA">
        <w:rPr>
          <w:sz w:val="24"/>
          <w:szCs w:val="24"/>
        </w:rPr>
        <w:t xml:space="preserve"> nr. 27 </w:t>
      </w:r>
      <w:proofErr w:type="spellStart"/>
      <w:r w:rsidR="00A13A82" w:rsidRPr="005D74FA">
        <w:rPr>
          <w:sz w:val="24"/>
          <w:szCs w:val="24"/>
        </w:rPr>
        <w:t>prot</w:t>
      </w:r>
      <w:proofErr w:type="spellEnd"/>
      <w:r w:rsidR="00A13A82" w:rsidRPr="005D74FA">
        <w:rPr>
          <w:sz w:val="24"/>
          <w:szCs w:val="24"/>
        </w:rPr>
        <w:t>., datë 10.03.20</w:t>
      </w:r>
      <w:r w:rsidR="00860144" w:rsidRPr="005D74FA">
        <w:rPr>
          <w:sz w:val="24"/>
          <w:szCs w:val="24"/>
        </w:rPr>
        <w:t>20</w:t>
      </w:r>
      <w:r w:rsidR="00A13A82" w:rsidRPr="005D74FA">
        <w:rPr>
          <w:sz w:val="24"/>
          <w:szCs w:val="24"/>
        </w:rPr>
        <w:t xml:space="preserve">. </w:t>
      </w:r>
      <w:r w:rsidR="00157FF7" w:rsidRPr="005D74FA">
        <w:rPr>
          <w:rFonts w:eastAsia="Times New Roman"/>
          <w:iCs/>
          <w:sz w:val="24"/>
          <w:szCs w:val="24"/>
        </w:rPr>
        <w:t xml:space="preserve">Në vijim, bazuar në </w:t>
      </w:r>
      <w:r w:rsidR="00BF2373" w:rsidRPr="005D74FA">
        <w:rPr>
          <w:rFonts w:eastAsia="Times New Roman"/>
          <w:iCs/>
          <w:sz w:val="24"/>
          <w:szCs w:val="24"/>
        </w:rPr>
        <w:t>shkresat</w:t>
      </w:r>
      <w:r w:rsidR="00823581" w:rsidRPr="005D74FA">
        <w:rPr>
          <w:rFonts w:eastAsia="Times New Roman"/>
          <w:iCs/>
          <w:sz w:val="24"/>
          <w:szCs w:val="24"/>
        </w:rPr>
        <w:t xml:space="preserve"> e</w:t>
      </w:r>
      <w:r w:rsidR="00BF2373" w:rsidRPr="005D74FA">
        <w:rPr>
          <w:rFonts w:eastAsia="Times New Roman"/>
          <w:iCs/>
          <w:sz w:val="24"/>
          <w:szCs w:val="24"/>
        </w:rPr>
        <w:t xml:space="preserve"> </w:t>
      </w:r>
      <w:r w:rsidR="00157FF7" w:rsidRPr="005D74FA">
        <w:rPr>
          <w:rFonts w:eastAsia="Times New Roman"/>
          <w:iCs/>
          <w:sz w:val="24"/>
          <w:szCs w:val="24"/>
        </w:rPr>
        <w:t>Drejtorisë së Përgjithshme të Policisë së Shtetit, Drejtoris</w:t>
      </w:r>
      <w:r w:rsidR="00BF2373" w:rsidRPr="005D74FA">
        <w:rPr>
          <w:rFonts w:eastAsia="Times New Roman"/>
          <w:iCs/>
          <w:sz w:val="24"/>
          <w:szCs w:val="24"/>
        </w:rPr>
        <w:t>ë së Përgjithshme të Burgjeve,</w:t>
      </w:r>
      <w:r w:rsidR="00157FF7" w:rsidRPr="005D74FA">
        <w:rPr>
          <w:rFonts w:eastAsia="Times New Roman"/>
          <w:iCs/>
          <w:sz w:val="24"/>
          <w:szCs w:val="24"/>
        </w:rPr>
        <w:t xml:space="preserve"> Ministrisë </w:t>
      </w:r>
      <w:r w:rsidR="001D3883" w:rsidRPr="005D74FA">
        <w:rPr>
          <w:rFonts w:eastAsia="Times New Roman"/>
          <w:iCs/>
          <w:sz w:val="24"/>
          <w:szCs w:val="24"/>
        </w:rPr>
        <w:t>së Brendshme, si dhe</w:t>
      </w:r>
      <w:r w:rsidR="00823581" w:rsidRPr="005D74FA">
        <w:rPr>
          <w:rFonts w:eastAsia="Times New Roman"/>
          <w:iCs/>
          <w:sz w:val="24"/>
          <w:szCs w:val="24"/>
        </w:rPr>
        <w:t xml:space="preserve"> në</w:t>
      </w:r>
      <w:r w:rsidR="001D3883" w:rsidRPr="005D74FA">
        <w:rPr>
          <w:rFonts w:eastAsia="Times New Roman"/>
          <w:iCs/>
          <w:sz w:val="24"/>
          <w:szCs w:val="24"/>
        </w:rPr>
        <w:t xml:space="preserve"> të dhëna </w:t>
      </w:r>
      <w:r w:rsidR="00157FF7" w:rsidRPr="005D74FA">
        <w:rPr>
          <w:rFonts w:eastAsia="Times New Roman"/>
          <w:iCs/>
          <w:sz w:val="24"/>
          <w:szCs w:val="24"/>
        </w:rPr>
        <w:t xml:space="preserve">e informacione të vëna në dispozicion nga agjenci të tjera </w:t>
      </w:r>
      <w:proofErr w:type="spellStart"/>
      <w:r w:rsidR="00157FF7" w:rsidRPr="005D74FA">
        <w:rPr>
          <w:rFonts w:eastAsia="Times New Roman"/>
          <w:iCs/>
          <w:sz w:val="24"/>
          <w:szCs w:val="24"/>
        </w:rPr>
        <w:t>ligjzbatuese</w:t>
      </w:r>
      <w:proofErr w:type="spellEnd"/>
      <w:r w:rsidR="00157FF7" w:rsidRPr="005D74FA">
        <w:rPr>
          <w:rFonts w:eastAsia="Times New Roman"/>
          <w:iCs/>
          <w:sz w:val="24"/>
          <w:szCs w:val="24"/>
        </w:rPr>
        <w:t xml:space="preserve">, ministri i Drejtësisë ka nxjerrë urdhrin </w:t>
      </w:r>
      <w:r w:rsidR="00157FF7" w:rsidRPr="005D74FA">
        <w:rPr>
          <w:sz w:val="24"/>
          <w:szCs w:val="24"/>
        </w:rPr>
        <w:t xml:space="preserve">nr. 253/2020 për vendosjen e kërkuesit </w:t>
      </w:r>
      <w:r w:rsidR="00A13A82" w:rsidRPr="005D74FA">
        <w:rPr>
          <w:sz w:val="24"/>
          <w:szCs w:val="24"/>
        </w:rPr>
        <w:t xml:space="preserve">në regjim të posaçëm të ushtrimit të </w:t>
      </w:r>
      <w:proofErr w:type="spellStart"/>
      <w:r w:rsidR="00A13A82" w:rsidRPr="005D74FA">
        <w:rPr>
          <w:sz w:val="24"/>
          <w:szCs w:val="24"/>
        </w:rPr>
        <w:t>të</w:t>
      </w:r>
      <w:proofErr w:type="spellEnd"/>
      <w:r w:rsidR="00A13A82" w:rsidRPr="005D74FA">
        <w:rPr>
          <w:sz w:val="24"/>
          <w:szCs w:val="24"/>
        </w:rPr>
        <w:t xml:space="preserve"> drejtave </w:t>
      </w:r>
      <w:r w:rsidR="00157FF7" w:rsidRPr="005D74FA">
        <w:rPr>
          <w:sz w:val="24"/>
          <w:szCs w:val="24"/>
        </w:rPr>
        <w:t>në burg të sigurisë së lartë.</w:t>
      </w:r>
    </w:p>
    <w:p w:rsidR="00157FF7" w:rsidRPr="005D74FA" w:rsidRDefault="002D05BC" w:rsidP="00157FF7">
      <w:pPr>
        <w:pStyle w:val="ListParagraph"/>
        <w:numPr>
          <w:ilvl w:val="0"/>
          <w:numId w:val="1"/>
        </w:numPr>
        <w:tabs>
          <w:tab w:val="left" w:pos="1080"/>
        </w:tabs>
        <w:spacing w:line="360" w:lineRule="auto"/>
        <w:ind w:left="0" w:firstLine="720"/>
        <w:rPr>
          <w:sz w:val="24"/>
          <w:szCs w:val="24"/>
        </w:rPr>
      </w:pPr>
      <w:r w:rsidRPr="005D74FA">
        <w:rPr>
          <w:rFonts w:eastAsia="Times New Roman"/>
          <w:iCs/>
          <w:sz w:val="24"/>
          <w:szCs w:val="24"/>
        </w:rPr>
        <w:t>Gjykata vëren se k</w:t>
      </w:r>
      <w:r w:rsidR="00157FF7" w:rsidRPr="005D74FA">
        <w:rPr>
          <w:rFonts w:eastAsia="Times New Roman"/>
          <w:iCs/>
          <w:sz w:val="24"/>
          <w:szCs w:val="24"/>
        </w:rPr>
        <w:t xml:space="preserve">ërkuesi ka </w:t>
      </w:r>
      <w:r w:rsidR="00C42C02" w:rsidRPr="005D74FA">
        <w:rPr>
          <w:rFonts w:eastAsia="Times New Roman"/>
          <w:iCs/>
          <w:sz w:val="24"/>
          <w:szCs w:val="24"/>
        </w:rPr>
        <w:t>paraqitur ankim ndaj</w:t>
      </w:r>
      <w:r w:rsidR="00157FF7" w:rsidRPr="005D74FA">
        <w:rPr>
          <w:rFonts w:eastAsia="Times New Roman"/>
          <w:iCs/>
          <w:sz w:val="24"/>
          <w:szCs w:val="24"/>
        </w:rPr>
        <w:t xml:space="preserve"> urdhrit nr. 253/2020 në Gjykatën e Posaçme të Shkallës së Parë, e cila në vendimin e saj nr. 2, datë 12.01.2021 ka arsyetuar, ndër të tjera: </w:t>
      </w:r>
      <w:r w:rsidR="00157FF7" w:rsidRPr="005D74FA">
        <w:rPr>
          <w:rFonts w:eastAsia="Times New Roman"/>
          <w:i/>
          <w:iCs/>
          <w:sz w:val="24"/>
          <w:szCs w:val="24"/>
        </w:rPr>
        <w:t xml:space="preserve">“Në gjykim të kësaj natyre, çështja që shtrohet për zgjidhje lidhet me ligjshmërinë e urdhrit të Ministrit të Drejtësisë, tek </w:t>
      </w:r>
      <w:proofErr w:type="spellStart"/>
      <w:r w:rsidR="00157FF7" w:rsidRPr="005D74FA">
        <w:rPr>
          <w:rFonts w:eastAsia="Times New Roman"/>
          <w:i/>
          <w:iCs/>
          <w:sz w:val="24"/>
          <w:szCs w:val="24"/>
        </w:rPr>
        <w:t>bazueshmëria</w:t>
      </w:r>
      <w:proofErr w:type="spellEnd"/>
      <w:r w:rsidR="00157FF7" w:rsidRPr="005D74FA">
        <w:rPr>
          <w:rFonts w:eastAsia="Times New Roman"/>
          <w:i/>
          <w:iCs/>
          <w:sz w:val="24"/>
          <w:szCs w:val="24"/>
        </w:rPr>
        <w:t xml:space="preserve"> e këtij urdhri në ligj, nëse është respektuar forma dhe procedura e parashikuar në ligj, sipas kritereve të përcaktuara në nenin 13/1 të ligjit nr. 8328, datë 16.04.1998, të ndryshuar, dhe jo tek vlerësimi i këtyre provave në vetvete.”</w:t>
      </w:r>
      <w:r w:rsidR="00AC140E" w:rsidRPr="005D74FA">
        <w:rPr>
          <w:rFonts w:eastAsia="Times New Roman"/>
          <w:i/>
          <w:iCs/>
          <w:sz w:val="24"/>
          <w:szCs w:val="24"/>
        </w:rPr>
        <w:t xml:space="preserve"> (</w:t>
      </w:r>
      <w:r w:rsidR="00823581" w:rsidRPr="005D74FA">
        <w:rPr>
          <w:rFonts w:eastAsia="Times New Roman"/>
          <w:i/>
          <w:iCs/>
          <w:sz w:val="24"/>
          <w:szCs w:val="24"/>
        </w:rPr>
        <w:t xml:space="preserve">shih </w:t>
      </w:r>
      <w:r w:rsidR="00C71790" w:rsidRPr="005D74FA">
        <w:rPr>
          <w:rFonts w:eastAsia="Times New Roman"/>
          <w:i/>
          <w:iCs/>
          <w:sz w:val="24"/>
          <w:szCs w:val="24"/>
        </w:rPr>
        <w:t>paragrafi</w:t>
      </w:r>
      <w:r w:rsidR="00823581" w:rsidRPr="005D74FA">
        <w:rPr>
          <w:rFonts w:eastAsia="Times New Roman"/>
          <w:i/>
          <w:iCs/>
          <w:sz w:val="24"/>
          <w:szCs w:val="24"/>
        </w:rPr>
        <w:t>n e</w:t>
      </w:r>
      <w:r w:rsidR="00C71790" w:rsidRPr="005D74FA">
        <w:rPr>
          <w:rFonts w:eastAsia="Times New Roman"/>
          <w:i/>
          <w:iCs/>
          <w:sz w:val="24"/>
          <w:szCs w:val="24"/>
        </w:rPr>
        <w:t xml:space="preserve"> dytë, faq</w:t>
      </w:r>
      <w:r w:rsidR="00E45B39" w:rsidRPr="005D74FA">
        <w:rPr>
          <w:rFonts w:eastAsia="Times New Roman"/>
          <w:i/>
          <w:iCs/>
          <w:sz w:val="24"/>
          <w:szCs w:val="24"/>
        </w:rPr>
        <w:t>ja</w:t>
      </w:r>
      <w:r w:rsidR="00AC140E" w:rsidRPr="005D74FA">
        <w:rPr>
          <w:rFonts w:eastAsia="Times New Roman"/>
          <w:i/>
          <w:iCs/>
          <w:sz w:val="24"/>
          <w:szCs w:val="24"/>
        </w:rPr>
        <w:t xml:space="preserve"> 7</w:t>
      </w:r>
      <w:r w:rsidR="00C71790" w:rsidRPr="005D74FA">
        <w:rPr>
          <w:rFonts w:eastAsia="Times New Roman"/>
          <w:i/>
          <w:iCs/>
          <w:sz w:val="24"/>
          <w:szCs w:val="24"/>
        </w:rPr>
        <w:t>,</w:t>
      </w:r>
      <w:r w:rsidR="00AC140E" w:rsidRPr="005D74FA">
        <w:rPr>
          <w:rFonts w:eastAsia="Times New Roman"/>
          <w:i/>
          <w:iCs/>
          <w:sz w:val="24"/>
          <w:szCs w:val="24"/>
        </w:rPr>
        <w:t xml:space="preserve"> </w:t>
      </w:r>
      <w:r w:rsidR="00823581" w:rsidRPr="005D74FA">
        <w:rPr>
          <w:rFonts w:eastAsia="Times New Roman"/>
          <w:i/>
          <w:iCs/>
          <w:sz w:val="24"/>
          <w:szCs w:val="24"/>
        </w:rPr>
        <w:t>të</w:t>
      </w:r>
      <w:r w:rsidR="00AC140E" w:rsidRPr="005D74FA">
        <w:rPr>
          <w:rFonts w:eastAsia="Times New Roman"/>
          <w:i/>
          <w:iCs/>
          <w:sz w:val="24"/>
          <w:szCs w:val="24"/>
        </w:rPr>
        <w:t xml:space="preserve"> vendimit të Gjykatës së Posaçme të Shkallës së Parë)</w:t>
      </w:r>
      <w:r w:rsidR="00157FF7" w:rsidRPr="005D74FA">
        <w:rPr>
          <w:rFonts w:eastAsia="Times New Roman"/>
          <w:iCs/>
          <w:sz w:val="24"/>
          <w:szCs w:val="24"/>
        </w:rPr>
        <w:t xml:space="preserve">, arsyetim i cili është pasqyruar edhe në vendimin nr. </w:t>
      </w:r>
      <w:r w:rsidR="00823581" w:rsidRPr="005D74FA">
        <w:rPr>
          <w:rFonts w:eastAsia="Times New Roman"/>
          <w:iCs/>
          <w:sz w:val="24"/>
          <w:szCs w:val="24"/>
        </w:rPr>
        <w:t>00-2021-360, datë 25.05.2021</w:t>
      </w:r>
      <w:r w:rsidR="00157FF7" w:rsidRPr="005D74FA">
        <w:rPr>
          <w:rFonts w:eastAsia="Times New Roman"/>
          <w:iCs/>
          <w:sz w:val="24"/>
          <w:szCs w:val="24"/>
        </w:rPr>
        <w:t xml:space="preserve"> të Kolegjit Penal të Gjykatës së Lartë për çështjen</w:t>
      </w:r>
      <w:r w:rsidR="00AC140E" w:rsidRPr="005D74FA">
        <w:rPr>
          <w:rFonts w:eastAsia="Times New Roman"/>
          <w:iCs/>
          <w:sz w:val="24"/>
          <w:szCs w:val="24"/>
        </w:rPr>
        <w:t xml:space="preserve"> </w:t>
      </w:r>
      <w:r w:rsidR="00AC140E" w:rsidRPr="005D74FA">
        <w:rPr>
          <w:rFonts w:eastAsia="Times New Roman"/>
          <w:i/>
          <w:iCs/>
          <w:sz w:val="24"/>
          <w:szCs w:val="24"/>
        </w:rPr>
        <w:t>(</w:t>
      </w:r>
      <w:r w:rsidR="00CA7A47" w:rsidRPr="005D74FA">
        <w:rPr>
          <w:rFonts w:eastAsia="Times New Roman"/>
          <w:i/>
          <w:iCs/>
          <w:sz w:val="24"/>
          <w:szCs w:val="24"/>
        </w:rPr>
        <w:t xml:space="preserve">shih </w:t>
      </w:r>
      <w:r w:rsidR="00C71790" w:rsidRPr="005D74FA">
        <w:rPr>
          <w:rFonts w:eastAsia="Times New Roman"/>
          <w:i/>
          <w:iCs/>
          <w:sz w:val="24"/>
          <w:szCs w:val="24"/>
        </w:rPr>
        <w:t>paragrafi</w:t>
      </w:r>
      <w:r w:rsidR="00CA7A47" w:rsidRPr="005D74FA">
        <w:rPr>
          <w:rFonts w:eastAsia="Times New Roman"/>
          <w:i/>
          <w:iCs/>
          <w:sz w:val="24"/>
          <w:szCs w:val="24"/>
        </w:rPr>
        <w:t>n e</w:t>
      </w:r>
      <w:r w:rsidR="00AC140E" w:rsidRPr="005D74FA">
        <w:rPr>
          <w:rFonts w:eastAsia="Times New Roman"/>
          <w:i/>
          <w:iCs/>
          <w:sz w:val="24"/>
          <w:szCs w:val="24"/>
        </w:rPr>
        <w:t xml:space="preserve"> dytë</w:t>
      </w:r>
      <w:r w:rsidR="00C71790" w:rsidRPr="005D74FA">
        <w:rPr>
          <w:rFonts w:eastAsia="Times New Roman"/>
          <w:i/>
          <w:iCs/>
          <w:sz w:val="24"/>
          <w:szCs w:val="24"/>
        </w:rPr>
        <w:t>,</w:t>
      </w:r>
      <w:r w:rsidR="00AC140E" w:rsidRPr="005D74FA">
        <w:rPr>
          <w:rFonts w:eastAsia="Times New Roman"/>
          <w:i/>
          <w:iCs/>
          <w:sz w:val="24"/>
          <w:szCs w:val="24"/>
        </w:rPr>
        <w:t xml:space="preserve"> faq</w:t>
      </w:r>
      <w:r w:rsidR="00E45B39" w:rsidRPr="005D74FA">
        <w:rPr>
          <w:rFonts w:eastAsia="Times New Roman"/>
          <w:i/>
          <w:iCs/>
          <w:sz w:val="24"/>
          <w:szCs w:val="24"/>
        </w:rPr>
        <w:t>ja</w:t>
      </w:r>
      <w:r w:rsidR="00AC140E" w:rsidRPr="005D74FA">
        <w:rPr>
          <w:rFonts w:eastAsia="Times New Roman"/>
          <w:i/>
          <w:iCs/>
          <w:sz w:val="24"/>
          <w:szCs w:val="24"/>
        </w:rPr>
        <w:t xml:space="preserve"> </w:t>
      </w:r>
      <w:r w:rsidR="00AC140E" w:rsidRPr="009552C1">
        <w:rPr>
          <w:rFonts w:eastAsia="Times New Roman"/>
          <w:i/>
          <w:iCs/>
          <w:sz w:val="24"/>
          <w:szCs w:val="24"/>
        </w:rPr>
        <w:t>3</w:t>
      </w:r>
      <w:r w:rsidR="00C71790" w:rsidRPr="005D74FA">
        <w:rPr>
          <w:rFonts w:eastAsia="Times New Roman"/>
          <w:i/>
          <w:iCs/>
          <w:sz w:val="24"/>
          <w:szCs w:val="24"/>
        </w:rPr>
        <w:t>,</w:t>
      </w:r>
      <w:r w:rsidR="00AC140E" w:rsidRPr="005D74FA">
        <w:rPr>
          <w:rFonts w:eastAsia="Times New Roman"/>
          <w:i/>
          <w:iCs/>
          <w:sz w:val="24"/>
          <w:szCs w:val="24"/>
        </w:rPr>
        <w:t xml:space="preserve"> </w:t>
      </w:r>
      <w:r w:rsidR="00CA7A47" w:rsidRPr="005D74FA">
        <w:rPr>
          <w:rFonts w:eastAsia="Times New Roman"/>
          <w:i/>
          <w:iCs/>
          <w:sz w:val="24"/>
          <w:szCs w:val="24"/>
        </w:rPr>
        <w:t>të</w:t>
      </w:r>
      <w:r w:rsidR="00AC140E" w:rsidRPr="005D74FA">
        <w:rPr>
          <w:rFonts w:eastAsia="Times New Roman"/>
          <w:i/>
          <w:iCs/>
          <w:sz w:val="24"/>
          <w:szCs w:val="24"/>
        </w:rPr>
        <w:t xml:space="preserve"> vendimit të Gjykatës së Lartë)</w:t>
      </w:r>
      <w:r w:rsidR="00157FF7" w:rsidRPr="005D74FA">
        <w:rPr>
          <w:rFonts w:eastAsia="Times New Roman"/>
          <w:iCs/>
          <w:sz w:val="24"/>
          <w:szCs w:val="24"/>
        </w:rPr>
        <w:t xml:space="preserve">. </w:t>
      </w:r>
    </w:p>
    <w:p w:rsidR="00187EBB" w:rsidRPr="005D74FA" w:rsidRDefault="00D36BFB" w:rsidP="00CC2B13">
      <w:pPr>
        <w:pStyle w:val="ListParagraph"/>
        <w:numPr>
          <w:ilvl w:val="0"/>
          <w:numId w:val="1"/>
        </w:numPr>
        <w:tabs>
          <w:tab w:val="left" w:pos="1080"/>
        </w:tabs>
        <w:spacing w:line="360" w:lineRule="auto"/>
        <w:ind w:left="0" w:firstLine="720"/>
        <w:rPr>
          <w:sz w:val="24"/>
          <w:szCs w:val="24"/>
        </w:rPr>
      </w:pPr>
      <w:r w:rsidRPr="005D74FA">
        <w:rPr>
          <w:sz w:val="24"/>
          <w:szCs w:val="24"/>
        </w:rPr>
        <w:t xml:space="preserve">Gjykata </w:t>
      </w:r>
      <w:r w:rsidR="00556C34" w:rsidRPr="005D74FA">
        <w:rPr>
          <w:sz w:val="24"/>
          <w:szCs w:val="24"/>
        </w:rPr>
        <w:t>thekson</w:t>
      </w:r>
      <w:r w:rsidRPr="005D74FA">
        <w:rPr>
          <w:sz w:val="24"/>
          <w:szCs w:val="24"/>
        </w:rPr>
        <w:t xml:space="preserve"> se </w:t>
      </w:r>
      <w:r w:rsidR="00EF4288" w:rsidRPr="005D74FA">
        <w:rPr>
          <w:sz w:val="24"/>
          <w:szCs w:val="24"/>
        </w:rPr>
        <w:t xml:space="preserve">sipas </w:t>
      </w:r>
      <w:r w:rsidRPr="005D74FA">
        <w:rPr>
          <w:sz w:val="24"/>
          <w:szCs w:val="24"/>
        </w:rPr>
        <w:t>pik</w:t>
      </w:r>
      <w:r w:rsidR="00EF4288" w:rsidRPr="005D74FA">
        <w:rPr>
          <w:sz w:val="24"/>
          <w:szCs w:val="24"/>
        </w:rPr>
        <w:t>ës</w:t>
      </w:r>
      <w:r w:rsidRPr="005D74FA">
        <w:rPr>
          <w:sz w:val="24"/>
          <w:szCs w:val="24"/>
        </w:rPr>
        <w:t xml:space="preserve"> 6 </w:t>
      </w:r>
      <w:r w:rsidR="00EF4288" w:rsidRPr="005D74FA">
        <w:rPr>
          <w:sz w:val="24"/>
          <w:szCs w:val="24"/>
        </w:rPr>
        <w:t>të</w:t>
      </w:r>
      <w:r w:rsidR="00CA7A47" w:rsidRPr="005D74FA">
        <w:rPr>
          <w:sz w:val="24"/>
          <w:szCs w:val="24"/>
        </w:rPr>
        <w:t xml:space="preserve"> nenit 13/1</w:t>
      </w:r>
      <w:r w:rsidRPr="005D74FA">
        <w:rPr>
          <w:sz w:val="24"/>
          <w:szCs w:val="24"/>
        </w:rPr>
        <w:t xml:space="preserve"> të ligjit nr. 8328/1998, </w:t>
      </w:r>
      <w:r w:rsidR="00EF4288" w:rsidRPr="005D74FA">
        <w:rPr>
          <w:sz w:val="24"/>
          <w:szCs w:val="24"/>
        </w:rPr>
        <w:t>e drejta e</w:t>
      </w:r>
      <w:r w:rsidR="007F2DB5" w:rsidRPr="005D74FA">
        <w:rPr>
          <w:sz w:val="24"/>
          <w:szCs w:val="24"/>
        </w:rPr>
        <w:t xml:space="preserve"> ankimit </w:t>
      </w:r>
      <w:r w:rsidRPr="005D74FA">
        <w:rPr>
          <w:sz w:val="24"/>
          <w:szCs w:val="24"/>
        </w:rPr>
        <w:t>ndaj urdhri</w:t>
      </w:r>
      <w:r w:rsidR="00EF4288" w:rsidRPr="005D74FA">
        <w:rPr>
          <w:sz w:val="24"/>
          <w:szCs w:val="24"/>
        </w:rPr>
        <w:t>t</w:t>
      </w:r>
      <w:r w:rsidRPr="005D74FA">
        <w:rPr>
          <w:sz w:val="24"/>
          <w:szCs w:val="24"/>
        </w:rPr>
        <w:t xml:space="preserve"> për vendosjen në regjim të posaçëm nuk </w:t>
      </w:r>
      <w:r w:rsidR="00EF4288" w:rsidRPr="005D74FA">
        <w:rPr>
          <w:sz w:val="24"/>
          <w:szCs w:val="24"/>
        </w:rPr>
        <w:t xml:space="preserve">kufizohet </w:t>
      </w:r>
      <w:r w:rsidR="00556C34" w:rsidRPr="005D74FA">
        <w:rPr>
          <w:sz w:val="24"/>
          <w:szCs w:val="24"/>
        </w:rPr>
        <w:t>vetëm</w:t>
      </w:r>
      <w:r w:rsidR="007F2DB5" w:rsidRPr="005D74FA">
        <w:rPr>
          <w:sz w:val="24"/>
          <w:szCs w:val="24"/>
        </w:rPr>
        <w:t xml:space="preserve"> për shkaqe procedurale</w:t>
      </w:r>
      <w:r w:rsidR="00F1633D" w:rsidRPr="005D74FA">
        <w:rPr>
          <w:sz w:val="24"/>
          <w:szCs w:val="24"/>
        </w:rPr>
        <w:t>, që do të thotë se përmes ankimit</w:t>
      </w:r>
      <w:r w:rsidR="00EF4288" w:rsidRPr="005D74FA">
        <w:rPr>
          <w:sz w:val="24"/>
          <w:szCs w:val="24"/>
        </w:rPr>
        <w:t xml:space="preserve"> kërkuesit i jepet e drejta të ngrejë jo vetëm shkaqe procedurale</w:t>
      </w:r>
      <w:r w:rsidR="007F2DB5" w:rsidRPr="005D74FA">
        <w:rPr>
          <w:sz w:val="24"/>
          <w:szCs w:val="24"/>
        </w:rPr>
        <w:t xml:space="preserve">, </w:t>
      </w:r>
      <w:r w:rsidR="00EF4288" w:rsidRPr="005D74FA">
        <w:rPr>
          <w:sz w:val="24"/>
          <w:szCs w:val="24"/>
        </w:rPr>
        <w:t>por edhe substanciale</w:t>
      </w:r>
      <w:r w:rsidR="007F2DB5" w:rsidRPr="005D74FA">
        <w:rPr>
          <w:sz w:val="24"/>
          <w:szCs w:val="24"/>
        </w:rPr>
        <w:t xml:space="preserve">, </w:t>
      </w:r>
      <w:r w:rsidR="00EF4288" w:rsidRPr="005D74FA">
        <w:rPr>
          <w:sz w:val="24"/>
          <w:szCs w:val="24"/>
        </w:rPr>
        <w:t>që lidhen me thelbin e masës së vendosjes në regjim të posaçëm</w:t>
      </w:r>
      <w:r w:rsidR="007F2DB5" w:rsidRPr="005D74FA">
        <w:rPr>
          <w:sz w:val="24"/>
          <w:szCs w:val="24"/>
        </w:rPr>
        <w:t xml:space="preserve">. </w:t>
      </w:r>
      <w:r w:rsidR="00187EBB" w:rsidRPr="005D74FA">
        <w:rPr>
          <w:sz w:val="24"/>
          <w:szCs w:val="24"/>
        </w:rPr>
        <w:t>Në këtë drejtim, Gjykata vëren se</w:t>
      </w:r>
      <w:r w:rsidR="00B30E1E" w:rsidRPr="005D74FA">
        <w:rPr>
          <w:sz w:val="24"/>
          <w:szCs w:val="24"/>
        </w:rPr>
        <w:t>,</w:t>
      </w:r>
      <w:r w:rsidR="00187EBB" w:rsidRPr="005D74FA">
        <w:rPr>
          <w:sz w:val="24"/>
          <w:szCs w:val="24"/>
        </w:rPr>
        <w:t xml:space="preserve"> në zbatim të parashikimit të nenit 42 të Kushtetutës, edhe nenet 27 dhe 28 të saj parashikojnë garanci të shtuara procedurale dhe substanciale, që i referohen kufizimeve të </w:t>
      </w:r>
      <w:proofErr w:type="spellStart"/>
      <w:r w:rsidR="00187EBB" w:rsidRPr="005D74FA">
        <w:rPr>
          <w:sz w:val="24"/>
          <w:szCs w:val="24"/>
        </w:rPr>
        <w:t>të</w:t>
      </w:r>
      <w:proofErr w:type="spellEnd"/>
      <w:r w:rsidR="00187EBB" w:rsidRPr="005D74FA">
        <w:rPr>
          <w:sz w:val="24"/>
          <w:szCs w:val="24"/>
        </w:rPr>
        <w:t xml:space="preserve"> drejtave themelore për personat të cilët ndodhen në kushtet e kufizimit të lirisë së tyre në ambientet e paraburgimit ose të burgimit.</w:t>
      </w:r>
    </w:p>
    <w:p w:rsidR="002D05BC" w:rsidRPr="005D74FA" w:rsidRDefault="009C406F" w:rsidP="00157FF7">
      <w:pPr>
        <w:pStyle w:val="ListParagraph"/>
        <w:numPr>
          <w:ilvl w:val="0"/>
          <w:numId w:val="1"/>
        </w:numPr>
        <w:tabs>
          <w:tab w:val="left" w:pos="1080"/>
        </w:tabs>
        <w:spacing w:line="360" w:lineRule="auto"/>
        <w:ind w:left="0" w:firstLine="720"/>
        <w:rPr>
          <w:sz w:val="24"/>
          <w:szCs w:val="24"/>
        </w:rPr>
      </w:pPr>
      <w:r w:rsidRPr="005D74FA">
        <w:rPr>
          <w:rFonts w:eastAsia="Times New Roman"/>
          <w:sz w:val="24"/>
          <w:szCs w:val="24"/>
        </w:rPr>
        <w:t xml:space="preserve">Për rrjedhojë, </w:t>
      </w:r>
      <w:r w:rsidR="002D05BC" w:rsidRPr="005D74FA">
        <w:rPr>
          <w:rFonts w:eastAsia="Times New Roman"/>
          <w:sz w:val="24"/>
          <w:szCs w:val="24"/>
        </w:rPr>
        <w:t xml:space="preserve">Gjykata </w:t>
      </w:r>
      <w:r w:rsidR="00BF2373" w:rsidRPr="005D74FA">
        <w:rPr>
          <w:rFonts w:eastAsia="Times New Roman"/>
          <w:sz w:val="24"/>
          <w:szCs w:val="24"/>
        </w:rPr>
        <w:t>vlerëson</w:t>
      </w:r>
      <w:r w:rsidR="00C42C02" w:rsidRPr="005D74FA">
        <w:rPr>
          <w:rFonts w:eastAsia="Times New Roman"/>
          <w:sz w:val="24"/>
          <w:szCs w:val="24"/>
        </w:rPr>
        <w:t xml:space="preserve"> se </w:t>
      </w:r>
      <w:r w:rsidR="00157FF7" w:rsidRPr="005D74FA">
        <w:rPr>
          <w:rFonts w:eastAsia="Times New Roman"/>
          <w:sz w:val="24"/>
          <w:szCs w:val="24"/>
        </w:rPr>
        <w:t xml:space="preserve">urdhri </w:t>
      </w:r>
      <w:r w:rsidR="00112381" w:rsidRPr="005D74FA">
        <w:rPr>
          <w:rFonts w:eastAsia="Times New Roman"/>
          <w:sz w:val="24"/>
          <w:szCs w:val="24"/>
        </w:rPr>
        <w:t>i</w:t>
      </w:r>
      <w:r w:rsidR="00157FF7" w:rsidRPr="005D74FA">
        <w:rPr>
          <w:rFonts w:eastAsia="Times New Roman"/>
          <w:sz w:val="24"/>
          <w:szCs w:val="24"/>
        </w:rPr>
        <w:t xml:space="preserve"> </w:t>
      </w:r>
      <w:r w:rsidR="003C7FDA" w:rsidRPr="005D74FA">
        <w:rPr>
          <w:rFonts w:eastAsia="Times New Roman"/>
          <w:sz w:val="24"/>
          <w:szCs w:val="24"/>
        </w:rPr>
        <w:t>m</w:t>
      </w:r>
      <w:r w:rsidR="00157FF7" w:rsidRPr="005D74FA">
        <w:rPr>
          <w:rFonts w:eastAsia="Times New Roman"/>
          <w:sz w:val="24"/>
          <w:szCs w:val="24"/>
        </w:rPr>
        <w:t xml:space="preserve">inistrit të Drejtësisë duhet vlerësuar jo vetëm nga ana </w:t>
      </w:r>
      <w:proofErr w:type="spellStart"/>
      <w:r w:rsidR="00157FF7" w:rsidRPr="005D74FA">
        <w:rPr>
          <w:rFonts w:eastAsia="Times New Roman"/>
          <w:sz w:val="24"/>
          <w:szCs w:val="24"/>
        </w:rPr>
        <w:t>formalo</w:t>
      </w:r>
      <w:proofErr w:type="spellEnd"/>
      <w:r w:rsidR="00157FF7" w:rsidRPr="005D74FA">
        <w:rPr>
          <w:rFonts w:eastAsia="Times New Roman"/>
          <w:sz w:val="24"/>
          <w:szCs w:val="24"/>
        </w:rPr>
        <w:t xml:space="preserve">-procedurale, por në veçanti nga ana substanciale, </w:t>
      </w:r>
      <w:r w:rsidR="007B4077" w:rsidRPr="005D74FA">
        <w:rPr>
          <w:rFonts w:eastAsia="Times New Roman"/>
          <w:sz w:val="24"/>
          <w:szCs w:val="24"/>
        </w:rPr>
        <w:t>pasi një urdhër i tillë</w:t>
      </w:r>
      <w:r w:rsidR="00157FF7" w:rsidRPr="005D74FA">
        <w:rPr>
          <w:rFonts w:eastAsia="Times New Roman"/>
          <w:sz w:val="24"/>
          <w:szCs w:val="24"/>
        </w:rPr>
        <w:t xml:space="preserve"> </w:t>
      </w:r>
      <w:r w:rsidR="007B4077" w:rsidRPr="005D74FA">
        <w:rPr>
          <w:rFonts w:eastAsia="Times New Roman"/>
          <w:sz w:val="24"/>
          <w:szCs w:val="24"/>
        </w:rPr>
        <w:t>kufizon</w:t>
      </w:r>
      <w:r w:rsidR="00157FF7" w:rsidRPr="005D74FA">
        <w:rPr>
          <w:rFonts w:eastAsia="Times New Roman"/>
          <w:sz w:val="24"/>
          <w:szCs w:val="24"/>
        </w:rPr>
        <w:t xml:space="preserve"> në shkallë të lartë të drejtat dhe liritë e </w:t>
      </w:r>
      <w:r w:rsidR="007B4077" w:rsidRPr="005D74FA">
        <w:rPr>
          <w:rFonts w:eastAsia="Times New Roman"/>
          <w:sz w:val="24"/>
          <w:szCs w:val="24"/>
        </w:rPr>
        <w:t xml:space="preserve">kësaj kategorie personash. </w:t>
      </w:r>
      <w:r w:rsidR="008E65D4" w:rsidRPr="005D74FA">
        <w:rPr>
          <w:rFonts w:eastAsia="Times New Roman"/>
          <w:sz w:val="24"/>
          <w:szCs w:val="24"/>
        </w:rPr>
        <w:t xml:space="preserve">Në këtë pikëpamje, në aspektin kushtetues merr rëndësi përcaktimi i shkaqeve dhe </w:t>
      </w:r>
      <w:r w:rsidR="00E45B39" w:rsidRPr="005D74FA">
        <w:rPr>
          <w:rFonts w:eastAsia="Times New Roman"/>
          <w:sz w:val="24"/>
          <w:szCs w:val="24"/>
        </w:rPr>
        <w:t xml:space="preserve">i </w:t>
      </w:r>
      <w:r w:rsidR="008E65D4" w:rsidRPr="005D74FA">
        <w:rPr>
          <w:rFonts w:eastAsia="Times New Roman"/>
          <w:sz w:val="24"/>
          <w:szCs w:val="24"/>
        </w:rPr>
        <w:t xml:space="preserve">të dhënave mbi të cilat është bazuar vendosja e kërkuesit në këtë regjim. </w:t>
      </w:r>
    </w:p>
    <w:p w:rsidR="00187EBB" w:rsidRPr="005D74FA" w:rsidRDefault="00297CDA" w:rsidP="00157FF7">
      <w:pPr>
        <w:pStyle w:val="ListParagraph"/>
        <w:numPr>
          <w:ilvl w:val="0"/>
          <w:numId w:val="1"/>
        </w:numPr>
        <w:tabs>
          <w:tab w:val="left" w:pos="1080"/>
        </w:tabs>
        <w:spacing w:line="360" w:lineRule="auto"/>
        <w:ind w:left="0" w:firstLine="720"/>
        <w:rPr>
          <w:sz w:val="24"/>
          <w:szCs w:val="24"/>
        </w:rPr>
      </w:pPr>
      <w:r w:rsidRPr="005D74FA">
        <w:rPr>
          <w:rFonts w:eastAsia="Times New Roman"/>
          <w:sz w:val="24"/>
          <w:szCs w:val="24"/>
        </w:rPr>
        <w:t>E</w:t>
      </w:r>
      <w:r w:rsidR="00187EBB" w:rsidRPr="005D74FA">
        <w:rPr>
          <w:rFonts w:eastAsia="Times New Roman"/>
          <w:sz w:val="24"/>
          <w:szCs w:val="24"/>
        </w:rPr>
        <w:t xml:space="preserve">dhe pse në pretendimet e tij kërkuesi e ka cilësuar urdhrin nr. 253/2020 si një urdhër me natyrë administrativo-penale, </w:t>
      </w:r>
      <w:r w:rsidRPr="005D74FA">
        <w:rPr>
          <w:rFonts w:eastAsia="Times New Roman"/>
          <w:sz w:val="24"/>
          <w:szCs w:val="24"/>
        </w:rPr>
        <w:t>Gjykata k</w:t>
      </w:r>
      <w:r w:rsidR="00187EBB" w:rsidRPr="005D74FA">
        <w:rPr>
          <w:rFonts w:eastAsia="Times New Roman"/>
          <w:sz w:val="24"/>
          <w:szCs w:val="24"/>
        </w:rPr>
        <w:t xml:space="preserve">onstaton se </w:t>
      </w:r>
      <w:r w:rsidR="00B30E1E" w:rsidRPr="005D74FA">
        <w:rPr>
          <w:rFonts w:eastAsia="Times New Roman"/>
          <w:sz w:val="24"/>
          <w:szCs w:val="24"/>
        </w:rPr>
        <w:t>ai</w:t>
      </w:r>
      <w:r w:rsidR="00187EBB" w:rsidRPr="005D74FA">
        <w:rPr>
          <w:rFonts w:eastAsia="Times New Roman"/>
          <w:sz w:val="24"/>
          <w:szCs w:val="24"/>
        </w:rPr>
        <w:t xml:space="preserve"> përbën një akt administrativ dhe se kompetenca për nxjerrjen e tij i është njohur ministrit të Drejtësisë me ligj, e konkretisht </w:t>
      </w:r>
      <w:r w:rsidR="00E45B39" w:rsidRPr="005D74FA">
        <w:rPr>
          <w:rFonts w:eastAsia="Times New Roman"/>
          <w:sz w:val="24"/>
          <w:szCs w:val="24"/>
        </w:rPr>
        <w:t xml:space="preserve">me </w:t>
      </w:r>
      <w:r w:rsidR="00187EBB" w:rsidRPr="005D74FA">
        <w:rPr>
          <w:rFonts w:eastAsia="Times New Roman"/>
          <w:sz w:val="24"/>
          <w:szCs w:val="24"/>
        </w:rPr>
        <w:t>ligjin nr. 8328/1998.</w:t>
      </w:r>
      <w:r w:rsidR="00425957" w:rsidRPr="005D74FA">
        <w:rPr>
          <w:rFonts w:eastAsia="Times New Roman"/>
          <w:sz w:val="24"/>
          <w:szCs w:val="24"/>
        </w:rPr>
        <w:t xml:space="preserve"> </w:t>
      </w:r>
      <w:r w:rsidR="00425957" w:rsidRPr="005D74FA">
        <w:rPr>
          <w:sz w:val="24"/>
          <w:szCs w:val="24"/>
        </w:rPr>
        <w:t xml:space="preserve">Në këtë kuptim, Gjykata do të analizojë procesin me objekt kundërshtimin e këtij urdhri në drejtim të cenimit </w:t>
      </w:r>
      <w:r w:rsidR="00E45B39" w:rsidRPr="005D74FA">
        <w:rPr>
          <w:sz w:val="24"/>
          <w:szCs w:val="24"/>
        </w:rPr>
        <w:t xml:space="preserve">të </w:t>
      </w:r>
      <w:r w:rsidR="00425957" w:rsidRPr="005D74FA">
        <w:rPr>
          <w:sz w:val="24"/>
          <w:szCs w:val="24"/>
        </w:rPr>
        <w:t xml:space="preserve">së drejtës së kërkuesit për </w:t>
      </w:r>
      <w:r w:rsidR="00E40643" w:rsidRPr="005D74FA">
        <w:rPr>
          <w:sz w:val="24"/>
          <w:szCs w:val="24"/>
        </w:rPr>
        <w:t>njohje</w:t>
      </w:r>
      <w:r w:rsidR="006169C0" w:rsidRPr="005D74FA">
        <w:rPr>
          <w:sz w:val="24"/>
          <w:szCs w:val="24"/>
        </w:rPr>
        <w:t>n</w:t>
      </w:r>
      <w:r w:rsidR="00425957" w:rsidRPr="005D74FA">
        <w:rPr>
          <w:sz w:val="24"/>
          <w:szCs w:val="24"/>
        </w:rPr>
        <w:t xml:space="preserve"> </w:t>
      </w:r>
      <w:r w:rsidR="00E40643" w:rsidRPr="005D74FA">
        <w:rPr>
          <w:sz w:val="24"/>
          <w:szCs w:val="24"/>
        </w:rPr>
        <w:t>me</w:t>
      </w:r>
      <w:r w:rsidR="00425957" w:rsidRPr="005D74FA">
        <w:rPr>
          <w:sz w:val="24"/>
          <w:szCs w:val="24"/>
        </w:rPr>
        <w:t xml:space="preserve"> aktet mbi të cilat është bazuar vendosja e tij në këtë regjim </w:t>
      </w:r>
      <w:r w:rsidR="00425957" w:rsidRPr="005D74FA">
        <w:rPr>
          <w:rFonts w:eastAsia="Times New Roman"/>
          <w:sz w:val="24"/>
          <w:szCs w:val="24"/>
        </w:rPr>
        <w:t>me qëllim të garantimit të parimit të kontradiktoritetit në gjykim, i cili është i zbatueshëm edhe në rastin e shqyrtimit nga gjykatat e juridiksionit të zakonshëm të urdhrave të kësaj natyre.</w:t>
      </w:r>
    </w:p>
    <w:p w:rsidR="00BF2081" w:rsidRPr="005D74FA" w:rsidRDefault="008F3E99" w:rsidP="00302F97">
      <w:pPr>
        <w:pStyle w:val="ListParagraph"/>
        <w:numPr>
          <w:ilvl w:val="0"/>
          <w:numId w:val="1"/>
        </w:numPr>
        <w:tabs>
          <w:tab w:val="left" w:pos="1080"/>
        </w:tabs>
        <w:spacing w:line="360" w:lineRule="auto"/>
        <w:ind w:left="0" w:firstLine="720"/>
        <w:rPr>
          <w:sz w:val="24"/>
          <w:szCs w:val="24"/>
        </w:rPr>
      </w:pPr>
      <w:r w:rsidRPr="005D74FA">
        <w:rPr>
          <w:sz w:val="24"/>
          <w:szCs w:val="24"/>
        </w:rPr>
        <w:t xml:space="preserve">Gjykata thekson se </w:t>
      </w:r>
      <w:r w:rsidR="00BF2081" w:rsidRPr="005D74FA">
        <w:rPr>
          <w:sz w:val="24"/>
          <w:szCs w:val="24"/>
        </w:rPr>
        <w:t>n</w:t>
      </w:r>
      <w:r w:rsidR="004C4068" w:rsidRPr="005D74FA">
        <w:rPr>
          <w:sz w:val="24"/>
          <w:szCs w:val="24"/>
        </w:rPr>
        <w:t xml:space="preserve">ë rastet e vendosjes së të burgosurit në regjim të </w:t>
      </w:r>
      <w:r w:rsidR="00B21223" w:rsidRPr="005D74FA">
        <w:rPr>
          <w:sz w:val="24"/>
          <w:szCs w:val="24"/>
        </w:rPr>
        <w:t>posaçëm</w:t>
      </w:r>
      <w:r w:rsidR="004C4068" w:rsidRPr="005D74FA">
        <w:rPr>
          <w:sz w:val="24"/>
          <w:szCs w:val="24"/>
        </w:rPr>
        <w:t xml:space="preserve"> të sigurisë </w:t>
      </w:r>
      <w:r w:rsidR="00BF2373" w:rsidRPr="005D74FA">
        <w:rPr>
          <w:sz w:val="24"/>
          <w:szCs w:val="24"/>
        </w:rPr>
        <w:t>së lartë</w:t>
      </w:r>
      <w:r w:rsidR="004C4068" w:rsidRPr="005D74FA">
        <w:rPr>
          <w:sz w:val="24"/>
          <w:szCs w:val="24"/>
        </w:rPr>
        <w:t xml:space="preserve">, </w:t>
      </w:r>
      <w:r w:rsidR="00425957" w:rsidRPr="005D74FA">
        <w:rPr>
          <w:sz w:val="24"/>
          <w:szCs w:val="24"/>
        </w:rPr>
        <w:t>juridiksioni i zako</w:t>
      </w:r>
      <w:r w:rsidR="00B30E1E" w:rsidRPr="005D74FA">
        <w:rPr>
          <w:sz w:val="24"/>
          <w:szCs w:val="24"/>
        </w:rPr>
        <w:t>n</w:t>
      </w:r>
      <w:r w:rsidR="00425957" w:rsidRPr="005D74FA">
        <w:rPr>
          <w:sz w:val="24"/>
          <w:szCs w:val="24"/>
        </w:rPr>
        <w:t>shëm duhet të vlerësoj</w:t>
      </w:r>
      <w:r w:rsidR="00BF2081" w:rsidRPr="005D74FA">
        <w:rPr>
          <w:sz w:val="24"/>
          <w:szCs w:val="24"/>
        </w:rPr>
        <w:t>ë</w:t>
      </w:r>
      <w:r w:rsidR="00852287" w:rsidRPr="005D74FA">
        <w:rPr>
          <w:sz w:val="24"/>
          <w:szCs w:val="24"/>
        </w:rPr>
        <w:t xml:space="preserve"> thelbin e çështjes</w:t>
      </w:r>
      <w:r w:rsidR="004A186F" w:rsidRPr="005D74FA">
        <w:rPr>
          <w:sz w:val="24"/>
          <w:szCs w:val="24"/>
        </w:rPr>
        <w:t>,</w:t>
      </w:r>
      <w:r w:rsidR="004C4068" w:rsidRPr="005D74FA">
        <w:rPr>
          <w:sz w:val="24"/>
          <w:szCs w:val="24"/>
        </w:rPr>
        <w:t xml:space="preserve"> e konkretisht </w:t>
      </w:r>
      <w:r w:rsidR="004A186F" w:rsidRPr="005D74FA">
        <w:rPr>
          <w:sz w:val="24"/>
          <w:szCs w:val="24"/>
        </w:rPr>
        <w:t xml:space="preserve">nëse </w:t>
      </w:r>
      <w:r w:rsidR="000768BC" w:rsidRPr="005D74FA">
        <w:rPr>
          <w:sz w:val="24"/>
          <w:szCs w:val="24"/>
        </w:rPr>
        <w:t>urdhri</w:t>
      </w:r>
      <w:r w:rsidR="004A186F" w:rsidRPr="005D74FA">
        <w:rPr>
          <w:sz w:val="24"/>
          <w:szCs w:val="24"/>
        </w:rPr>
        <w:t xml:space="preserve"> i ministrit të Drejtësisë është në përputhje me </w:t>
      </w:r>
      <w:r w:rsidR="008E65D4" w:rsidRPr="005D74FA">
        <w:rPr>
          <w:sz w:val="24"/>
          <w:szCs w:val="24"/>
        </w:rPr>
        <w:t>standardin e procesit të rregullt ligjor</w:t>
      </w:r>
      <w:r w:rsidR="00E45B39" w:rsidRPr="005D74FA">
        <w:rPr>
          <w:sz w:val="24"/>
          <w:szCs w:val="24"/>
        </w:rPr>
        <w:t>,</w:t>
      </w:r>
      <w:r w:rsidR="008E150A" w:rsidRPr="005D74FA">
        <w:rPr>
          <w:sz w:val="24"/>
          <w:szCs w:val="24"/>
        </w:rPr>
        <w:t xml:space="preserve"> sipas nenit 6/1 të KEDNJ-së</w:t>
      </w:r>
      <w:r w:rsidR="004A186F" w:rsidRPr="005D74FA">
        <w:rPr>
          <w:sz w:val="24"/>
          <w:szCs w:val="24"/>
        </w:rPr>
        <w:t xml:space="preserve"> </w:t>
      </w:r>
      <w:r w:rsidR="00852287" w:rsidRPr="005D74FA">
        <w:rPr>
          <w:i/>
          <w:sz w:val="24"/>
          <w:szCs w:val="24"/>
        </w:rPr>
        <w:t xml:space="preserve">(shih </w:t>
      </w:r>
      <w:r w:rsidR="00116DE5" w:rsidRPr="005D74FA">
        <w:rPr>
          <w:i/>
          <w:sz w:val="24"/>
          <w:szCs w:val="24"/>
        </w:rPr>
        <w:t xml:space="preserve">vendimet e GJEDNJ-së </w:t>
      </w:r>
      <w:proofErr w:type="spellStart"/>
      <w:r w:rsidR="00852287" w:rsidRPr="005D74FA">
        <w:rPr>
          <w:i/>
          <w:sz w:val="24"/>
          <w:szCs w:val="24"/>
        </w:rPr>
        <w:t>Ganci</w:t>
      </w:r>
      <w:proofErr w:type="spellEnd"/>
      <w:r w:rsidR="00852287" w:rsidRPr="005D74FA">
        <w:rPr>
          <w:i/>
          <w:sz w:val="24"/>
          <w:szCs w:val="24"/>
        </w:rPr>
        <w:t xml:space="preserve"> </w:t>
      </w:r>
      <w:r w:rsidR="00C24654" w:rsidRPr="005D74FA">
        <w:rPr>
          <w:i/>
          <w:sz w:val="24"/>
          <w:szCs w:val="24"/>
        </w:rPr>
        <w:t>k</w:t>
      </w:r>
      <w:r w:rsidR="00852287" w:rsidRPr="005D74FA">
        <w:rPr>
          <w:i/>
          <w:sz w:val="24"/>
          <w:szCs w:val="24"/>
        </w:rPr>
        <w:t>. Ital</w:t>
      </w:r>
      <w:r w:rsidR="00C24654" w:rsidRPr="005D74FA">
        <w:rPr>
          <w:i/>
          <w:sz w:val="24"/>
          <w:szCs w:val="24"/>
        </w:rPr>
        <w:t>isë</w:t>
      </w:r>
      <w:r w:rsidR="00A96751" w:rsidRPr="005D74FA">
        <w:rPr>
          <w:i/>
          <w:sz w:val="24"/>
          <w:szCs w:val="24"/>
        </w:rPr>
        <w:t>, datë 30.10.</w:t>
      </w:r>
      <w:r w:rsidR="00852287" w:rsidRPr="005D74FA">
        <w:rPr>
          <w:i/>
          <w:sz w:val="24"/>
          <w:szCs w:val="24"/>
        </w:rPr>
        <w:t xml:space="preserve">2003, </w:t>
      </w:r>
      <w:r w:rsidR="00116DE5" w:rsidRPr="005D74FA">
        <w:rPr>
          <w:i/>
          <w:sz w:val="24"/>
          <w:szCs w:val="24"/>
        </w:rPr>
        <w:t>§</w:t>
      </w:r>
      <w:r w:rsidR="00852287" w:rsidRPr="005D74FA">
        <w:rPr>
          <w:i/>
          <w:sz w:val="24"/>
          <w:szCs w:val="24"/>
        </w:rPr>
        <w:t xml:space="preserve"> 31; </w:t>
      </w:r>
      <w:proofErr w:type="spellStart"/>
      <w:r w:rsidR="004A186F" w:rsidRPr="005D74FA">
        <w:rPr>
          <w:i/>
          <w:sz w:val="24"/>
          <w:szCs w:val="24"/>
        </w:rPr>
        <w:t>Asci</w:t>
      </w:r>
      <w:r w:rsidR="004D438D" w:rsidRPr="005D74FA">
        <w:rPr>
          <w:i/>
          <w:sz w:val="24"/>
          <w:szCs w:val="24"/>
        </w:rPr>
        <w:t>u</w:t>
      </w:r>
      <w:r w:rsidR="004A186F" w:rsidRPr="005D74FA">
        <w:rPr>
          <w:i/>
          <w:sz w:val="24"/>
          <w:szCs w:val="24"/>
        </w:rPr>
        <w:t>tto</w:t>
      </w:r>
      <w:proofErr w:type="spellEnd"/>
      <w:r w:rsidR="004A186F" w:rsidRPr="005D74FA">
        <w:rPr>
          <w:i/>
          <w:sz w:val="24"/>
          <w:szCs w:val="24"/>
        </w:rPr>
        <w:t xml:space="preserve"> </w:t>
      </w:r>
      <w:r w:rsidR="00C24654" w:rsidRPr="005D74FA">
        <w:rPr>
          <w:i/>
          <w:sz w:val="24"/>
          <w:szCs w:val="24"/>
        </w:rPr>
        <w:t>k</w:t>
      </w:r>
      <w:r w:rsidR="004A186F" w:rsidRPr="005D74FA">
        <w:rPr>
          <w:i/>
          <w:sz w:val="24"/>
          <w:szCs w:val="24"/>
        </w:rPr>
        <w:t>. Ital</w:t>
      </w:r>
      <w:r w:rsidR="00C24654" w:rsidRPr="005D74FA">
        <w:rPr>
          <w:i/>
          <w:sz w:val="24"/>
          <w:szCs w:val="24"/>
        </w:rPr>
        <w:t>isë</w:t>
      </w:r>
      <w:r w:rsidR="004A186F" w:rsidRPr="005D74FA">
        <w:rPr>
          <w:i/>
          <w:sz w:val="24"/>
          <w:szCs w:val="24"/>
        </w:rPr>
        <w:t xml:space="preserve">, </w:t>
      </w:r>
      <w:r w:rsidR="00A96751" w:rsidRPr="005D74FA">
        <w:rPr>
          <w:i/>
          <w:sz w:val="24"/>
          <w:szCs w:val="24"/>
        </w:rPr>
        <w:t xml:space="preserve">datë </w:t>
      </w:r>
      <w:r w:rsidR="004A186F" w:rsidRPr="005D74FA">
        <w:rPr>
          <w:i/>
          <w:sz w:val="24"/>
          <w:szCs w:val="24"/>
        </w:rPr>
        <w:t>27</w:t>
      </w:r>
      <w:r w:rsidR="004D438D" w:rsidRPr="005D74FA">
        <w:rPr>
          <w:i/>
          <w:sz w:val="24"/>
          <w:szCs w:val="24"/>
        </w:rPr>
        <w:t>.11.</w:t>
      </w:r>
      <w:r w:rsidR="004A186F" w:rsidRPr="005D74FA">
        <w:rPr>
          <w:i/>
          <w:sz w:val="24"/>
          <w:szCs w:val="24"/>
        </w:rPr>
        <w:t xml:space="preserve">2007, </w:t>
      </w:r>
      <w:r w:rsidR="00116DE5" w:rsidRPr="005D74FA">
        <w:rPr>
          <w:i/>
          <w:sz w:val="24"/>
          <w:szCs w:val="24"/>
        </w:rPr>
        <w:t>§</w:t>
      </w:r>
      <w:r w:rsidR="004A186F" w:rsidRPr="005D74FA">
        <w:rPr>
          <w:i/>
          <w:sz w:val="24"/>
          <w:szCs w:val="24"/>
        </w:rPr>
        <w:t xml:space="preserve"> 38</w:t>
      </w:r>
      <w:r w:rsidR="00852287" w:rsidRPr="005D74FA">
        <w:rPr>
          <w:i/>
          <w:sz w:val="24"/>
          <w:szCs w:val="24"/>
        </w:rPr>
        <w:t>)</w:t>
      </w:r>
      <w:r w:rsidR="00852287" w:rsidRPr="005D74FA">
        <w:rPr>
          <w:sz w:val="24"/>
          <w:szCs w:val="24"/>
        </w:rPr>
        <w:t xml:space="preserve">. </w:t>
      </w:r>
      <w:r w:rsidR="00EC789B" w:rsidRPr="005D74FA">
        <w:rPr>
          <w:sz w:val="24"/>
          <w:szCs w:val="24"/>
        </w:rPr>
        <w:t xml:space="preserve">Pavarësisht se e drejta e një pale në gjykim për </w:t>
      </w:r>
      <w:proofErr w:type="spellStart"/>
      <w:r w:rsidR="00EC789B" w:rsidRPr="005D74FA">
        <w:rPr>
          <w:sz w:val="24"/>
          <w:szCs w:val="24"/>
        </w:rPr>
        <w:t>akses</w:t>
      </w:r>
      <w:proofErr w:type="spellEnd"/>
      <w:r w:rsidR="00EC789B" w:rsidRPr="005D74FA">
        <w:rPr>
          <w:sz w:val="24"/>
          <w:szCs w:val="24"/>
        </w:rPr>
        <w:t xml:space="preserve"> në dokumente nuk është absolute, çdo kufizim i kësaj të drejte duhet të jetë i tillë që nuk cenon thelbin e së drejtës për proces të rregullt ligjor, të garantuar në nenin 42 të Kushtetutës dhe nenin 6/1 të KEDNJ-së.</w:t>
      </w:r>
      <w:r w:rsidR="006C583F" w:rsidRPr="005D74FA">
        <w:rPr>
          <w:sz w:val="24"/>
          <w:szCs w:val="24"/>
        </w:rPr>
        <w:t xml:space="preserve"> Në këtë drejtim, gjykatat duhet të kenë </w:t>
      </w:r>
      <w:proofErr w:type="spellStart"/>
      <w:r w:rsidR="006C583F" w:rsidRPr="005D74FA">
        <w:rPr>
          <w:sz w:val="24"/>
          <w:szCs w:val="24"/>
        </w:rPr>
        <w:t>akses</w:t>
      </w:r>
      <w:proofErr w:type="spellEnd"/>
      <w:r w:rsidR="006C583F" w:rsidRPr="005D74FA">
        <w:rPr>
          <w:sz w:val="24"/>
          <w:szCs w:val="24"/>
        </w:rPr>
        <w:t xml:space="preserve"> të pakufizuar në </w:t>
      </w:r>
      <w:r w:rsidR="00E45B39" w:rsidRPr="005D74FA">
        <w:rPr>
          <w:sz w:val="24"/>
          <w:szCs w:val="24"/>
        </w:rPr>
        <w:t xml:space="preserve">të </w:t>
      </w:r>
      <w:r w:rsidR="006C583F" w:rsidRPr="005D74FA">
        <w:rPr>
          <w:sz w:val="24"/>
          <w:szCs w:val="24"/>
        </w:rPr>
        <w:t xml:space="preserve">gjithë dokumentacionin e klasifikuar mbi të cilin është bazuar vendimmarrja e autoritetit shtetëror. </w:t>
      </w:r>
      <w:r w:rsidR="00FD3982" w:rsidRPr="005D74FA">
        <w:rPr>
          <w:sz w:val="24"/>
          <w:szCs w:val="24"/>
        </w:rPr>
        <w:t>A</w:t>
      </w:r>
      <w:r w:rsidR="006C583F" w:rsidRPr="005D74FA">
        <w:rPr>
          <w:sz w:val="24"/>
          <w:szCs w:val="24"/>
        </w:rPr>
        <w:t xml:space="preserve">to duhet të kryejnë një </w:t>
      </w:r>
      <w:r w:rsidR="00FD3982" w:rsidRPr="005D74FA">
        <w:rPr>
          <w:sz w:val="24"/>
          <w:szCs w:val="24"/>
        </w:rPr>
        <w:t>shqyrtim</w:t>
      </w:r>
      <w:r w:rsidR="006C583F" w:rsidRPr="005D74FA">
        <w:rPr>
          <w:sz w:val="24"/>
          <w:szCs w:val="24"/>
        </w:rPr>
        <w:t xml:space="preserve"> të detajuar të arsyeve </w:t>
      </w:r>
      <w:r w:rsidR="00FD3982" w:rsidRPr="005D74FA">
        <w:rPr>
          <w:sz w:val="24"/>
          <w:szCs w:val="24"/>
        </w:rPr>
        <w:t xml:space="preserve">të autoritetit shtetëror për </w:t>
      </w:r>
      <w:proofErr w:type="spellStart"/>
      <w:r w:rsidR="00FD3982" w:rsidRPr="005D74FA">
        <w:rPr>
          <w:sz w:val="24"/>
          <w:szCs w:val="24"/>
        </w:rPr>
        <w:t>mosbërjen</w:t>
      </w:r>
      <w:proofErr w:type="spellEnd"/>
      <w:r w:rsidR="00FD3982" w:rsidRPr="005D74FA">
        <w:rPr>
          <w:sz w:val="24"/>
          <w:szCs w:val="24"/>
        </w:rPr>
        <w:t xml:space="preserve"> me dije të dokumenteve të klasifikuara, t’i vlerësojnë ato, si dhe të urdhërojnë bërjen të ditur të atyre dokumenteve që vlerësojnë se nuk justifikojnë klasifikimin. Për më tepër, </w:t>
      </w:r>
      <w:r w:rsidR="00513C6E" w:rsidRPr="005D74FA">
        <w:rPr>
          <w:sz w:val="24"/>
          <w:szCs w:val="24"/>
        </w:rPr>
        <w:t>gjykatat</w:t>
      </w:r>
      <w:r w:rsidR="00FD3982" w:rsidRPr="005D74FA">
        <w:rPr>
          <w:sz w:val="24"/>
          <w:szCs w:val="24"/>
        </w:rPr>
        <w:t xml:space="preserve"> </w:t>
      </w:r>
      <w:r w:rsidR="003611E8" w:rsidRPr="005D74FA">
        <w:rPr>
          <w:sz w:val="24"/>
          <w:szCs w:val="24"/>
        </w:rPr>
        <w:t xml:space="preserve">janë të pajisura me pushtet </w:t>
      </w:r>
      <w:r w:rsidR="00FD3982" w:rsidRPr="005D74FA">
        <w:rPr>
          <w:sz w:val="24"/>
          <w:szCs w:val="24"/>
        </w:rPr>
        <w:t>për të vlerësuar thelbin e vendimmarrjes së autoritetit shtetëror</w:t>
      </w:r>
      <w:r w:rsidR="003611E8" w:rsidRPr="005D74FA">
        <w:rPr>
          <w:sz w:val="24"/>
          <w:szCs w:val="24"/>
        </w:rPr>
        <w:t>,</w:t>
      </w:r>
      <w:r w:rsidR="00FD3982" w:rsidRPr="005D74FA">
        <w:rPr>
          <w:sz w:val="24"/>
          <w:szCs w:val="24"/>
        </w:rPr>
        <w:t xml:space="preserve"> </w:t>
      </w:r>
      <w:r w:rsidR="003611E8" w:rsidRPr="005D74FA">
        <w:rPr>
          <w:sz w:val="24"/>
          <w:szCs w:val="24"/>
        </w:rPr>
        <w:t>të heqin kufizimin për pasjen e certifikatës së sigurisë, si dhe të shfuqizojnë, kur është rasti, një vendim arbitrar të autoritetit</w:t>
      </w:r>
      <w:r w:rsidR="00350E5D" w:rsidRPr="005D74FA">
        <w:rPr>
          <w:sz w:val="24"/>
          <w:szCs w:val="24"/>
        </w:rPr>
        <w:t xml:space="preserve">. Ato duhet të ushtrojnë pushtetin e tyre duke treguar kujdes në shqyrtimin e çështjeve të kësaj natyre, si për sa i përket </w:t>
      </w:r>
      <w:proofErr w:type="spellStart"/>
      <w:r w:rsidR="00350E5D" w:rsidRPr="005D74FA">
        <w:rPr>
          <w:sz w:val="24"/>
          <w:szCs w:val="24"/>
        </w:rPr>
        <w:t>konfidencialitetit</w:t>
      </w:r>
      <w:proofErr w:type="spellEnd"/>
      <w:r w:rsidR="00350E5D" w:rsidRPr="005D74FA">
        <w:rPr>
          <w:sz w:val="24"/>
          <w:szCs w:val="24"/>
        </w:rPr>
        <w:t xml:space="preserve"> të dokumenteve të klasifikuara, ashtu edhe të arsyeve të masës së dhënë ndaj kërkuesit, duke arsyetuar vendimmarrjen e tyre në varësi të rastit konkret</w:t>
      </w:r>
      <w:r w:rsidR="003611E8" w:rsidRPr="005D74FA">
        <w:rPr>
          <w:sz w:val="24"/>
          <w:szCs w:val="24"/>
        </w:rPr>
        <w:t xml:space="preserve"> </w:t>
      </w:r>
      <w:r w:rsidR="003611E8" w:rsidRPr="005D74FA">
        <w:rPr>
          <w:i/>
          <w:sz w:val="24"/>
          <w:szCs w:val="24"/>
        </w:rPr>
        <w:t xml:space="preserve">(shih vendimin e GJEDNJ-së </w:t>
      </w:r>
      <w:proofErr w:type="spellStart"/>
      <w:r w:rsidR="003611E8" w:rsidRPr="005D74FA">
        <w:rPr>
          <w:i/>
          <w:sz w:val="24"/>
          <w:szCs w:val="24"/>
        </w:rPr>
        <w:t>Regner</w:t>
      </w:r>
      <w:proofErr w:type="spellEnd"/>
      <w:r w:rsidR="003611E8" w:rsidRPr="005D74FA">
        <w:rPr>
          <w:i/>
          <w:sz w:val="24"/>
          <w:szCs w:val="24"/>
        </w:rPr>
        <w:t xml:space="preserve"> k. Republikës Çeke,</w:t>
      </w:r>
      <w:r w:rsidR="003611E8" w:rsidRPr="005D74FA">
        <w:rPr>
          <w:sz w:val="24"/>
          <w:szCs w:val="24"/>
        </w:rPr>
        <w:t xml:space="preserve"> </w:t>
      </w:r>
      <w:r w:rsidR="00350E5D" w:rsidRPr="005D74FA">
        <w:rPr>
          <w:i/>
          <w:sz w:val="24"/>
          <w:szCs w:val="24"/>
        </w:rPr>
        <w:t>datë 19.09.2017, §</w:t>
      </w:r>
      <w:r w:rsidR="0090015B" w:rsidRPr="005D74FA">
        <w:rPr>
          <w:i/>
          <w:sz w:val="24"/>
          <w:szCs w:val="24"/>
        </w:rPr>
        <w:t>§</w:t>
      </w:r>
      <w:r w:rsidR="00350E5D" w:rsidRPr="005D74FA">
        <w:rPr>
          <w:i/>
          <w:sz w:val="24"/>
          <w:szCs w:val="24"/>
        </w:rPr>
        <w:t xml:space="preserve"> 15</w:t>
      </w:r>
      <w:r w:rsidR="00B30E1E" w:rsidRPr="005D74FA">
        <w:rPr>
          <w:i/>
          <w:sz w:val="24"/>
          <w:szCs w:val="24"/>
        </w:rPr>
        <w:t>3</w:t>
      </w:r>
      <w:r w:rsidR="00350E5D" w:rsidRPr="005D74FA">
        <w:rPr>
          <w:i/>
          <w:sz w:val="24"/>
          <w:szCs w:val="24"/>
        </w:rPr>
        <w:t>, 154</w:t>
      </w:r>
      <w:r w:rsidR="003611E8" w:rsidRPr="005D74FA">
        <w:rPr>
          <w:i/>
          <w:sz w:val="24"/>
          <w:szCs w:val="24"/>
        </w:rPr>
        <w:t>)</w:t>
      </w:r>
      <w:r w:rsidR="003611E8" w:rsidRPr="005D74FA">
        <w:rPr>
          <w:sz w:val="24"/>
          <w:szCs w:val="24"/>
        </w:rPr>
        <w:t>.</w:t>
      </w:r>
    </w:p>
    <w:p w:rsidR="00BA22C1" w:rsidRPr="005D74FA" w:rsidRDefault="00BA22C1" w:rsidP="00BA22C1">
      <w:pPr>
        <w:pStyle w:val="ListParagraph"/>
        <w:numPr>
          <w:ilvl w:val="0"/>
          <w:numId w:val="1"/>
        </w:numPr>
        <w:tabs>
          <w:tab w:val="left" w:pos="1080"/>
        </w:tabs>
        <w:spacing w:line="360" w:lineRule="auto"/>
        <w:ind w:left="0" w:firstLine="720"/>
        <w:rPr>
          <w:sz w:val="24"/>
          <w:szCs w:val="24"/>
        </w:rPr>
      </w:pPr>
      <w:r w:rsidRPr="005D74FA">
        <w:rPr>
          <w:sz w:val="24"/>
          <w:szCs w:val="24"/>
        </w:rPr>
        <w:t>Sipas GJEDNJ-së, është thelbësore që shtetet të kenë një hapësirë vlerësimi në lidhje me mjetet e përdorura për garantimin e sigurisë dhe rendit në një kontekst të vështirë siç është burgu. Megjithatë, “drejtësia nuk përfundon në dyert e burgut</w:t>
      </w:r>
      <w:r w:rsidR="00DD2973" w:rsidRPr="005D74FA">
        <w:rPr>
          <w:sz w:val="24"/>
          <w:szCs w:val="24"/>
        </w:rPr>
        <w:t>”</w:t>
      </w:r>
      <w:r w:rsidRPr="005D74FA">
        <w:rPr>
          <w:sz w:val="24"/>
          <w:szCs w:val="24"/>
        </w:rPr>
        <w:t xml:space="preserve"> dhe të burgosurve nuk duhet t’u mohohen garancitë e nenit 6 të KEDNJ-së. Çdo kufizim i këtyre të drejtave duhet t’i nënshtrohet kontrollit gjyqësor </w:t>
      </w:r>
      <w:r w:rsidR="00270C89" w:rsidRPr="005D74FA">
        <w:rPr>
          <w:sz w:val="24"/>
          <w:szCs w:val="24"/>
        </w:rPr>
        <w:t xml:space="preserve">[...] </w:t>
      </w:r>
      <w:r w:rsidRPr="005D74FA">
        <w:rPr>
          <w:sz w:val="24"/>
          <w:szCs w:val="24"/>
        </w:rPr>
        <w:t>me qëllim</w:t>
      </w:r>
      <w:r w:rsidR="00FB7C3D" w:rsidRPr="005D74FA">
        <w:rPr>
          <w:sz w:val="24"/>
          <w:szCs w:val="24"/>
        </w:rPr>
        <w:t xml:space="preserve"> që</w:t>
      </w:r>
      <w:r w:rsidRPr="005D74FA">
        <w:rPr>
          <w:sz w:val="24"/>
          <w:szCs w:val="24"/>
        </w:rPr>
        <w:t xml:space="preserve"> të arrihet një ekuilibër i drejtë mes </w:t>
      </w:r>
      <w:r w:rsidR="00270C89" w:rsidRPr="005D74FA">
        <w:rPr>
          <w:sz w:val="24"/>
          <w:szCs w:val="24"/>
        </w:rPr>
        <w:t>detyrimeve</w:t>
      </w:r>
      <w:r w:rsidRPr="005D74FA">
        <w:rPr>
          <w:sz w:val="24"/>
          <w:szCs w:val="24"/>
        </w:rPr>
        <w:t xml:space="preserve"> me të cilat përballet shteti në kontekstin e burgjeve</w:t>
      </w:r>
      <w:r w:rsidR="00FB7C3D" w:rsidRPr="005D74FA">
        <w:rPr>
          <w:sz w:val="24"/>
          <w:szCs w:val="24"/>
        </w:rPr>
        <w:t>,</w:t>
      </w:r>
      <w:r w:rsidRPr="005D74FA">
        <w:rPr>
          <w:sz w:val="24"/>
          <w:szCs w:val="24"/>
        </w:rPr>
        <w:t xml:space="preserve"> nga njëra anë</w:t>
      </w:r>
      <w:r w:rsidR="00FB7C3D" w:rsidRPr="005D74FA">
        <w:rPr>
          <w:sz w:val="24"/>
          <w:szCs w:val="24"/>
        </w:rPr>
        <w:t>,</w:t>
      </w:r>
      <w:r w:rsidRPr="005D74FA">
        <w:rPr>
          <w:sz w:val="24"/>
          <w:szCs w:val="24"/>
        </w:rPr>
        <w:t xml:space="preserve"> dhe mbrojtjes së të drejtave të </w:t>
      </w:r>
      <w:proofErr w:type="spellStart"/>
      <w:r w:rsidRPr="005D74FA">
        <w:rPr>
          <w:sz w:val="24"/>
          <w:szCs w:val="24"/>
        </w:rPr>
        <w:t>të</w:t>
      </w:r>
      <w:proofErr w:type="spellEnd"/>
      <w:r w:rsidRPr="005D74FA">
        <w:rPr>
          <w:sz w:val="24"/>
          <w:szCs w:val="24"/>
        </w:rPr>
        <w:t xml:space="preserve"> burgosurve</w:t>
      </w:r>
      <w:r w:rsidR="00FB7C3D" w:rsidRPr="005D74FA">
        <w:rPr>
          <w:sz w:val="24"/>
          <w:szCs w:val="24"/>
        </w:rPr>
        <w:t>,</w:t>
      </w:r>
      <w:r w:rsidRPr="005D74FA">
        <w:rPr>
          <w:sz w:val="24"/>
          <w:szCs w:val="24"/>
        </w:rPr>
        <w:t xml:space="preserve"> nga ana tjetër </w:t>
      </w:r>
      <w:r w:rsidRPr="005D74FA">
        <w:rPr>
          <w:i/>
          <w:sz w:val="24"/>
          <w:szCs w:val="24"/>
        </w:rPr>
        <w:t xml:space="preserve">(shih </w:t>
      </w:r>
      <w:r w:rsidR="001D73F9" w:rsidRPr="005D74FA">
        <w:rPr>
          <w:i/>
          <w:sz w:val="24"/>
          <w:szCs w:val="24"/>
        </w:rPr>
        <w:t xml:space="preserve">vendimin e GJEDNJ-së </w:t>
      </w:r>
      <w:proofErr w:type="spellStart"/>
      <w:r w:rsidRPr="005D74FA">
        <w:rPr>
          <w:i/>
          <w:sz w:val="24"/>
          <w:szCs w:val="24"/>
        </w:rPr>
        <w:t>Enea</w:t>
      </w:r>
      <w:proofErr w:type="spellEnd"/>
      <w:r w:rsidRPr="005D74FA">
        <w:rPr>
          <w:i/>
          <w:sz w:val="24"/>
          <w:szCs w:val="24"/>
        </w:rPr>
        <w:t xml:space="preserve"> </w:t>
      </w:r>
      <w:r w:rsidR="00D4479B" w:rsidRPr="005D74FA">
        <w:rPr>
          <w:i/>
          <w:sz w:val="24"/>
          <w:szCs w:val="24"/>
        </w:rPr>
        <w:t>k</w:t>
      </w:r>
      <w:r w:rsidRPr="005D74FA">
        <w:rPr>
          <w:i/>
          <w:sz w:val="24"/>
          <w:szCs w:val="24"/>
        </w:rPr>
        <w:t xml:space="preserve">. </w:t>
      </w:r>
      <w:r w:rsidR="00D4479B" w:rsidRPr="005D74FA">
        <w:rPr>
          <w:i/>
          <w:sz w:val="24"/>
          <w:szCs w:val="24"/>
        </w:rPr>
        <w:t>Italisë</w:t>
      </w:r>
      <w:r w:rsidRPr="005D74FA">
        <w:rPr>
          <w:i/>
          <w:sz w:val="24"/>
          <w:szCs w:val="24"/>
        </w:rPr>
        <w:t xml:space="preserve">, </w:t>
      </w:r>
      <w:r w:rsidR="00270C89" w:rsidRPr="005D74FA">
        <w:rPr>
          <w:i/>
          <w:sz w:val="24"/>
          <w:szCs w:val="24"/>
        </w:rPr>
        <w:t xml:space="preserve">datë </w:t>
      </w:r>
      <w:r w:rsidRPr="005D74FA">
        <w:rPr>
          <w:i/>
          <w:sz w:val="24"/>
          <w:szCs w:val="24"/>
        </w:rPr>
        <w:t xml:space="preserve">17.09.2009, </w:t>
      </w:r>
      <w:r w:rsidR="00116DE5" w:rsidRPr="005D74FA">
        <w:rPr>
          <w:i/>
          <w:sz w:val="24"/>
          <w:szCs w:val="24"/>
        </w:rPr>
        <w:t>§§</w:t>
      </w:r>
      <w:r w:rsidRPr="005D74FA">
        <w:rPr>
          <w:i/>
          <w:sz w:val="24"/>
          <w:szCs w:val="24"/>
        </w:rPr>
        <w:t xml:space="preserve"> </w:t>
      </w:r>
      <w:r w:rsidR="000768BC" w:rsidRPr="005D74FA">
        <w:rPr>
          <w:i/>
          <w:sz w:val="24"/>
          <w:szCs w:val="24"/>
        </w:rPr>
        <w:t>105</w:t>
      </w:r>
      <w:r w:rsidR="004018FF" w:rsidRPr="005D74FA">
        <w:rPr>
          <w:i/>
          <w:sz w:val="24"/>
          <w:szCs w:val="24"/>
        </w:rPr>
        <w:t>-106</w:t>
      </w:r>
      <w:r w:rsidRPr="005D74FA">
        <w:rPr>
          <w:i/>
          <w:sz w:val="24"/>
          <w:szCs w:val="24"/>
        </w:rPr>
        <w:t>)</w:t>
      </w:r>
      <w:r w:rsidR="004018FF" w:rsidRPr="005D74FA">
        <w:rPr>
          <w:sz w:val="24"/>
          <w:szCs w:val="24"/>
        </w:rPr>
        <w:t>.</w:t>
      </w:r>
    </w:p>
    <w:p w:rsidR="00922BA1" w:rsidRPr="005D74FA" w:rsidRDefault="001601CD" w:rsidP="00E31D29">
      <w:pPr>
        <w:pStyle w:val="ListParagraph"/>
        <w:numPr>
          <w:ilvl w:val="0"/>
          <w:numId w:val="1"/>
        </w:numPr>
        <w:tabs>
          <w:tab w:val="left" w:pos="1080"/>
        </w:tabs>
        <w:spacing w:line="360" w:lineRule="auto"/>
        <w:ind w:left="0" w:firstLine="720"/>
        <w:rPr>
          <w:sz w:val="24"/>
          <w:szCs w:val="24"/>
        </w:rPr>
      </w:pPr>
      <w:r w:rsidRPr="005D74FA">
        <w:rPr>
          <w:sz w:val="24"/>
          <w:szCs w:val="24"/>
        </w:rPr>
        <w:t>GJEDNJ-ja ka theksuar, gjithashtu, se a</w:t>
      </w:r>
      <w:r w:rsidR="00616325" w:rsidRPr="005D74FA">
        <w:rPr>
          <w:sz w:val="24"/>
          <w:szCs w:val="24"/>
        </w:rPr>
        <w:t xml:space="preserve">utoritetet shtetërore nuk mund t’i shmangen kontrollit efektiv </w:t>
      </w:r>
      <w:r w:rsidR="007142B6" w:rsidRPr="005D74FA">
        <w:rPr>
          <w:sz w:val="24"/>
          <w:szCs w:val="24"/>
        </w:rPr>
        <w:t xml:space="preserve">të akteve të tyre </w:t>
      </w:r>
      <w:r w:rsidR="00616325" w:rsidRPr="005D74FA">
        <w:rPr>
          <w:sz w:val="24"/>
          <w:szCs w:val="24"/>
        </w:rPr>
        <w:t>nga gjykatat</w:t>
      </w:r>
      <w:r w:rsidR="00833772" w:rsidRPr="005D74FA">
        <w:rPr>
          <w:sz w:val="24"/>
          <w:szCs w:val="24"/>
        </w:rPr>
        <w:t>,</w:t>
      </w:r>
      <w:r w:rsidR="00616325" w:rsidRPr="005D74FA">
        <w:rPr>
          <w:sz w:val="24"/>
          <w:szCs w:val="24"/>
        </w:rPr>
        <w:t xml:space="preserve"> duke pretenduar </w:t>
      </w:r>
      <w:r w:rsidR="007142B6" w:rsidRPr="005D74FA">
        <w:rPr>
          <w:sz w:val="24"/>
          <w:szCs w:val="24"/>
        </w:rPr>
        <w:t>se bëhet fjalë për çështje të</w:t>
      </w:r>
      <w:r w:rsidR="00616325" w:rsidRPr="005D74FA">
        <w:rPr>
          <w:sz w:val="24"/>
          <w:szCs w:val="24"/>
        </w:rPr>
        <w:t xml:space="preserve"> sigurisë kombëtare ose </w:t>
      </w:r>
      <w:r w:rsidR="007142B6" w:rsidRPr="005D74FA">
        <w:rPr>
          <w:sz w:val="24"/>
          <w:szCs w:val="24"/>
        </w:rPr>
        <w:t>terrorizmit</w:t>
      </w:r>
      <w:r w:rsidR="00616325" w:rsidRPr="005D74FA">
        <w:rPr>
          <w:sz w:val="24"/>
          <w:szCs w:val="24"/>
        </w:rPr>
        <w:t xml:space="preserve">, pasi ekzistojnë teknika që mund të përdoren, të cilat </w:t>
      </w:r>
      <w:r w:rsidR="00F03890" w:rsidRPr="005D74FA">
        <w:rPr>
          <w:sz w:val="24"/>
          <w:szCs w:val="24"/>
        </w:rPr>
        <w:t xml:space="preserve">marrin parasysh </w:t>
      </w:r>
      <w:r w:rsidR="007142B6" w:rsidRPr="005D74FA">
        <w:rPr>
          <w:sz w:val="24"/>
          <w:szCs w:val="24"/>
        </w:rPr>
        <w:t xml:space="preserve">shqetësimet e </w:t>
      </w:r>
      <w:r w:rsidR="00F03890" w:rsidRPr="005D74FA">
        <w:rPr>
          <w:sz w:val="24"/>
          <w:szCs w:val="24"/>
        </w:rPr>
        <w:t xml:space="preserve">tyre të </w:t>
      </w:r>
      <w:r w:rsidR="007142B6" w:rsidRPr="005D74FA">
        <w:rPr>
          <w:sz w:val="24"/>
          <w:szCs w:val="24"/>
        </w:rPr>
        <w:t>ligjshme për natyrën dhe burimet e informacionit të inteligjencës,</w:t>
      </w:r>
      <w:r w:rsidR="00C46AFD" w:rsidRPr="005D74FA">
        <w:rPr>
          <w:sz w:val="24"/>
          <w:szCs w:val="24"/>
        </w:rPr>
        <w:t xml:space="preserve"> duke garantuar njëkohësisht edhe </w:t>
      </w:r>
      <w:r w:rsidR="00833772" w:rsidRPr="005D74FA">
        <w:rPr>
          <w:sz w:val="24"/>
          <w:szCs w:val="24"/>
        </w:rPr>
        <w:t>të drejtat</w:t>
      </w:r>
      <w:r w:rsidR="00F03890" w:rsidRPr="005D74FA">
        <w:rPr>
          <w:sz w:val="24"/>
          <w:szCs w:val="24"/>
        </w:rPr>
        <w:t xml:space="preserve"> procedurale të </w:t>
      </w:r>
      <w:r w:rsidR="007142B6" w:rsidRPr="005D74FA">
        <w:rPr>
          <w:sz w:val="24"/>
          <w:szCs w:val="24"/>
        </w:rPr>
        <w:t>individit</w:t>
      </w:r>
      <w:r w:rsidR="00F03890" w:rsidRPr="005D74FA">
        <w:rPr>
          <w:sz w:val="24"/>
          <w:szCs w:val="24"/>
        </w:rPr>
        <w:t xml:space="preserve"> </w:t>
      </w:r>
      <w:r w:rsidR="007142B6" w:rsidRPr="005D74FA">
        <w:rPr>
          <w:i/>
          <w:sz w:val="24"/>
          <w:szCs w:val="24"/>
        </w:rPr>
        <w:t xml:space="preserve">(shih </w:t>
      </w:r>
      <w:r w:rsidRPr="005D74FA">
        <w:rPr>
          <w:i/>
          <w:sz w:val="24"/>
          <w:szCs w:val="24"/>
        </w:rPr>
        <w:t>vendimet</w:t>
      </w:r>
      <w:r w:rsidR="007142B6" w:rsidRPr="005D74FA">
        <w:rPr>
          <w:i/>
          <w:sz w:val="24"/>
          <w:szCs w:val="24"/>
        </w:rPr>
        <w:t xml:space="preserve"> e GJEDNJ-së </w:t>
      </w:r>
      <w:proofErr w:type="spellStart"/>
      <w:r w:rsidR="007142B6" w:rsidRPr="005D74FA">
        <w:rPr>
          <w:i/>
          <w:iCs/>
          <w:sz w:val="24"/>
          <w:szCs w:val="24"/>
        </w:rPr>
        <w:t>Dağtekin</w:t>
      </w:r>
      <w:proofErr w:type="spellEnd"/>
      <w:r w:rsidR="007142B6" w:rsidRPr="005D74FA">
        <w:rPr>
          <w:i/>
          <w:iCs/>
          <w:sz w:val="24"/>
          <w:szCs w:val="24"/>
        </w:rPr>
        <w:t xml:space="preserve"> </w:t>
      </w:r>
      <w:r w:rsidR="008914DB" w:rsidRPr="005D74FA">
        <w:rPr>
          <w:i/>
          <w:iCs/>
          <w:sz w:val="24"/>
          <w:szCs w:val="24"/>
        </w:rPr>
        <w:t>dhe të tjerë</w:t>
      </w:r>
      <w:r w:rsidR="007142B6" w:rsidRPr="005D74FA">
        <w:rPr>
          <w:i/>
          <w:iCs/>
          <w:sz w:val="24"/>
          <w:szCs w:val="24"/>
        </w:rPr>
        <w:t xml:space="preserve"> </w:t>
      </w:r>
      <w:r w:rsidR="00316121" w:rsidRPr="005D74FA">
        <w:rPr>
          <w:i/>
          <w:iCs/>
          <w:sz w:val="24"/>
          <w:szCs w:val="24"/>
        </w:rPr>
        <w:t>k. Turqisë</w:t>
      </w:r>
      <w:r w:rsidR="007142B6" w:rsidRPr="005D74FA">
        <w:rPr>
          <w:i/>
          <w:sz w:val="24"/>
          <w:szCs w:val="24"/>
        </w:rPr>
        <w:t xml:space="preserve">, </w:t>
      </w:r>
      <w:r w:rsidR="00C46AFD" w:rsidRPr="005D74FA">
        <w:rPr>
          <w:i/>
          <w:sz w:val="24"/>
          <w:szCs w:val="24"/>
        </w:rPr>
        <w:t xml:space="preserve">datë </w:t>
      </w:r>
      <w:r w:rsidR="007142B6" w:rsidRPr="005D74FA">
        <w:rPr>
          <w:i/>
          <w:sz w:val="24"/>
          <w:szCs w:val="24"/>
        </w:rPr>
        <w:t xml:space="preserve">13.12.2007, </w:t>
      </w:r>
      <w:r w:rsidR="00116DE5" w:rsidRPr="005D74FA">
        <w:rPr>
          <w:i/>
          <w:sz w:val="24"/>
          <w:szCs w:val="24"/>
        </w:rPr>
        <w:t>§§</w:t>
      </w:r>
      <w:r w:rsidR="007142B6" w:rsidRPr="005D74FA">
        <w:rPr>
          <w:i/>
          <w:sz w:val="24"/>
          <w:szCs w:val="24"/>
        </w:rPr>
        <w:t xml:space="preserve"> 34</w:t>
      </w:r>
      <w:r w:rsidR="00F03890" w:rsidRPr="005D74FA">
        <w:rPr>
          <w:i/>
          <w:sz w:val="24"/>
          <w:szCs w:val="24"/>
        </w:rPr>
        <w:t xml:space="preserve">-35; </w:t>
      </w:r>
      <w:proofErr w:type="spellStart"/>
      <w:r w:rsidR="00F03890" w:rsidRPr="005D74FA">
        <w:rPr>
          <w:i/>
          <w:sz w:val="24"/>
          <w:szCs w:val="24"/>
        </w:rPr>
        <w:t>Chahal</w:t>
      </w:r>
      <w:proofErr w:type="spellEnd"/>
      <w:r w:rsidR="00F03890" w:rsidRPr="005D74FA">
        <w:rPr>
          <w:i/>
          <w:sz w:val="24"/>
          <w:szCs w:val="24"/>
        </w:rPr>
        <w:t xml:space="preserve"> </w:t>
      </w:r>
      <w:r w:rsidR="00FA52F7" w:rsidRPr="005D74FA">
        <w:rPr>
          <w:i/>
          <w:sz w:val="24"/>
          <w:szCs w:val="24"/>
        </w:rPr>
        <w:t>k</w:t>
      </w:r>
      <w:r w:rsidR="00F03890" w:rsidRPr="005D74FA">
        <w:rPr>
          <w:i/>
          <w:sz w:val="24"/>
          <w:szCs w:val="24"/>
        </w:rPr>
        <w:t xml:space="preserve">. </w:t>
      </w:r>
      <w:r w:rsidR="00750CC9" w:rsidRPr="005D74FA">
        <w:rPr>
          <w:i/>
          <w:sz w:val="24"/>
          <w:szCs w:val="24"/>
        </w:rPr>
        <w:t>Mbretërisë së Bashkuar</w:t>
      </w:r>
      <w:r w:rsidR="00F03890" w:rsidRPr="005D74FA">
        <w:rPr>
          <w:i/>
          <w:sz w:val="24"/>
          <w:szCs w:val="24"/>
        </w:rPr>
        <w:t xml:space="preserve">, datë 15.11.1996, </w:t>
      </w:r>
      <w:r w:rsidR="00116DE5" w:rsidRPr="005D74FA">
        <w:rPr>
          <w:i/>
          <w:sz w:val="24"/>
          <w:szCs w:val="24"/>
        </w:rPr>
        <w:t>§</w:t>
      </w:r>
      <w:r w:rsidR="00F03890" w:rsidRPr="005D74FA">
        <w:rPr>
          <w:i/>
          <w:sz w:val="24"/>
          <w:szCs w:val="24"/>
        </w:rPr>
        <w:t xml:space="preserve"> 131).</w:t>
      </w:r>
    </w:p>
    <w:p w:rsidR="002B1866" w:rsidRPr="005D74FA" w:rsidRDefault="005B63F1" w:rsidP="00063BC2">
      <w:pPr>
        <w:pStyle w:val="ListParagraph"/>
        <w:numPr>
          <w:ilvl w:val="0"/>
          <w:numId w:val="1"/>
        </w:numPr>
        <w:tabs>
          <w:tab w:val="left" w:pos="1080"/>
        </w:tabs>
        <w:spacing w:line="360" w:lineRule="auto"/>
        <w:ind w:left="0" w:firstLine="720"/>
        <w:rPr>
          <w:sz w:val="24"/>
          <w:szCs w:val="24"/>
        </w:rPr>
      </w:pPr>
      <w:r w:rsidRPr="005D74FA">
        <w:rPr>
          <w:sz w:val="24"/>
          <w:szCs w:val="24"/>
        </w:rPr>
        <w:t>Duke iu rikthyer rastit konkret, Gjykata vëren se n</w:t>
      </w:r>
      <w:r w:rsidR="007B728C" w:rsidRPr="005D74FA">
        <w:rPr>
          <w:sz w:val="24"/>
          <w:szCs w:val="24"/>
        </w:rPr>
        <w:t>ga materialet e dosjes gjyqësore</w:t>
      </w:r>
      <w:r w:rsidR="00A13880" w:rsidRPr="005D74FA">
        <w:rPr>
          <w:sz w:val="24"/>
          <w:szCs w:val="24"/>
        </w:rPr>
        <w:t xml:space="preserve"> </w:t>
      </w:r>
      <w:r w:rsidR="007B728C" w:rsidRPr="005D74FA">
        <w:rPr>
          <w:sz w:val="24"/>
          <w:szCs w:val="24"/>
        </w:rPr>
        <w:t>rezulton se gjatë gjykimit të çështjes në Gjykatën e Posaçme të Shkallës së Parë</w:t>
      </w:r>
      <w:r w:rsidR="00EA04E9" w:rsidRPr="005D74FA">
        <w:rPr>
          <w:sz w:val="24"/>
          <w:szCs w:val="24"/>
        </w:rPr>
        <w:t>,</w:t>
      </w:r>
      <w:r w:rsidR="007B728C" w:rsidRPr="005D74FA">
        <w:rPr>
          <w:sz w:val="24"/>
          <w:szCs w:val="24"/>
        </w:rPr>
        <w:t xml:space="preserve"> mbrojtësit e kërkuesit kanë kërkuar të njihen me përmbajtjen e shkresave të klasifikuara “sekret” dhe “i kufizuar”, të cituara në urdhrin nr. 253/2020 të ministrit të Drejtësisë </w:t>
      </w:r>
      <w:r w:rsidR="007B728C" w:rsidRPr="005D74FA">
        <w:rPr>
          <w:i/>
          <w:sz w:val="24"/>
          <w:szCs w:val="24"/>
        </w:rPr>
        <w:t xml:space="preserve">(shih </w:t>
      </w:r>
      <w:r w:rsidR="00D71EA4" w:rsidRPr="005D74FA">
        <w:rPr>
          <w:i/>
          <w:sz w:val="24"/>
          <w:szCs w:val="24"/>
        </w:rPr>
        <w:t xml:space="preserve">faqet </w:t>
      </w:r>
      <w:r w:rsidR="007B728C" w:rsidRPr="005D74FA">
        <w:rPr>
          <w:i/>
          <w:sz w:val="24"/>
          <w:szCs w:val="24"/>
        </w:rPr>
        <w:t>108-110 të dosjes gjyqësore)</w:t>
      </w:r>
      <w:r w:rsidR="007B728C" w:rsidRPr="005D74FA">
        <w:rPr>
          <w:sz w:val="24"/>
          <w:szCs w:val="24"/>
        </w:rPr>
        <w:t xml:space="preserve">. </w:t>
      </w:r>
    </w:p>
    <w:p w:rsidR="0082779A" w:rsidRPr="005D74FA" w:rsidRDefault="003233BA" w:rsidP="00063BC2">
      <w:pPr>
        <w:pStyle w:val="ListParagraph"/>
        <w:numPr>
          <w:ilvl w:val="0"/>
          <w:numId w:val="1"/>
        </w:numPr>
        <w:tabs>
          <w:tab w:val="left" w:pos="1080"/>
        </w:tabs>
        <w:spacing w:line="360" w:lineRule="auto"/>
        <w:ind w:left="0" w:firstLine="720"/>
        <w:rPr>
          <w:sz w:val="24"/>
          <w:szCs w:val="24"/>
        </w:rPr>
      </w:pPr>
      <w:r w:rsidRPr="005D74FA">
        <w:rPr>
          <w:sz w:val="24"/>
          <w:szCs w:val="24"/>
        </w:rPr>
        <w:t>N</w:t>
      </w:r>
      <w:r w:rsidR="00DE0D33" w:rsidRPr="005D74FA">
        <w:rPr>
          <w:sz w:val="24"/>
          <w:szCs w:val="24"/>
        </w:rPr>
        <w:t xml:space="preserve">ë referim të procesverbaleve të seancave gjyqësore të zhvilluara në </w:t>
      </w:r>
      <w:r w:rsidR="003D46A0" w:rsidRPr="005D74FA">
        <w:rPr>
          <w:sz w:val="24"/>
          <w:szCs w:val="24"/>
        </w:rPr>
        <w:t>këtë gjykatë,</w:t>
      </w:r>
      <w:r w:rsidR="00DE0D33" w:rsidRPr="005D74FA">
        <w:rPr>
          <w:sz w:val="24"/>
          <w:szCs w:val="24"/>
        </w:rPr>
        <w:t xml:space="preserve"> </w:t>
      </w:r>
      <w:r w:rsidR="0013788C" w:rsidRPr="005D74FA">
        <w:rPr>
          <w:sz w:val="24"/>
          <w:szCs w:val="24"/>
        </w:rPr>
        <w:t xml:space="preserve">rezulton se </w:t>
      </w:r>
      <w:r w:rsidRPr="005D74FA">
        <w:rPr>
          <w:sz w:val="24"/>
          <w:szCs w:val="24"/>
        </w:rPr>
        <w:t xml:space="preserve">në seancën e datës 06.10.2020 gjyqtarja </w:t>
      </w:r>
      <w:r w:rsidR="00223529" w:rsidRPr="005D74FA">
        <w:rPr>
          <w:sz w:val="24"/>
          <w:szCs w:val="24"/>
        </w:rPr>
        <w:t xml:space="preserve">e çështjes </w:t>
      </w:r>
      <w:r w:rsidRPr="005D74FA">
        <w:rPr>
          <w:sz w:val="24"/>
          <w:szCs w:val="24"/>
        </w:rPr>
        <w:t xml:space="preserve">ka </w:t>
      </w:r>
      <w:r w:rsidR="003F0ACE" w:rsidRPr="005D74FA">
        <w:rPr>
          <w:sz w:val="24"/>
          <w:szCs w:val="24"/>
        </w:rPr>
        <w:t xml:space="preserve">çmuar se ishte e </w:t>
      </w:r>
      <w:r w:rsidRPr="005D74FA">
        <w:rPr>
          <w:sz w:val="24"/>
          <w:szCs w:val="24"/>
        </w:rPr>
        <w:t xml:space="preserve">nevojshme </w:t>
      </w:r>
      <w:r w:rsidR="003F0ACE" w:rsidRPr="005D74FA">
        <w:rPr>
          <w:sz w:val="24"/>
          <w:szCs w:val="24"/>
        </w:rPr>
        <w:t xml:space="preserve">të tërhiqej dosja mbi të cilën është mbështetur </w:t>
      </w:r>
      <w:r w:rsidRPr="005D74FA">
        <w:rPr>
          <w:sz w:val="24"/>
          <w:szCs w:val="24"/>
        </w:rPr>
        <w:t>urdhri</w:t>
      </w:r>
      <w:r w:rsidR="00141D8A" w:rsidRPr="005D74FA">
        <w:rPr>
          <w:sz w:val="24"/>
          <w:szCs w:val="24"/>
        </w:rPr>
        <w:t xml:space="preserve"> nr. 253/2020 i</w:t>
      </w:r>
      <w:r w:rsidRPr="005D74FA">
        <w:rPr>
          <w:sz w:val="24"/>
          <w:szCs w:val="24"/>
        </w:rPr>
        <w:t xml:space="preserve"> ministrit të Drejtësisë</w:t>
      </w:r>
      <w:r w:rsidR="00652838" w:rsidRPr="005D74FA">
        <w:rPr>
          <w:sz w:val="24"/>
          <w:szCs w:val="24"/>
        </w:rPr>
        <w:t xml:space="preserve"> për vënien e kërkuesit në regjimin e posaçëm të sigurisë në burg</w:t>
      </w:r>
      <w:r w:rsidR="00A70692" w:rsidRPr="005D74FA">
        <w:rPr>
          <w:sz w:val="24"/>
          <w:szCs w:val="24"/>
        </w:rPr>
        <w:t xml:space="preserve"> </w:t>
      </w:r>
      <w:r w:rsidR="00652838" w:rsidRPr="005D74FA">
        <w:rPr>
          <w:i/>
          <w:sz w:val="24"/>
          <w:szCs w:val="24"/>
        </w:rPr>
        <w:t>(shih procesverbali</w:t>
      </w:r>
      <w:r w:rsidR="006F67FD" w:rsidRPr="005D74FA">
        <w:rPr>
          <w:i/>
          <w:sz w:val="24"/>
          <w:szCs w:val="24"/>
        </w:rPr>
        <w:t>n</w:t>
      </w:r>
      <w:r w:rsidR="00652838" w:rsidRPr="005D74FA">
        <w:rPr>
          <w:i/>
          <w:sz w:val="24"/>
          <w:szCs w:val="24"/>
        </w:rPr>
        <w:t xml:space="preserve"> </w:t>
      </w:r>
      <w:r w:rsidR="006F67FD" w:rsidRPr="005D74FA">
        <w:rPr>
          <w:i/>
          <w:sz w:val="24"/>
          <w:szCs w:val="24"/>
        </w:rPr>
        <w:t>e</w:t>
      </w:r>
      <w:r w:rsidR="00652838" w:rsidRPr="005D74FA">
        <w:rPr>
          <w:i/>
          <w:sz w:val="24"/>
          <w:szCs w:val="24"/>
        </w:rPr>
        <w:t xml:space="preserve"> seancës</w:t>
      </w:r>
      <w:r w:rsidR="00A13880" w:rsidRPr="005D74FA">
        <w:rPr>
          <w:i/>
          <w:sz w:val="24"/>
          <w:szCs w:val="24"/>
        </w:rPr>
        <w:t xml:space="preserve"> së datës 06.10.2020</w:t>
      </w:r>
      <w:r w:rsidR="006F67FD" w:rsidRPr="005D74FA">
        <w:rPr>
          <w:i/>
          <w:sz w:val="24"/>
          <w:szCs w:val="24"/>
        </w:rPr>
        <w:t>, faq</w:t>
      </w:r>
      <w:r w:rsidR="00EA04E9" w:rsidRPr="005D74FA">
        <w:rPr>
          <w:i/>
          <w:sz w:val="24"/>
          <w:szCs w:val="24"/>
        </w:rPr>
        <w:t>ja</w:t>
      </w:r>
      <w:r w:rsidR="006F67FD" w:rsidRPr="005D74FA">
        <w:rPr>
          <w:i/>
          <w:sz w:val="24"/>
          <w:szCs w:val="24"/>
        </w:rPr>
        <w:t xml:space="preserve"> 1</w:t>
      </w:r>
      <w:r w:rsidR="00910F73" w:rsidRPr="005D74FA">
        <w:rPr>
          <w:i/>
          <w:sz w:val="24"/>
          <w:szCs w:val="24"/>
        </w:rPr>
        <w:t>1</w:t>
      </w:r>
      <w:r w:rsidR="00652838" w:rsidRPr="005D74FA">
        <w:rPr>
          <w:i/>
          <w:sz w:val="24"/>
          <w:szCs w:val="24"/>
        </w:rPr>
        <w:t>)</w:t>
      </w:r>
      <w:r w:rsidR="00652838" w:rsidRPr="005D74FA">
        <w:rPr>
          <w:sz w:val="24"/>
          <w:szCs w:val="24"/>
        </w:rPr>
        <w:t xml:space="preserve"> </w:t>
      </w:r>
      <w:r w:rsidR="00773B4B" w:rsidRPr="005D74FA">
        <w:rPr>
          <w:sz w:val="24"/>
          <w:szCs w:val="24"/>
        </w:rPr>
        <w:t xml:space="preserve">dhe i është </w:t>
      </w:r>
      <w:r w:rsidR="00652838" w:rsidRPr="005D74FA">
        <w:rPr>
          <w:sz w:val="24"/>
          <w:szCs w:val="24"/>
        </w:rPr>
        <w:t xml:space="preserve">drejtuar Ministrisë së Drejtësisë për vënien në dispozicion të </w:t>
      </w:r>
      <w:r w:rsidR="00773B4B" w:rsidRPr="005D74FA">
        <w:rPr>
          <w:sz w:val="24"/>
          <w:szCs w:val="24"/>
        </w:rPr>
        <w:t>kësaj praktike</w:t>
      </w:r>
      <w:r w:rsidR="00652838" w:rsidRPr="005D74FA">
        <w:rPr>
          <w:sz w:val="24"/>
          <w:szCs w:val="24"/>
        </w:rPr>
        <w:t xml:space="preserve">, duke i sjellë në vëmendje </w:t>
      </w:r>
      <w:r w:rsidR="0082779A" w:rsidRPr="005D74FA">
        <w:rPr>
          <w:sz w:val="24"/>
          <w:szCs w:val="24"/>
        </w:rPr>
        <w:t>respektimin e kufizimeve të vendosura në ligjin nr.</w:t>
      </w:r>
      <w:r w:rsidR="00E665C5" w:rsidRPr="005D74FA">
        <w:rPr>
          <w:sz w:val="24"/>
          <w:szCs w:val="24"/>
        </w:rPr>
        <w:t xml:space="preserve"> 8457/1999 në përcjelljen e saj. Kjo</w:t>
      </w:r>
      <w:r w:rsidR="0082779A" w:rsidRPr="005D74FA">
        <w:rPr>
          <w:sz w:val="24"/>
          <w:szCs w:val="24"/>
        </w:rPr>
        <w:t xml:space="preserve"> praktikë është vënë në dispozicion </w:t>
      </w:r>
      <w:r w:rsidR="00E665C5" w:rsidRPr="005D74FA">
        <w:rPr>
          <w:sz w:val="24"/>
          <w:szCs w:val="24"/>
        </w:rPr>
        <w:t xml:space="preserve">të gjykatës </w:t>
      </w:r>
      <w:r w:rsidR="0082779A" w:rsidRPr="005D74FA">
        <w:rPr>
          <w:sz w:val="24"/>
          <w:szCs w:val="24"/>
        </w:rPr>
        <w:t xml:space="preserve">me shkresën nr. 443/4 </w:t>
      </w:r>
      <w:proofErr w:type="spellStart"/>
      <w:r w:rsidR="0082779A" w:rsidRPr="005D74FA">
        <w:rPr>
          <w:sz w:val="24"/>
          <w:szCs w:val="24"/>
        </w:rPr>
        <w:t>prot</w:t>
      </w:r>
      <w:proofErr w:type="spellEnd"/>
      <w:r w:rsidR="0082779A" w:rsidRPr="005D74FA">
        <w:rPr>
          <w:sz w:val="24"/>
          <w:szCs w:val="24"/>
        </w:rPr>
        <w:t xml:space="preserve">., datë 27.10.2020 të Ministrisë së Drejtësisë, </w:t>
      </w:r>
      <w:r w:rsidR="00EA04E9" w:rsidRPr="005D74FA">
        <w:rPr>
          <w:sz w:val="24"/>
          <w:szCs w:val="24"/>
        </w:rPr>
        <w:t xml:space="preserve">gjithsej </w:t>
      </w:r>
      <w:r w:rsidR="00141D8A" w:rsidRPr="005D74FA">
        <w:rPr>
          <w:sz w:val="24"/>
          <w:szCs w:val="24"/>
        </w:rPr>
        <w:t>16 akte</w:t>
      </w:r>
      <w:r w:rsidR="0082779A" w:rsidRPr="005D74FA">
        <w:rPr>
          <w:sz w:val="24"/>
          <w:szCs w:val="24"/>
        </w:rPr>
        <w:t>, të cilat në përshkrimin e statusit të tyre përbënin “sekret” sipas ligjit nr. 8457/1999.</w:t>
      </w:r>
      <w:r w:rsidR="00773B4B" w:rsidRPr="005D74FA">
        <w:rPr>
          <w:sz w:val="24"/>
          <w:szCs w:val="24"/>
        </w:rPr>
        <w:t xml:space="preserve"> </w:t>
      </w:r>
      <w:r w:rsidR="0082779A" w:rsidRPr="005D74FA">
        <w:rPr>
          <w:sz w:val="24"/>
          <w:szCs w:val="24"/>
        </w:rPr>
        <w:t xml:space="preserve">Pas </w:t>
      </w:r>
      <w:r w:rsidR="00A70692" w:rsidRPr="005D74FA">
        <w:rPr>
          <w:sz w:val="24"/>
          <w:szCs w:val="24"/>
        </w:rPr>
        <w:t>kërkesës së</w:t>
      </w:r>
      <w:r w:rsidR="003B31A3" w:rsidRPr="005D74FA">
        <w:rPr>
          <w:sz w:val="24"/>
          <w:szCs w:val="24"/>
        </w:rPr>
        <w:t xml:space="preserve"> mbrojtësi</w:t>
      </w:r>
      <w:r w:rsidR="00A70692" w:rsidRPr="005D74FA">
        <w:rPr>
          <w:sz w:val="24"/>
          <w:szCs w:val="24"/>
        </w:rPr>
        <w:t>t</w:t>
      </w:r>
      <w:r w:rsidR="003B31A3" w:rsidRPr="005D74FA">
        <w:rPr>
          <w:sz w:val="24"/>
          <w:szCs w:val="24"/>
        </w:rPr>
        <w:t xml:space="preserve"> </w:t>
      </w:r>
      <w:r w:rsidR="00A70692" w:rsidRPr="005D74FA">
        <w:rPr>
          <w:sz w:val="24"/>
          <w:szCs w:val="24"/>
        </w:rPr>
        <w:t>të</w:t>
      </w:r>
      <w:r w:rsidR="00714BAE" w:rsidRPr="005D74FA">
        <w:rPr>
          <w:sz w:val="24"/>
          <w:szCs w:val="24"/>
        </w:rPr>
        <w:t xml:space="preserve"> kërkuesit </w:t>
      </w:r>
      <w:r w:rsidR="00141D8A" w:rsidRPr="005D74FA">
        <w:rPr>
          <w:sz w:val="24"/>
          <w:szCs w:val="24"/>
        </w:rPr>
        <w:t>që</w:t>
      </w:r>
      <w:r w:rsidR="00714BAE" w:rsidRPr="005D74FA">
        <w:rPr>
          <w:sz w:val="24"/>
          <w:szCs w:val="24"/>
        </w:rPr>
        <w:t xml:space="preserve"> gjyqtarja </w:t>
      </w:r>
      <w:r w:rsidR="00141D8A" w:rsidRPr="005D74FA">
        <w:rPr>
          <w:sz w:val="24"/>
          <w:szCs w:val="24"/>
        </w:rPr>
        <w:t xml:space="preserve">të konfirmonte nëse </w:t>
      </w:r>
      <w:r w:rsidR="00714BAE" w:rsidRPr="005D74FA">
        <w:rPr>
          <w:sz w:val="24"/>
          <w:szCs w:val="24"/>
        </w:rPr>
        <w:t xml:space="preserve">ishte e pajisur me certifikatën e sigurisë për vlerësimin e dokumentacionit të paraqitur nga Ministria e Drejtësisë dhe, nëse jo, t’i drejtohej Drejtorisë së Sigurimit të Informacionit të Klasifikuar për t’u pajisur me këtë certifikatë, Gjykata e Posaçme e Shkallës </w:t>
      </w:r>
      <w:r w:rsidR="00141D8A" w:rsidRPr="005D74FA">
        <w:rPr>
          <w:sz w:val="24"/>
          <w:szCs w:val="24"/>
        </w:rPr>
        <w:t xml:space="preserve">së Parë ka vendosur </w:t>
      </w:r>
      <w:r w:rsidR="00EA04E9" w:rsidRPr="005D74FA">
        <w:rPr>
          <w:sz w:val="24"/>
          <w:szCs w:val="24"/>
        </w:rPr>
        <w:t xml:space="preserve">t’ia </w:t>
      </w:r>
      <w:r w:rsidR="00141D8A" w:rsidRPr="005D74FA">
        <w:rPr>
          <w:sz w:val="24"/>
          <w:szCs w:val="24"/>
        </w:rPr>
        <w:t xml:space="preserve">kthejë </w:t>
      </w:r>
      <w:r w:rsidR="00EA04E9" w:rsidRPr="005D74FA">
        <w:rPr>
          <w:sz w:val="24"/>
          <w:szCs w:val="24"/>
        </w:rPr>
        <w:t xml:space="preserve">të </w:t>
      </w:r>
      <w:r w:rsidR="00714BAE" w:rsidRPr="005D74FA">
        <w:rPr>
          <w:sz w:val="24"/>
          <w:szCs w:val="24"/>
        </w:rPr>
        <w:t xml:space="preserve">gjitha aktet e përcjella </w:t>
      </w:r>
      <w:r w:rsidR="006F67FD" w:rsidRPr="005D74FA">
        <w:rPr>
          <w:sz w:val="24"/>
          <w:szCs w:val="24"/>
        </w:rPr>
        <w:t>për çështjen Ministri</w:t>
      </w:r>
      <w:r w:rsidR="00141D8A" w:rsidRPr="005D74FA">
        <w:rPr>
          <w:sz w:val="24"/>
          <w:szCs w:val="24"/>
        </w:rPr>
        <w:t>së</w:t>
      </w:r>
      <w:r w:rsidR="00714BAE" w:rsidRPr="005D74FA">
        <w:rPr>
          <w:sz w:val="24"/>
          <w:szCs w:val="24"/>
        </w:rPr>
        <w:t xml:space="preserve"> </w:t>
      </w:r>
      <w:r w:rsidR="00141D8A" w:rsidRPr="005D74FA">
        <w:rPr>
          <w:sz w:val="24"/>
          <w:szCs w:val="24"/>
        </w:rPr>
        <w:t>së</w:t>
      </w:r>
      <w:r w:rsidR="00714BAE" w:rsidRPr="005D74FA">
        <w:rPr>
          <w:sz w:val="24"/>
          <w:szCs w:val="24"/>
        </w:rPr>
        <w:t xml:space="preserve"> Drejtësisë, </w:t>
      </w:r>
      <w:r w:rsidR="00141D8A" w:rsidRPr="005D74FA">
        <w:rPr>
          <w:sz w:val="24"/>
          <w:szCs w:val="24"/>
        </w:rPr>
        <w:t>me arsyetimin</w:t>
      </w:r>
      <w:r w:rsidR="009A3A60" w:rsidRPr="005D74FA">
        <w:rPr>
          <w:sz w:val="24"/>
          <w:szCs w:val="24"/>
        </w:rPr>
        <w:t xml:space="preserve"> se nuk kishte </w:t>
      </w:r>
      <w:proofErr w:type="spellStart"/>
      <w:r w:rsidR="009A3A60" w:rsidRPr="005D74FA">
        <w:rPr>
          <w:sz w:val="24"/>
          <w:szCs w:val="24"/>
        </w:rPr>
        <w:t>akses</w:t>
      </w:r>
      <w:proofErr w:type="spellEnd"/>
      <w:r w:rsidR="009A3A60" w:rsidRPr="005D74FA">
        <w:rPr>
          <w:sz w:val="24"/>
          <w:szCs w:val="24"/>
        </w:rPr>
        <w:t xml:space="preserve"> në këto dokumente </w:t>
      </w:r>
      <w:r w:rsidR="006F67FD" w:rsidRPr="005D74FA">
        <w:rPr>
          <w:sz w:val="24"/>
          <w:szCs w:val="24"/>
        </w:rPr>
        <w:t>bazuar në nenin</w:t>
      </w:r>
      <w:r w:rsidR="009A3A60" w:rsidRPr="005D74FA">
        <w:rPr>
          <w:sz w:val="24"/>
          <w:szCs w:val="24"/>
        </w:rPr>
        <w:t xml:space="preserve"> 21 të ligjit nr. 8457/1999, </w:t>
      </w:r>
      <w:r w:rsidR="00714BAE" w:rsidRPr="005D74FA">
        <w:rPr>
          <w:sz w:val="24"/>
          <w:szCs w:val="24"/>
        </w:rPr>
        <w:t xml:space="preserve">pasi </w:t>
      </w:r>
      <w:r w:rsidR="0069035F" w:rsidRPr="005D74FA">
        <w:rPr>
          <w:sz w:val="24"/>
          <w:szCs w:val="24"/>
        </w:rPr>
        <w:t>ato</w:t>
      </w:r>
      <w:r w:rsidR="00714BAE" w:rsidRPr="005D74FA">
        <w:rPr>
          <w:sz w:val="24"/>
          <w:szCs w:val="24"/>
        </w:rPr>
        <w:t xml:space="preserve"> ishin </w:t>
      </w:r>
      <w:r w:rsidR="00141D8A" w:rsidRPr="005D74FA">
        <w:rPr>
          <w:sz w:val="24"/>
          <w:szCs w:val="24"/>
        </w:rPr>
        <w:t xml:space="preserve">të </w:t>
      </w:r>
      <w:r w:rsidR="00714BAE" w:rsidRPr="005D74FA">
        <w:rPr>
          <w:sz w:val="24"/>
          <w:szCs w:val="24"/>
        </w:rPr>
        <w:t>klasifikuar</w:t>
      </w:r>
      <w:r w:rsidR="00141D8A" w:rsidRPr="005D74FA">
        <w:rPr>
          <w:sz w:val="24"/>
          <w:szCs w:val="24"/>
        </w:rPr>
        <w:t>a si</w:t>
      </w:r>
      <w:r w:rsidR="00714BAE" w:rsidRPr="005D74FA">
        <w:rPr>
          <w:sz w:val="24"/>
          <w:szCs w:val="24"/>
        </w:rPr>
        <w:t xml:space="preserve"> “sekret shtetëror”</w:t>
      </w:r>
      <w:r w:rsidR="00656E81" w:rsidRPr="005D74FA">
        <w:rPr>
          <w:i/>
          <w:sz w:val="24"/>
          <w:szCs w:val="24"/>
        </w:rPr>
        <w:t xml:space="preserve"> (shih procesverbalin e seancës së datës 18.12.2020</w:t>
      </w:r>
      <w:r w:rsidR="006F67FD" w:rsidRPr="005D74FA">
        <w:rPr>
          <w:i/>
          <w:sz w:val="24"/>
          <w:szCs w:val="24"/>
        </w:rPr>
        <w:t>, faqe</w:t>
      </w:r>
      <w:r w:rsidR="006D01FE" w:rsidRPr="005D74FA">
        <w:rPr>
          <w:i/>
          <w:sz w:val="24"/>
          <w:szCs w:val="24"/>
        </w:rPr>
        <w:t>t</w:t>
      </w:r>
      <w:r w:rsidR="006F67FD" w:rsidRPr="005D74FA">
        <w:rPr>
          <w:i/>
          <w:sz w:val="24"/>
          <w:szCs w:val="24"/>
        </w:rPr>
        <w:t xml:space="preserve"> 5</w:t>
      </w:r>
      <w:r w:rsidR="00122E8B" w:rsidRPr="005D74FA">
        <w:rPr>
          <w:i/>
          <w:sz w:val="24"/>
          <w:szCs w:val="24"/>
        </w:rPr>
        <w:t>-6</w:t>
      </w:r>
      <w:r w:rsidR="00656E81" w:rsidRPr="005D74FA">
        <w:rPr>
          <w:i/>
          <w:sz w:val="24"/>
          <w:szCs w:val="24"/>
        </w:rPr>
        <w:t>)</w:t>
      </w:r>
      <w:r w:rsidR="00714BAE" w:rsidRPr="005D74FA">
        <w:rPr>
          <w:sz w:val="24"/>
          <w:szCs w:val="24"/>
        </w:rPr>
        <w:t>.</w:t>
      </w:r>
      <w:r w:rsidR="003D46A0" w:rsidRPr="005D74FA">
        <w:rPr>
          <w:sz w:val="24"/>
          <w:szCs w:val="24"/>
        </w:rPr>
        <w:t xml:space="preserve"> </w:t>
      </w:r>
    </w:p>
    <w:p w:rsidR="004153D2" w:rsidRPr="005D74FA" w:rsidRDefault="009A3A60" w:rsidP="00063BC2">
      <w:pPr>
        <w:pStyle w:val="ListParagraph"/>
        <w:numPr>
          <w:ilvl w:val="0"/>
          <w:numId w:val="1"/>
        </w:numPr>
        <w:tabs>
          <w:tab w:val="left" w:pos="1080"/>
        </w:tabs>
        <w:spacing w:before="240" w:line="360" w:lineRule="auto"/>
        <w:ind w:left="0" w:firstLine="720"/>
        <w:rPr>
          <w:sz w:val="24"/>
          <w:szCs w:val="24"/>
        </w:rPr>
      </w:pPr>
      <w:r w:rsidRPr="005D74FA">
        <w:rPr>
          <w:sz w:val="24"/>
          <w:szCs w:val="24"/>
        </w:rPr>
        <w:t>Gjykata vëren</w:t>
      </w:r>
      <w:r w:rsidR="00396806" w:rsidRPr="005D74FA">
        <w:rPr>
          <w:sz w:val="24"/>
          <w:szCs w:val="24"/>
        </w:rPr>
        <w:t xml:space="preserve"> se</w:t>
      </w:r>
      <w:r w:rsidR="00E82766" w:rsidRPr="005D74FA">
        <w:rPr>
          <w:sz w:val="24"/>
          <w:szCs w:val="24"/>
        </w:rPr>
        <w:t xml:space="preserve"> </w:t>
      </w:r>
      <w:r w:rsidR="00396806" w:rsidRPr="005D74FA">
        <w:rPr>
          <w:sz w:val="24"/>
          <w:szCs w:val="24"/>
        </w:rPr>
        <w:t>l</w:t>
      </w:r>
      <w:r w:rsidR="00776164" w:rsidRPr="005D74FA">
        <w:rPr>
          <w:sz w:val="24"/>
          <w:szCs w:val="24"/>
        </w:rPr>
        <w:t>igji nr. 8457/1999</w:t>
      </w:r>
      <w:r w:rsidR="004069A4" w:rsidRPr="005D74FA">
        <w:rPr>
          <w:sz w:val="24"/>
          <w:szCs w:val="24"/>
        </w:rPr>
        <w:t xml:space="preserve"> </w:t>
      </w:r>
      <w:r w:rsidR="00D743C2" w:rsidRPr="005D74FA">
        <w:rPr>
          <w:sz w:val="24"/>
          <w:szCs w:val="24"/>
        </w:rPr>
        <w:t>dhe vendimi nr. 188, datë 04.03.2015 i Këshillit të Ministrave “Për miratimin e rregull</w:t>
      </w:r>
      <w:r w:rsidR="00DC3B4D" w:rsidRPr="005D74FA">
        <w:rPr>
          <w:sz w:val="24"/>
          <w:szCs w:val="24"/>
        </w:rPr>
        <w:t>ave</w:t>
      </w:r>
      <w:r w:rsidR="00D743C2" w:rsidRPr="005D74FA">
        <w:rPr>
          <w:sz w:val="24"/>
          <w:szCs w:val="24"/>
        </w:rPr>
        <w:t xml:space="preserve"> </w:t>
      </w:r>
      <w:r w:rsidR="00DC3B4D" w:rsidRPr="005D74FA">
        <w:rPr>
          <w:sz w:val="24"/>
          <w:szCs w:val="24"/>
        </w:rPr>
        <w:t>për</w:t>
      </w:r>
      <w:r w:rsidR="006D01FE" w:rsidRPr="005D74FA">
        <w:rPr>
          <w:sz w:val="24"/>
          <w:szCs w:val="24"/>
        </w:rPr>
        <w:t xml:space="preserve"> sigurimin e personelit”</w:t>
      </w:r>
      <w:r w:rsidR="00D743C2" w:rsidRPr="005D74FA">
        <w:rPr>
          <w:sz w:val="24"/>
          <w:szCs w:val="24"/>
        </w:rPr>
        <w:t xml:space="preserve"> p</w:t>
      </w:r>
      <w:r w:rsidR="00E82766" w:rsidRPr="005D74FA">
        <w:rPr>
          <w:sz w:val="24"/>
          <w:szCs w:val="24"/>
        </w:rPr>
        <w:t>arashiko</w:t>
      </w:r>
      <w:r w:rsidR="00D743C2" w:rsidRPr="005D74FA">
        <w:rPr>
          <w:sz w:val="24"/>
          <w:szCs w:val="24"/>
        </w:rPr>
        <w:t>j</w:t>
      </w:r>
      <w:r w:rsidR="00E82766" w:rsidRPr="005D74FA">
        <w:rPr>
          <w:sz w:val="24"/>
          <w:szCs w:val="24"/>
        </w:rPr>
        <w:t>n</w:t>
      </w:r>
      <w:r w:rsidR="00D743C2" w:rsidRPr="005D74FA">
        <w:rPr>
          <w:sz w:val="24"/>
          <w:szCs w:val="24"/>
        </w:rPr>
        <w:t xml:space="preserve">ë </w:t>
      </w:r>
      <w:r w:rsidR="00E82766" w:rsidRPr="005D74FA">
        <w:rPr>
          <w:sz w:val="24"/>
          <w:szCs w:val="24"/>
        </w:rPr>
        <w:t xml:space="preserve"> </w:t>
      </w:r>
      <w:r w:rsidR="00D743C2" w:rsidRPr="005D74FA">
        <w:rPr>
          <w:sz w:val="24"/>
          <w:szCs w:val="24"/>
        </w:rPr>
        <w:t xml:space="preserve">kushtet, kriteret, rregullat, si dhe subjektet që mund të kenë </w:t>
      </w:r>
      <w:proofErr w:type="spellStart"/>
      <w:r w:rsidR="00776164" w:rsidRPr="005D74FA">
        <w:rPr>
          <w:sz w:val="24"/>
          <w:szCs w:val="24"/>
        </w:rPr>
        <w:t>akses</w:t>
      </w:r>
      <w:proofErr w:type="spellEnd"/>
      <w:r w:rsidR="00776164" w:rsidRPr="005D74FA">
        <w:rPr>
          <w:sz w:val="24"/>
          <w:szCs w:val="24"/>
        </w:rPr>
        <w:t xml:space="preserve"> në informacionin e klasifikuar “sekret shtetëror</w:t>
      </w:r>
      <w:r w:rsidR="008016F5" w:rsidRPr="005D74FA">
        <w:rPr>
          <w:sz w:val="24"/>
          <w:szCs w:val="24"/>
        </w:rPr>
        <w:t>”</w:t>
      </w:r>
      <w:r w:rsidR="00FA1FA2" w:rsidRPr="005D74FA">
        <w:rPr>
          <w:sz w:val="24"/>
          <w:szCs w:val="24"/>
        </w:rPr>
        <w:t xml:space="preserve">, </w:t>
      </w:r>
      <w:r w:rsidR="00D743C2" w:rsidRPr="005D74FA">
        <w:rPr>
          <w:sz w:val="24"/>
          <w:szCs w:val="24"/>
        </w:rPr>
        <w:t>ku përfshihen edhe institucionet shtetërore</w:t>
      </w:r>
      <w:r w:rsidR="008B67E4" w:rsidRPr="005D74FA">
        <w:rPr>
          <w:sz w:val="24"/>
          <w:szCs w:val="24"/>
        </w:rPr>
        <w:t>,</w:t>
      </w:r>
      <w:r w:rsidR="00D743C2" w:rsidRPr="005D74FA">
        <w:rPr>
          <w:sz w:val="24"/>
          <w:szCs w:val="24"/>
        </w:rPr>
        <w:t xml:space="preserve"> të cilat </w:t>
      </w:r>
      <w:r w:rsidR="00D139B1" w:rsidRPr="005D74FA">
        <w:rPr>
          <w:sz w:val="24"/>
          <w:szCs w:val="24"/>
        </w:rPr>
        <w:t>gjatë ushtrimit të detyrave zyrtare</w:t>
      </w:r>
      <w:r w:rsidR="008B67E4" w:rsidRPr="005D74FA">
        <w:rPr>
          <w:sz w:val="24"/>
          <w:szCs w:val="24"/>
        </w:rPr>
        <w:t>,</w:t>
      </w:r>
      <w:r w:rsidR="00D139B1" w:rsidRPr="005D74FA">
        <w:rPr>
          <w:sz w:val="24"/>
          <w:szCs w:val="24"/>
        </w:rPr>
        <w:t xml:space="preserve"> </w:t>
      </w:r>
      <w:r w:rsidR="00D743C2" w:rsidRPr="005D74FA">
        <w:rPr>
          <w:sz w:val="24"/>
          <w:szCs w:val="24"/>
        </w:rPr>
        <w:t>njihen, prodhojnë, ruajnë, administrojnë, transportojnë dhe transmetojnë</w:t>
      </w:r>
      <w:r w:rsidR="00D139B1" w:rsidRPr="005D74FA">
        <w:rPr>
          <w:sz w:val="24"/>
          <w:szCs w:val="24"/>
        </w:rPr>
        <w:t xml:space="preserve"> informacion të klasifikuar</w:t>
      </w:r>
      <w:r w:rsidR="00C41D4A" w:rsidRPr="005D74FA">
        <w:rPr>
          <w:sz w:val="24"/>
          <w:szCs w:val="24"/>
        </w:rPr>
        <w:t>.</w:t>
      </w:r>
    </w:p>
    <w:p w:rsidR="006A59CA" w:rsidRPr="005D74FA" w:rsidRDefault="00D139B1" w:rsidP="004153D2">
      <w:pPr>
        <w:pStyle w:val="ListParagraph"/>
        <w:numPr>
          <w:ilvl w:val="0"/>
          <w:numId w:val="1"/>
        </w:numPr>
        <w:tabs>
          <w:tab w:val="left" w:pos="1080"/>
        </w:tabs>
        <w:spacing w:before="240" w:line="360" w:lineRule="auto"/>
        <w:ind w:left="0" w:firstLine="720"/>
        <w:rPr>
          <w:sz w:val="24"/>
          <w:szCs w:val="24"/>
        </w:rPr>
      </w:pPr>
      <w:r w:rsidRPr="005D74FA">
        <w:rPr>
          <w:sz w:val="24"/>
          <w:szCs w:val="24"/>
        </w:rPr>
        <w:t>Nga</w:t>
      </w:r>
      <w:r w:rsidR="00877EEB" w:rsidRPr="005D74FA">
        <w:rPr>
          <w:sz w:val="24"/>
          <w:szCs w:val="24"/>
        </w:rPr>
        <w:t xml:space="preserve"> sa më lart, </w:t>
      </w:r>
      <w:r w:rsidRPr="005D74FA">
        <w:rPr>
          <w:sz w:val="24"/>
          <w:szCs w:val="24"/>
        </w:rPr>
        <w:t xml:space="preserve">Gjykata </w:t>
      </w:r>
      <w:r w:rsidR="00187EBB" w:rsidRPr="005D74FA">
        <w:rPr>
          <w:sz w:val="24"/>
          <w:szCs w:val="24"/>
        </w:rPr>
        <w:t>konstaton</w:t>
      </w:r>
      <w:r w:rsidRPr="005D74FA">
        <w:rPr>
          <w:sz w:val="24"/>
          <w:szCs w:val="24"/>
        </w:rPr>
        <w:t xml:space="preserve"> se</w:t>
      </w:r>
      <w:r w:rsidR="00FA1FA2" w:rsidRPr="005D74FA">
        <w:rPr>
          <w:sz w:val="24"/>
          <w:szCs w:val="24"/>
        </w:rPr>
        <w:t>,</w:t>
      </w:r>
      <w:r w:rsidRPr="005D74FA">
        <w:rPr>
          <w:sz w:val="24"/>
          <w:szCs w:val="24"/>
        </w:rPr>
        <w:t xml:space="preserve"> </w:t>
      </w:r>
      <w:r w:rsidR="00FA1FA2" w:rsidRPr="005D74FA">
        <w:rPr>
          <w:sz w:val="24"/>
          <w:szCs w:val="24"/>
        </w:rPr>
        <w:t>pavarësisht se</w:t>
      </w:r>
      <w:r w:rsidR="00C673F9" w:rsidRPr="005D74FA">
        <w:rPr>
          <w:sz w:val="24"/>
          <w:szCs w:val="24"/>
        </w:rPr>
        <w:t xml:space="preserve"> </w:t>
      </w:r>
      <w:r w:rsidR="00877EEB" w:rsidRPr="005D74FA">
        <w:rPr>
          <w:sz w:val="24"/>
          <w:szCs w:val="24"/>
        </w:rPr>
        <w:t>b</w:t>
      </w:r>
      <w:r w:rsidR="004153D2" w:rsidRPr="005D74FA">
        <w:rPr>
          <w:sz w:val="24"/>
          <w:szCs w:val="24"/>
        </w:rPr>
        <w:t>azuar në aktet</w:t>
      </w:r>
      <w:r w:rsidR="00FA1FA2" w:rsidRPr="005D74FA">
        <w:rPr>
          <w:sz w:val="24"/>
          <w:szCs w:val="24"/>
        </w:rPr>
        <w:t xml:space="preserve"> ligjore dhe nënligjore në fuqi</w:t>
      </w:r>
      <w:r w:rsidR="00D470FC" w:rsidRPr="005D74FA">
        <w:rPr>
          <w:sz w:val="24"/>
          <w:szCs w:val="24"/>
        </w:rPr>
        <w:t>,</w:t>
      </w:r>
      <w:r w:rsidR="004153D2" w:rsidRPr="005D74FA">
        <w:rPr>
          <w:sz w:val="24"/>
          <w:szCs w:val="24"/>
        </w:rPr>
        <w:t xml:space="preserve"> Gjykata e Posaçme e Shkallës së Parë mund të kishte </w:t>
      </w:r>
      <w:proofErr w:type="spellStart"/>
      <w:r w:rsidR="004153D2" w:rsidRPr="005D74FA">
        <w:rPr>
          <w:sz w:val="24"/>
          <w:szCs w:val="24"/>
        </w:rPr>
        <w:t>akses</w:t>
      </w:r>
      <w:proofErr w:type="spellEnd"/>
      <w:r w:rsidR="004153D2" w:rsidRPr="005D74FA">
        <w:rPr>
          <w:sz w:val="24"/>
          <w:szCs w:val="24"/>
        </w:rPr>
        <w:t xml:space="preserve"> në informacionin e klasifikuar mbi </w:t>
      </w:r>
      <w:r w:rsidR="00FA1FA2" w:rsidRPr="005D74FA">
        <w:rPr>
          <w:sz w:val="24"/>
          <w:szCs w:val="24"/>
        </w:rPr>
        <w:t xml:space="preserve">të cilin është bazuar urdhri nr. </w:t>
      </w:r>
      <w:r w:rsidR="0014593E" w:rsidRPr="005D74FA">
        <w:rPr>
          <w:sz w:val="24"/>
          <w:szCs w:val="24"/>
        </w:rPr>
        <w:t>2</w:t>
      </w:r>
      <w:r w:rsidR="00FA1FA2" w:rsidRPr="005D74FA">
        <w:rPr>
          <w:sz w:val="24"/>
          <w:szCs w:val="24"/>
        </w:rPr>
        <w:t>53/2020 i ministrit të Drejtësisë për vendosjen</w:t>
      </w:r>
      <w:r w:rsidR="00B448C5" w:rsidRPr="005D74FA">
        <w:rPr>
          <w:sz w:val="24"/>
          <w:szCs w:val="24"/>
        </w:rPr>
        <w:t xml:space="preserve"> e kërkuesit </w:t>
      </w:r>
      <w:r w:rsidR="004153D2" w:rsidRPr="005D74FA">
        <w:rPr>
          <w:sz w:val="24"/>
          <w:szCs w:val="24"/>
        </w:rPr>
        <w:t>në regjimin e posaçëm të burgut të sigurisë së lartë</w:t>
      </w:r>
      <w:r w:rsidR="00C673F9" w:rsidRPr="005D74FA">
        <w:rPr>
          <w:sz w:val="24"/>
          <w:szCs w:val="24"/>
        </w:rPr>
        <w:t xml:space="preserve">, </w:t>
      </w:r>
      <w:r w:rsidR="00E85A45" w:rsidRPr="005D74FA">
        <w:rPr>
          <w:sz w:val="24"/>
          <w:szCs w:val="24"/>
        </w:rPr>
        <w:t xml:space="preserve">ajo </w:t>
      </w:r>
      <w:r w:rsidR="0020142D" w:rsidRPr="005D74FA">
        <w:rPr>
          <w:sz w:val="24"/>
          <w:szCs w:val="24"/>
        </w:rPr>
        <w:t xml:space="preserve">ka </w:t>
      </w:r>
      <w:r w:rsidR="00EE32A6" w:rsidRPr="005D74FA">
        <w:rPr>
          <w:sz w:val="24"/>
          <w:szCs w:val="24"/>
        </w:rPr>
        <w:t>vlerësuar të kthejë</w:t>
      </w:r>
      <w:r w:rsidR="004153D2" w:rsidRPr="005D74FA">
        <w:rPr>
          <w:sz w:val="24"/>
          <w:szCs w:val="24"/>
        </w:rPr>
        <w:t xml:space="preserve">  </w:t>
      </w:r>
      <w:r w:rsidR="00E85A45" w:rsidRPr="005D74FA">
        <w:rPr>
          <w:sz w:val="24"/>
          <w:szCs w:val="24"/>
        </w:rPr>
        <w:t xml:space="preserve">materialet e dërguara nga Ministria e Drejtësisë, duke </w:t>
      </w:r>
      <w:r w:rsidR="00BF2373" w:rsidRPr="005D74FA">
        <w:rPr>
          <w:sz w:val="24"/>
          <w:szCs w:val="24"/>
        </w:rPr>
        <w:t xml:space="preserve">e </w:t>
      </w:r>
      <w:r w:rsidR="0020142D" w:rsidRPr="005D74FA">
        <w:rPr>
          <w:sz w:val="24"/>
          <w:szCs w:val="24"/>
        </w:rPr>
        <w:t>vlerësuar urdhri</w:t>
      </w:r>
      <w:r w:rsidR="006A59CA" w:rsidRPr="005D74FA">
        <w:rPr>
          <w:sz w:val="24"/>
          <w:szCs w:val="24"/>
        </w:rPr>
        <w:t>n</w:t>
      </w:r>
      <w:r w:rsidR="0020142D" w:rsidRPr="005D74FA">
        <w:rPr>
          <w:sz w:val="24"/>
          <w:szCs w:val="24"/>
        </w:rPr>
        <w:t xml:space="preserve"> </w:t>
      </w:r>
      <w:r w:rsidR="006A59CA" w:rsidRPr="005D74FA">
        <w:rPr>
          <w:sz w:val="24"/>
          <w:szCs w:val="24"/>
        </w:rPr>
        <w:t>e</w:t>
      </w:r>
      <w:r w:rsidR="0020142D" w:rsidRPr="005D74FA">
        <w:rPr>
          <w:sz w:val="24"/>
          <w:szCs w:val="24"/>
        </w:rPr>
        <w:t xml:space="preserve"> </w:t>
      </w:r>
      <w:r w:rsidR="00E85A45" w:rsidRPr="005D74FA">
        <w:rPr>
          <w:sz w:val="24"/>
          <w:szCs w:val="24"/>
        </w:rPr>
        <w:t>m</w:t>
      </w:r>
      <w:r w:rsidR="0020142D" w:rsidRPr="005D74FA">
        <w:rPr>
          <w:sz w:val="24"/>
          <w:szCs w:val="24"/>
        </w:rPr>
        <w:t>inistrit ve</w:t>
      </w:r>
      <w:r w:rsidR="00FA1FA2" w:rsidRPr="005D74FA">
        <w:rPr>
          <w:sz w:val="24"/>
          <w:szCs w:val="24"/>
        </w:rPr>
        <w:t xml:space="preserve">tëm nga ana </w:t>
      </w:r>
      <w:proofErr w:type="spellStart"/>
      <w:r w:rsidR="00FA1FA2" w:rsidRPr="005D74FA">
        <w:rPr>
          <w:sz w:val="24"/>
          <w:szCs w:val="24"/>
        </w:rPr>
        <w:t>formalo</w:t>
      </w:r>
      <w:proofErr w:type="spellEnd"/>
      <w:r w:rsidR="00FA1FA2" w:rsidRPr="005D74FA">
        <w:rPr>
          <w:sz w:val="24"/>
          <w:szCs w:val="24"/>
        </w:rPr>
        <w:t>-procedurale</w:t>
      </w:r>
      <w:r w:rsidR="00BF2373" w:rsidRPr="005D74FA">
        <w:rPr>
          <w:sz w:val="24"/>
          <w:szCs w:val="24"/>
        </w:rPr>
        <w:t xml:space="preserve"> dhe jo nga ajo substanciale</w:t>
      </w:r>
      <w:r w:rsidR="00C673F9" w:rsidRPr="005D74FA">
        <w:rPr>
          <w:sz w:val="24"/>
          <w:szCs w:val="24"/>
        </w:rPr>
        <w:t xml:space="preserve">. </w:t>
      </w:r>
    </w:p>
    <w:p w:rsidR="0020142D" w:rsidRPr="005D74FA" w:rsidRDefault="00C673F9" w:rsidP="004153D2">
      <w:pPr>
        <w:pStyle w:val="ListParagraph"/>
        <w:numPr>
          <w:ilvl w:val="0"/>
          <w:numId w:val="1"/>
        </w:numPr>
        <w:tabs>
          <w:tab w:val="left" w:pos="1080"/>
        </w:tabs>
        <w:spacing w:before="240" w:line="360" w:lineRule="auto"/>
        <w:ind w:left="0" w:firstLine="720"/>
        <w:rPr>
          <w:sz w:val="24"/>
          <w:szCs w:val="24"/>
        </w:rPr>
      </w:pPr>
      <w:r w:rsidRPr="005D74FA">
        <w:rPr>
          <w:sz w:val="24"/>
          <w:szCs w:val="24"/>
        </w:rPr>
        <w:t xml:space="preserve">Gjykata </w:t>
      </w:r>
      <w:r w:rsidR="00FA1FA2" w:rsidRPr="005D74FA">
        <w:rPr>
          <w:sz w:val="24"/>
          <w:szCs w:val="24"/>
        </w:rPr>
        <w:t>vëren</w:t>
      </w:r>
      <w:r w:rsidR="00112381" w:rsidRPr="005D74FA">
        <w:rPr>
          <w:sz w:val="24"/>
          <w:szCs w:val="24"/>
        </w:rPr>
        <w:t xml:space="preserve"> se</w:t>
      </w:r>
      <w:r w:rsidR="00663A50" w:rsidRPr="005D74FA">
        <w:rPr>
          <w:sz w:val="24"/>
          <w:szCs w:val="24"/>
        </w:rPr>
        <w:t xml:space="preserve"> </w:t>
      </w:r>
      <w:r w:rsidR="00661417" w:rsidRPr="005D74FA">
        <w:rPr>
          <w:sz w:val="24"/>
          <w:szCs w:val="24"/>
        </w:rPr>
        <w:t>pavarësisht se në ankimin e tij drejtuar Gjykatës së</w:t>
      </w:r>
      <w:r w:rsidRPr="005D74FA">
        <w:rPr>
          <w:sz w:val="24"/>
          <w:szCs w:val="24"/>
        </w:rPr>
        <w:t xml:space="preserve"> Posaçme </w:t>
      </w:r>
      <w:r w:rsidR="00661417" w:rsidRPr="005D74FA">
        <w:rPr>
          <w:sz w:val="24"/>
          <w:szCs w:val="24"/>
        </w:rPr>
        <w:t>të</w:t>
      </w:r>
      <w:r w:rsidRPr="005D74FA">
        <w:rPr>
          <w:sz w:val="24"/>
          <w:szCs w:val="24"/>
        </w:rPr>
        <w:t xml:space="preserve"> Shkallës së Parë</w:t>
      </w:r>
      <w:r w:rsidR="0020142D" w:rsidRPr="005D74FA">
        <w:rPr>
          <w:sz w:val="24"/>
          <w:szCs w:val="24"/>
        </w:rPr>
        <w:t xml:space="preserve"> </w:t>
      </w:r>
      <w:r w:rsidR="00661417" w:rsidRPr="005D74FA">
        <w:rPr>
          <w:sz w:val="24"/>
          <w:szCs w:val="24"/>
        </w:rPr>
        <w:t xml:space="preserve">kërkuesi </w:t>
      </w:r>
      <w:r w:rsidR="00112381" w:rsidRPr="005D74FA">
        <w:rPr>
          <w:sz w:val="24"/>
          <w:szCs w:val="24"/>
        </w:rPr>
        <w:t>kishte ngritur pretendime j</w:t>
      </w:r>
      <w:r w:rsidR="008E65D4" w:rsidRPr="005D74FA">
        <w:rPr>
          <w:sz w:val="24"/>
          <w:szCs w:val="24"/>
        </w:rPr>
        <w:t xml:space="preserve">o vetëm për procedurat </w:t>
      </w:r>
      <w:r w:rsidR="00425957" w:rsidRPr="005D74FA">
        <w:rPr>
          <w:sz w:val="24"/>
          <w:szCs w:val="24"/>
        </w:rPr>
        <w:t>e nxjerr</w:t>
      </w:r>
      <w:r w:rsidR="00D869C1" w:rsidRPr="005D74FA">
        <w:rPr>
          <w:sz w:val="24"/>
          <w:szCs w:val="24"/>
        </w:rPr>
        <w:t>j</w:t>
      </w:r>
      <w:r w:rsidR="00425957" w:rsidRPr="005D74FA">
        <w:rPr>
          <w:sz w:val="24"/>
          <w:szCs w:val="24"/>
        </w:rPr>
        <w:t>e</w:t>
      </w:r>
      <w:r w:rsidR="008E65D4" w:rsidRPr="005D74FA">
        <w:rPr>
          <w:sz w:val="24"/>
          <w:szCs w:val="24"/>
        </w:rPr>
        <w:t>s së urdhrit nr. 253/2020</w:t>
      </w:r>
      <w:r w:rsidR="00112381" w:rsidRPr="005D74FA">
        <w:rPr>
          <w:sz w:val="24"/>
          <w:szCs w:val="24"/>
        </w:rPr>
        <w:t xml:space="preserve">, por edhe për </w:t>
      </w:r>
      <w:r w:rsidR="008E65D4" w:rsidRPr="005D74FA">
        <w:rPr>
          <w:sz w:val="24"/>
          <w:szCs w:val="24"/>
        </w:rPr>
        <w:t>thelbin</w:t>
      </w:r>
      <w:r w:rsidR="00661417" w:rsidRPr="005D74FA">
        <w:rPr>
          <w:sz w:val="24"/>
          <w:szCs w:val="24"/>
        </w:rPr>
        <w:t>,</w:t>
      </w:r>
      <w:r w:rsidR="00663A50" w:rsidRPr="005D74FA">
        <w:rPr>
          <w:sz w:val="24"/>
          <w:szCs w:val="24"/>
        </w:rPr>
        <w:t xml:space="preserve"> gjykat</w:t>
      </w:r>
      <w:r w:rsidR="00661417" w:rsidRPr="005D74FA">
        <w:rPr>
          <w:sz w:val="24"/>
          <w:szCs w:val="24"/>
        </w:rPr>
        <w:t>a</w:t>
      </w:r>
      <w:r w:rsidR="00663A50" w:rsidRPr="005D74FA">
        <w:rPr>
          <w:sz w:val="24"/>
          <w:szCs w:val="24"/>
        </w:rPr>
        <w:t xml:space="preserve"> </w:t>
      </w:r>
      <w:r w:rsidR="00112381" w:rsidRPr="005D74FA">
        <w:rPr>
          <w:sz w:val="24"/>
          <w:szCs w:val="24"/>
        </w:rPr>
        <w:t>nuk ka vlerësuar nëse të dhënat e akteve</w:t>
      </w:r>
      <w:r w:rsidR="00FC0E95" w:rsidRPr="005D74FA">
        <w:rPr>
          <w:sz w:val="24"/>
          <w:szCs w:val="24"/>
        </w:rPr>
        <w:t>,</w:t>
      </w:r>
      <w:r w:rsidR="00112381" w:rsidRPr="005D74FA">
        <w:rPr>
          <w:sz w:val="24"/>
          <w:szCs w:val="24"/>
        </w:rPr>
        <w:t xml:space="preserve"> mbi të cilat është bazuar ky urdhër</w:t>
      </w:r>
      <w:r w:rsidR="00FC0E95" w:rsidRPr="005D74FA">
        <w:rPr>
          <w:sz w:val="24"/>
          <w:szCs w:val="24"/>
        </w:rPr>
        <w:t>,</w:t>
      </w:r>
      <w:r w:rsidR="00112381" w:rsidRPr="005D74FA">
        <w:rPr>
          <w:sz w:val="24"/>
          <w:szCs w:val="24"/>
        </w:rPr>
        <w:t xml:space="preserve"> janë marrë </w:t>
      </w:r>
      <w:r w:rsidR="0020142D" w:rsidRPr="005D74FA">
        <w:rPr>
          <w:sz w:val="24"/>
          <w:szCs w:val="24"/>
        </w:rPr>
        <w:t>në përputhje me parashikimet ligjore në fuqi</w:t>
      </w:r>
      <w:r w:rsidR="00D139B1" w:rsidRPr="005D74FA">
        <w:rPr>
          <w:sz w:val="24"/>
          <w:szCs w:val="24"/>
        </w:rPr>
        <w:t>,</w:t>
      </w:r>
      <w:r w:rsidR="0020142D" w:rsidRPr="005D74FA">
        <w:rPr>
          <w:sz w:val="24"/>
          <w:szCs w:val="24"/>
        </w:rPr>
        <w:t xml:space="preserve"> nëse </w:t>
      </w:r>
      <w:r w:rsidR="00750A7D" w:rsidRPr="005D74FA">
        <w:rPr>
          <w:sz w:val="24"/>
          <w:szCs w:val="24"/>
        </w:rPr>
        <w:t xml:space="preserve">kërkuesi duhej të </w:t>
      </w:r>
      <w:r w:rsidR="00C871FC" w:rsidRPr="005D74FA">
        <w:rPr>
          <w:sz w:val="24"/>
          <w:szCs w:val="24"/>
        </w:rPr>
        <w:t xml:space="preserve">ishte </w:t>
      </w:r>
      <w:r w:rsidR="00750A7D" w:rsidRPr="005D74FA">
        <w:rPr>
          <w:sz w:val="24"/>
          <w:szCs w:val="24"/>
        </w:rPr>
        <w:t>njohur</w:t>
      </w:r>
      <w:r w:rsidR="00A15E0F" w:rsidRPr="005D74FA">
        <w:rPr>
          <w:sz w:val="24"/>
          <w:szCs w:val="24"/>
        </w:rPr>
        <w:t xml:space="preserve"> me</w:t>
      </w:r>
      <w:r w:rsidR="00C871FC" w:rsidRPr="005D74FA">
        <w:rPr>
          <w:sz w:val="24"/>
          <w:szCs w:val="24"/>
        </w:rPr>
        <w:t xml:space="preserve"> këto akte </w:t>
      </w:r>
      <w:r w:rsidR="00D46F9B" w:rsidRPr="005D74FA">
        <w:rPr>
          <w:sz w:val="24"/>
          <w:szCs w:val="24"/>
        </w:rPr>
        <w:t>me qëllim të garantimit të s</w:t>
      </w:r>
      <w:r w:rsidR="0020142D" w:rsidRPr="005D74FA">
        <w:rPr>
          <w:sz w:val="24"/>
          <w:szCs w:val="24"/>
        </w:rPr>
        <w:t xml:space="preserve">ë drejtës </w:t>
      </w:r>
      <w:r w:rsidR="00C871FC" w:rsidRPr="005D74FA">
        <w:rPr>
          <w:sz w:val="24"/>
          <w:szCs w:val="24"/>
        </w:rPr>
        <w:t xml:space="preserve">së tij </w:t>
      </w:r>
      <w:r w:rsidR="0020142D" w:rsidRPr="005D74FA">
        <w:rPr>
          <w:sz w:val="24"/>
          <w:szCs w:val="24"/>
        </w:rPr>
        <w:t>pë</w:t>
      </w:r>
      <w:r w:rsidR="00132940" w:rsidRPr="005D74FA">
        <w:rPr>
          <w:sz w:val="24"/>
          <w:szCs w:val="24"/>
        </w:rPr>
        <w:t>r një proces të rregullt ligjor</w:t>
      </w:r>
      <w:r w:rsidR="0020142D" w:rsidRPr="005D74FA">
        <w:rPr>
          <w:sz w:val="24"/>
          <w:szCs w:val="24"/>
        </w:rPr>
        <w:t xml:space="preserve"> në </w:t>
      </w:r>
      <w:r w:rsidR="00C871FC" w:rsidRPr="005D74FA">
        <w:rPr>
          <w:sz w:val="24"/>
          <w:szCs w:val="24"/>
        </w:rPr>
        <w:t>drejtim</w:t>
      </w:r>
      <w:r w:rsidR="0020142D" w:rsidRPr="005D74FA">
        <w:rPr>
          <w:sz w:val="24"/>
          <w:szCs w:val="24"/>
        </w:rPr>
        <w:t xml:space="preserve"> të </w:t>
      </w:r>
      <w:r w:rsidR="004C4D08" w:rsidRPr="005D74FA">
        <w:rPr>
          <w:sz w:val="24"/>
          <w:szCs w:val="24"/>
        </w:rPr>
        <w:t>kontradiktoritet</w:t>
      </w:r>
      <w:r w:rsidR="006E69C2" w:rsidRPr="005D74FA">
        <w:rPr>
          <w:sz w:val="24"/>
          <w:szCs w:val="24"/>
        </w:rPr>
        <w:t>it</w:t>
      </w:r>
      <w:r w:rsidR="00FA1FA2" w:rsidRPr="005D74FA">
        <w:rPr>
          <w:sz w:val="24"/>
          <w:szCs w:val="24"/>
        </w:rPr>
        <w:t>,</w:t>
      </w:r>
      <w:r w:rsidR="00D139B1" w:rsidRPr="005D74FA">
        <w:rPr>
          <w:sz w:val="24"/>
          <w:szCs w:val="24"/>
        </w:rPr>
        <w:t xml:space="preserve"> si dhe nëse</w:t>
      </w:r>
      <w:r w:rsidR="00FA1FA2" w:rsidRPr="005D74FA">
        <w:rPr>
          <w:sz w:val="24"/>
          <w:szCs w:val="24"/>
        </w:rPr>
        <w:t xml:space="preserve"> në </w:t>
      </w:r>
      <w:r w:rsidR="00BE4F5C" w:rsidRPr="005D74FA">
        <w:rPr>
          <w:sz w:val="24"/>
          <w:szCs w:val="24"/>
        </w:rPr>
        <w:t>nxjerrjen</w:t>
      </w:r>
      <w:r w:rsidR="00FA1FA2" w:rsidRPr="005D74FA">
        <w:rPr>
          <w:sz w:val="24"/>
          <w:szCs w:val="24"/>
        </w:rPr>
        <w:t xml:space="preserve"> e tyre </w:t>
      </w:r>
      <w:r w:rsidR="006A4317" w:rsidRPr="005D74FA">
        <w:rPr>
          <w:sz w:val="24"/>
          <w:szCs w:val="24"/>
        </w:rPr>
        <w:t xml:space="preserve">organet </w:t>
      </w:r>
      <w:r w:rsidR="00FA1FA2" w:rsidRPr="005D74FA">
        <w:rPr>
          <w:sz w:val="24"/>
          <w:szCs w:val="24"/>
        </w:rPr>
        <w:t>shtetëror</w:t>
      </w:r>
      <w:r w:rsidR="006A4317" w:rsidRPr="005D74FA">
        <w:rPr>
          <w:sz w:val="24"/>
          <w:szCs w:val="24"/>
        </w:rPr>
        <w:t>e</w:t>
      </w:r>
      <w:r w:rsidR="00FA1FA2" w:rsidRPr="005D74FA">
        <w:rPr>
          <w:sz w:val="24"/>
          <w:szCs w:val="24"/>
        </w:rPr>
        <w:t xml:space="preserve"> </w:t>
      </w:r>
      <w:r w:rsidR="006A4317" w:rsidRPr="005D74FA">
        <w:rPr>
          <w:sz w:val="24"/>
          <w:szCs w:val="24"/>
        </w:rPr>
        <w:t xml:space="preserve">kanë vepruar </w:t>
      </w:r>
      <w:r w:rsidR="00C345E2" w:rsidRPr="005D74FA">
        <w:rPr>
          <w:sz w:val="24"/>
          <w:szCs w:val="24"/>
        </w:rPr>
        <w:t xml:space="preserve">në përputhje me ligjin dhe jo </w:t>
      </w:r>
      <w:r w:rsidR="00FA1FA2" w:rsidRPr="005D74FA">
        <w:rPr>
          <w:sz w:val="24"/>
          <w:szCs w:val="24"/>
        </w:rPr>
        <w:t xml:space="preserve">në mënyrë </w:t>
      </w:r>
      <w:r w:rsidR="00825168" w:rsidRPr="005D74FA">
        <w:rPr>
          <w:sz w:val="24"/>
          <w:szCs w:val="24"/>
        </w:rPr>
        <w:t xml:space="preserve">abuzive </w:t>
      </w:r>
      <w:r w:rsidR="000A7793" w:rsidRPr="005D74FA">
        <w:rPr>
          <w:sz w:val="24"/>
          <w:szCs w:val="24"/>
        </w:rPr>
        <w:t>ose</w:t>
      </w:r>
      <w:r w:rsidR="00825168" w:rsidRPr="005D74FA">
        <w:rPr>
          <w:sz w:val="24"/>
          <w:szCs w:val="24"/>
        </w:rPr>
        <w:t xml:space="preserve"> </w:t>
      </w:r>
      <w:r w:rsidR="00FA1FA2" w:rsidRPr="005D74FA">
        <w:rPr>
          <w:sz w:val="24"/>
          <w:szCs w:val="24"/>
        </w:rPr>
        <w:t>arbitrare</w:t>
      </w:r>
      <w:r w:rsidR="0020142D" w:rsidRPr="005D74FA">
        <w:rPr>
          <w:sz w:val="24"/>
          <w:szCs w:val="24"/>
        </w:rPr>
        <w:t xml:space="preserve">. </w:t>
      </w:r>
    </w:p>
    <w:p w:rsidR="004D0489" w:rsidRPr="005D74FA" w:rsidRDefault="00425957" w:rsidP="0013788C">
      <w:pPr>
        <w:pStyle w:val="ListParagraph"/>
        <w:numPr>
          <w:ilvl w:val="0"/>
          <w:numId w:val="1"/>
        </w:numPr>
        <w:tabs>
          <w:tab w:val="left" w:pos="1080"/>
        </w:tabs>
        <w:spacing w:line="360" w:lineRule="auto"/>
        <w:ind w:left="0" w:firstLine="720"/>
        <w:rPr>
          <w:sz w:val="24"/>
          <w:szCs w:val="24"/>
        </w:rPr>
      </w:pPr>
      <w:r w:rsidRPr="005D74FA">
        <w:rPr>
          <w:sz w:val="24"/>
          <w:szCs w:val="24"/>
        </w:rPr>
        <w:t xml:space="preserve">Për </w:t>
      </w:r>
      <w:r w:rsidR="00C55482" w:rsidRPr="005D74FA">
        <w:rPr>
          <w:sz w:val="24"/>
          <w:szCs w:val="24"/>
        </w:rPr>
        <w:t>pasojë</w:t>
      </w:r>
      <w:r w:rsidRPr="005D74FA">
        <w:rPr>
          <w:sz w:val="24"/>
          <w:szCs w:val="24"/>
        </w:rPr>
        <w:t xml:space="preserve">, </w:t>
      </w:r>
      <w:r w:rsidR="00BF2373" w:rsidRPr="005D74FA">
        <w:rPr>
          <w:sz w:val="24"/>
          <w:szCs w:val="24"/>
        </w:rPr>
        <w:t xml:space="preserve">mungesa e shqyrtimit </w:t>
      </w:r>
      <w:r w:rsidR="00020F46" w:rsidRPr="005D74FA">
        <w:rPr>
          <w:sz w:val="24"/>
          <w:szCs w:val="24"/>
        </w:rPr>
        <w:t>të</w:t>
      </w:r>
      <w:r w:rsidRPr="005D74FA">
        <w:rPr>
          <w:sz w:val="24"/>
          <w:szCs w:val="24"/>
        </w:rPr>
        <w:t xml:space="preserve"> element</w:t>
      </w:r>
      <w:r w:rsidR="00486617" w:rsidRPr="005D74FA">
        <w:rPr>
          <w:sz w:val="24"/>
          <w:szCs w:val="24"/>
        </w:rPr>
        <w:t>e</w:t>
      </w:r>
      <w:r w:rsidR="00020F46" w:rsidRPr="005D74FA">
        <w:rPr>
          <w:sz w:val="24"/>
          <w:szCs w:val="24"/>
        </w:rPr>
        <w:t>ve</w:t>
      </w:r>
      <w:r w:rsidRPr="005D74FA">
        <w:rPr>
          <w:sz w:val="24"/>
          <w:szCs w:val="24"/>
        </w:rPr>
        <w:t xml:space="preserve"> substancial</w:t>
      </w:r>
      <w:r w:rsidR="00020F46" w:rsidRPr="005D74FA">
        <w:rPr>
          <w:sz w:val="24"/>
          <w:szCs w:val="24"/>
        </w:rPr>
        <w:t>e</w:t>
      </w:r>
      <w:r w:rsidRPr="005D74FA">
        <w:rPr>
          <w:sz w:val="24"/>
          <w:szCs w:val="24"/>
        </w:rPr>
        <w:t xml:space="preserve"> të </w:t>
      </w:r>
      <w:r w:rsidR="00BF2373" w:rsidRPr="005D74FA">
        <w:rPr>
          <w:sz w:val="24"/>
          <w:szCs w:val="24"/>
        </w:rPr>
        <w:t>urdhrit nr. 253/2020 nga Gjykata</w:t>
      </w:r>
      <w:r w:rsidR="0020142D" w:rsidRPr="005D74FA">
        <w:rPr>
          <w:sz w:val="24"/>
          <w:szCs w:val="24"/>
        </w:rPr>
        <w:t xml:space="preserve"> </w:t>
      </w:r>
      <w:r w:rsidR="00BF2373" w:rsidRPr="005D74FA">
        <w:rPr>
          <w:sz w:val="24"/>
          <w:szCs w:val="24"/>
        </w:rPr>
        <w:t>e</w:t>
      </w:r>
      <w:r w:rsidR="0020142D" w:rsidRPr="005D74FA">
        <w:rPr>
          <w:sz w:val="24"/>
          <w:szCs w:val="24"/>
        </w:rPr>
        <w:t xml:space="preserve"> Posaçme </w:t>
      </w:r>
      <w:r w:rsidR="00FC0E95" w:rsidRPr="005D74FA">
        <w:rPr>
          <w:sz w:val="24"/>
          <w:szCs w:val="24"/>
        </w:rPr>
        <w:t>e</w:t>
      </w:r>
      <w:r w:rsidR="0020142D" w:rsidRPr="005D74FA">
        <w:rPr>
          <w:sz w:val="24"/>
          <w:szCs w:val="24"/>
        </w:rPr>
        <w:t xml:space="preserve"> Shkallës së Parë nuk u </w:t>
      </w:r>
      <w:r w:rsidR="00BF2373" w:rsidRPr="005D74FA">
        <w:rPr>
          <w:sz w:val="24"/>
          <w:szCs w:val="24"/>
        </w:rPr>
        <w:t>konstatua dhe nuk u rregullua</w:t>
      </w:r>
      <w:r w:rsidR="0020142D" w:rsidRPr="005D74FA">
        <w:rPr>
          <w:sz w:val="24"/>
          <w:szCs w:val="24"/>
        </w:rPr>
        <w:t xml:space="preserve"> nga Gjykata e Posaçme e Apelit </w:t>
      </w:r>
      <w:r w:rsidR="00C673F9" w:rsidRPr="005D74FA">
        <w:rPr>
          <w:sz w:val="24"/>
          <w:szCs w:val="24"/>
        </w:rPr>
        <w:t>ose</w:t>
      </w:r>
      <w:r w:rsidR="0020142D" w:rsidRPr="005D74FA">
        <w:rPr>
          <w:sz w:val="24"/>
          <w:szCs w:val="24"/>
        </w:rPr>
        <w:t xml:space="preserve"> Kolegji Penal i Gjykatës së Lartë, pavarësisht kërkesave të vazhdueshme të kërkuesit </w:t>
      </w:r>
      <w:r w:rsidR="00E46700" w:rsidRPr="005D74FA">
        <w:rPr>
          <w:sz w:val="24"/>
          <w:szCs w:val="24"/>
        </w:rPr>
        <w:t>për vlerësimin</w:t>
      </w:r>
      <w:r w:rsidR="004D0489" w:rsidRPr="005D74FA">
        <w:rPr>
          <w:sz w:val="24"/>
          <w:szCs w:val="24"/>
        </w:rPr>
        <w:t xml:space="preserve"> nga g</w:t>
      </w:r>
      <w:r w:rsidR="00E46700" w:rsidRPr="005D74FA">
        <w:rPr>
          <w:sz w:val="24"/>
          <w:szCs w:val="24"/>
        </w:rPr>
        <w:t>jykatat</w:t>
      </w:r>
      <w:r w:rsidR="004D0489" w:rsidRPr="005D74FA">
        <w:rPr>
          <w:sz w:val="24"/>
          <w:szCs w:val="24"/>
        </w:rPr>
        <w:t xml:space="preserve"> të urdhrit të ministrit të Drejtësisë</w:t>
      </w:r>
      <w:r w:rsidR="007F545E" w:rsidRPr="005D74FA">
        <w:rPr>
          <w:sz w:val="24"/>
          <w:szCs w:val="24"/>
        </w:rPr>
        <w:t>,</w:t>
      </w:r>
      <w:r w:rsidR="004D0489" w:rsidRPr="005D74FA">
        <w:rPr>
          <w:sz w:val="24"/>
          <w:szCs w:val="24"/>
        </w:rPr>
        <w:t xml:space="preserve"> me qëllim </w:t>
      </w:r>
      <w:r w:rsidR="0020142D" w:rsidRPr="005D74FA">
        <w:rPr>
          <w:sz w:val="24"/>
          <w:szCs w:val="24"/>
        </w:rPr>
        <w:t>që</w:t>
      </w:r>
      <w:r w:rsidR="00552D3E" w:rsidRPr="005D74FA">
        <w:rPr>
          <w:sz w:val="24"/>
          <w:szCs w:val="24"/>
        </w:rPr>
        <w:t>,</w:t>
      </w:r>
      <w:r w:rsidR="0020142D" w:rsidRPr="005D74FA">
        <w:rPr>
          <w:sz w:val="24"/>
          <w:szCs w:val="24"/>
        </w:rPr>
        <w:t xml:space="preserve"> të paktën </w:t>
      </w:r>
      <w:r w:rsidR="00661417" w:rsidRPr="005D74FA">
        <w:rPr>
          <w:sz w:val="24"/>
          <w:szCs w:val="24"/>
        </w:rPr>
        <w:t>ato,</w:t>
      </w:r>
      <w:r w:rsidR="0020142D" w:rsidRPr="005D74FA">
        <w:rPr>
          <w:sz w:val="24"/>
          <w:szCs w:val="24"/>
        </w:rPr>
        <w:t xml:space="preserve"> të njiheshin me përmbajtjen e </w:t>
      </w:r>
      <w:r w:rsidR="00132940" w:rsidRPr="005D74FA">
        <w:rPr>
          <w:sz w:val="24"/>
          <w:szCs w:val="24"/>
        </w:rPr>
        <w:t xml:space="preserve">këtyre </w:t>
      </w:r>
      <w:r w:rsidR="0020142D" w:rsidRPr="005D74FA">
        <w:rPr>
          <w:sz w:val="24"/>
          <w:szCs w:val="24"/>
        </w:rPr>
        <w:t>akteve</w:t>
      </w:r>
      <w:r w:rsidR="004D0489" w:rsidRPr="005D74FA">
        <w:rPr>
          <w:sz w:val="24"/>
          <w:szCs w:val="24"/>
        </w:rPr>
        <w:t>.</w:t>
      </w:r>
      <w:r w:rsidR="00B34BE9" w:rsidRPr="005D74FA">
        <w:rPr>
          <w:sz w:val="24"/>
          <w:szCs w:val="24"/>
        </w:rPr>
        <w:t xml:space="preserve"> </w:t>
      </w:r>
    </w:p>
    <w:p w:rsidR="007154C3" w:rsidRPr="005D74FA" w:rsidRDefault="004E0A3E" w:rsidP="00A9638A">
      <w:pPr>
        <w:pStyle w:val="ListParagraph"/>
        <w:numPr>
          <w:ilvl w:val="0"/>
          <w:numId w:val="1"/>
        </w:numPr>
        <w:tabs>
          <w:tab w:val="left" w:pos="1080"/>
        </w:tabs>
        <w:spacing w:line="360" w:lineRule="auto"/>
        <w:ind w:left="0" w:firstLine="720"/>
        <w:rPr>
          <w:sz w:val="24"/>
          <w:szCs w:val="24"/>
        </w:rPr>
      </w:pPr>
      <w:bookmarkStart w:id="0" w:name="_Hlk97204461"/>
      <w:r w:rsidRPr="005D74FA">
        <w:rPr>
          <w:sz w:val="24"/>
          <w:szCs w:val="24"/>
        </w:rPr>
        <w:t xml:space="preserve">Gjykata evidenton se në çështjen konkrete, pretendimet e kërkuesit për procesin e rregullt duhen vlerësuar edhe të analizuara në kontekstin e statusit të kërkuesit, të cilit i është hequr liria sipas nenit 27, pika 2, shkronja “c”, të </w:t>
      </w:r>
      <w:r w:rsidR="00BB6126" w:rsidRPr="005D74FA">
        <w:rPr>
          <w:sz w:val="24"/>
          <w:szCs w:val="24"/>
        </w:rPr>
        <w:t>Kushtetutës</w:t>
      </w:r>
      <w:r w:rsidRPr="005D74FA">
        <w:rPr>
          <w:sz w:val="24"/>
          <w:szCs w:val="24"/>
        </w:rPr>
        <w:t>, për</w:t>
      </w:r>
      <w:r w:rsidR="00E46700" w:rsidRPr="005D74FA">
        <w:rPr>
          <w:sz w:val="24"/>
          <w:szCs w:val="24"/>
        </w:rPr>
        <w:t>gjatë procesit penal</w:t>
      </w:r>
      <w:r w:rsidRPr="005D74FA">
        <w:rPr>
          <w:sz w:val="24"/>
          <w:szCs w:val="24"/>
        </w:rPr>
        <w:t xml:space="preserve"> ku po gjykohet fajësia e tij për kryerjen e një vepre penale dhe</w:t>
      </w:r>
      <w:r w:rsidR="00E46700" w:rsidRPr="005D74FA">
        <w:rPr>
          <w:sz w:val="24"/>
          <w:szCs w:val="24"/>
        </w:rPr>
        <w:t>,</w:t>
      </w:r>
      <w:r w:rsidRPr="005D74FA">
        <w:rPr>
          <w:sz w:val="24"/>
          <w:szCs w:val="24"/>
        </w:rPr>
        <w:t xml:space="preserve"> për më tepër, duke marrë shkas edhe nga fakti se ndaj tij është zbatuar një regjim i posaçëm, edhe më rigoroz në drejtim të kufizimit të lirisë dhe të </w:t>
      </w:r>
      <w:proofErr w:type="spellStart"/>
      <w:r w:rsidR="00797241" w:rsidRPr="005D74FA">
        <w:rPr>
          <w:sz w:val="24"/>
          <w:szCs w:val="24"/>
        </w:rPr>
        <w:t>të</w:t>
      </w:r>
      <w:proofErr w:type="spellEnd"/>
      <w:r w:rsidR="00797241" w:rsidRPr="005D74FA">
        <w:rPr>
          <w:sz w:val="24"/>
          <w:szCs w:val="24"/>
        </w:rPr>
        <w:t xml:space="preserve"> </w:t>
      </w:r>
      <w:r w:rsidRPr="005D74FA">
        <w:rPr>
          <w:sz w:val="24"/>
          <w:szCs w:val="24"/>
        </w:rPr>
        <w:t>drejtave të tjera. Pa paragjykuar fajësinë për kryerjen e veprës penale ndaj tij, për shkak të</w:t>
      </w:r>
      <w:r w:rsidR="00DC1A79" w:rsidRPr="005D74FA">
        <w:rPr>
          <w:sz w:val="24"/>
          <w:szCs w:val="24"/>
        </w:rPr>
        <w:t xml:space="preserve"> s</w:t>
      </w:r>
      <w:r w:rsidRPr="005D74FA">
        <w:rPr>
          <w:sz w:val="24"/>
          <w:szCs w:val="24"/>
        </w:rPr>
        <w:t xml:space="preserve">ë cilës kërkuesit i është caktuar masa e sigurimit “arrest në burg” dhe vërtetësinë e të dhënave, për shkak të </w:t>
      </w:r>
      <w:proofErr w:type="spellStart"/>
      <w:r w:rsidRPr="005D74FA">
        <w:rPr>
          <w:sz w:val="24"/>
          <w:szCs w:val="24"/>
        </w:rPr>
        <w:t>të</w:t>
      </w:r>
      <w:proofErr w:type="spellEnd"/>
      <w:r w:rsidRPr="005D74FA">
        <w:rPr>
          <w:sz w:val="24"/>
          <w:szCs w:val="24"/>
        </w:rPr>
        <w:t xml:space="preserve"> cilave ndaj tij është caktuar masa e regjimit të posaçëm, Gjykata thekson se sipas nenit 15 </w:t>
      </w:r>
      <w:r w:rsidR="00D869C1" w:rsidRPr="005D74FA">
        <w:rPr>
          <w:sz w:val="24"/>
          <w:szCs w:val="24"/>
        </w:rPr>
        <w:t xml:space="preserve">të </w:t>
      </w:r>
      <w:r w:rsidRPr="005D74FA">
        <w:rPr>
          <w:sz w:val="24"/>
          <w:szCs w:val="24"/>
        </w:rPr>
        <w:t>Kushtetutës, organet e pushtetit publik kanë detyrimin të respektojnë të drejtën për proces të rregullt ligjor edhe ndaj personave, të cilëve sipas ligjit iu është kufizuar liria, pasi</w:t>
      </w:r>
      <w:r w:rsidR="00797241" w:rsidRPr="005D74FA">
        <w:rPr>
          <w:sz w:val="24"/>
          <w:szCs w:val="24"/>
        </w:rPr>
        <w:t>,</w:t>
      </w:r>
      <w:r w:rsidRPr="005D74FA">
        <w:rPr>
          <w:sz w:val="24"/>
          <w:szCs w:val="24"/>
        </w:rPr>
        <w:t xml:space="preserve"> ashtu si të drejtat e tjera, edhe kjo e drejtë është e pandashme, e patjetërsueshme dhe e padhunueshme</w:t>
      </w:r>
      <w:r w:rsidR="00D64E2A" w:rsidRPr="005D74FA">
        <w:rPr>
          <w:sz w:val="24"/>
          <w:szCs w:val="24"/>
        </w:rPr>
        <w:t xml:space="preserve">.  </w:t>
      </w:r>
    </w:p>
    <w:bookmarkEnd w:id="0"/>
    <w:p w:rsidR="00A9638A" w:rsidRPr="005D74FA" w:rsidRDefault="004E0A3E" w:rsidP="00A9638A">
      <w:pPr>
        <w:pStyle w:val="ListParagraph"/>
        <w:numPr>
          <w:ilvl w:val="0"/>
          <w:numId w:val="1"/>
        </w:numPr>
        <w:tabs>
          <w:tab w:val="left" w:pos="1080"/>
        </w:tabs>
        <w:spacing w:line="360" w:lineRule="auto"/>
        <w:ind w:left="0" w:firstLine="720"/>
        <w:rPr>
          <w:sz w:val="24"/>
          <w:szCs w:val="24"/>
        </w:rPr>
      </w:pPr>
      <w:r w:rsidRPr="005D74FA">
        <w:rPr>
          <w:sz w:val="24"/>
          <w:szCs w:val="24"/>
        </w:rPr>
        <w:t>Në këtë pikëpamje, duhet vënë re se në rastin e kësaj kategorie individësh, liria e të cilëve është kufizuar sipas ligjit, organet e pushtetit publik kanë detyrime shtesë për të dëshmuar se të drejtat kushtetuese të tyre respektohen dhe</w:t>
      </w:r>
      <w:r w:rsidR="005754B0" w:rsidRPr="005D74FA">
        <w:rPr>
          <w:sz w:val="24"/>
          <w:szCs w:val="24"/>
        </w:rPr>
        <w:t>,</w:t>
      </w:r>
      <w:r w:rsidRPr="005D74FA">
        <w:rPr>
          <w:sz w:val="24"/>
          <w:szCs w:val="24"/>
        </w:rPr>
        <w:t xml:space="preserve"> pikërisht për këtë arsye, nenet 27 dhe 28 të Kushtetutës parashikojnë garanci specifike për këtë kategori individësh, ku ritheksohet në mënyrë të veçantë se çdo person, të cilit i është hequr liria, ka të drejtën e trajtimit njerëzor dhe të respektimit të dinjitetit të tij</w:t>
      </w:r>
      <w:r w:rsidR="00A9638A" w:rsidRPr="005D74FA">
        <w:rPr>
          <w:sz w:val="24"/>
          <w:szCs w:val="24"/>
        </w:rPr>
        <w:t>.</w:t>
      </w:r>
    </w:p>
    <w:p w:rsidR="00BB6126" w:rsidRPr="005D74FA" w:rsidRDefault="00BB6126" w:rsidP="00A9638A">
      <w:pPr>
        <w:pStyle w:val="ListParagraph"/>
        <w:numPr>
          <w:ilvl w:val="0"/>
          <w:numId w:val="1"/>
        </w:numPr>
        <w:tabs>
          <w:tab w:val="left" w:pos="1080"/>
        </w:tabs>
        <w:spacing w:line="360" w:lineRule="auto"/>
        <w:ind w:left="0" w:firstLine="720"/>
        <w:rPr>
          <w:sz w:val="24"/>
          <w:szCs w:val="24"/>
        </w:rPr>
      </w:pPr>
      <w:r w:rsidRPr="005D74FA">
        <w:rPr>
          <w:sz w:val="24"/>
          <w:szCs w:val="24"/>
        </w:rPr>
        <w:t>Për sa më lart, Gjykata çmon se, në rastin konkret, kërkuesit i është cenuar e drejta për një proces të rregullt ligjor në drejtim të garantimit të parimit të kontradiktoritetit në gjykim.</w:t>
      </w:r>
    </w:p>
    <w:p w:rsidR="002402E8" w:rsidRPr="005D74FA" w:rsidRDefault="00425957" w:rsidP="00A25659">
      <w:pPr>
        <w:pStyle w:val="ListParagraph"/>
        <w:numPr>
          <w:ilvl w:val="0"/>
          <w:numId w:val="1"/>
        </w:numPr>
        <w:tabs>
          <w:tab w:val="left" w:pos="1080"/>
        </w:tabs>
        <w:spacing w:line="360" w:lineRule="auto"/>
        <w:ind w:left="0" w:firstLine="720"/>
        <w:rPr>
          <w:sz w:val="24"/>
          <w:szCs w:val="24"/>
        </w:rPr>
      </w:pPr>
      <w:r w:rsidRPr="005D74FA">
        <w:rPr>
          <w:sz w:val="24"/>
          <w:szCs w:val="24"/>
        </w:rPr>
        <w:t xml:space="preserve">Megjithatë, </w:t>
      </w:r>
      <w:r w:rsidR="00736E96" w:rsidRPr="005D74FA">
        <w:rPr>
          <w:sz w:val="24"/>
          <w:szCs w:val="24"/>
        </w:rPr>
        <w:t xml:space="preserve">Gjykata vlerëson se </w:t>
      </w:r>
      <w:r w:rsidR="00D64E2A" w:rsidRPr="005D74FA">
        <w:rPr>
          <w:sz w:val="24"/>
          <w:szCs w:val="24"/>
        </w:rPr>
        <w:t xml:space="preserve">pavarësisht konstatimit të shkeljes së të drejtave themelore në rastin e kërkuesit, </w:t>
      </w:r>
      <w:r w:rsidR="002402E8" w:rsidRPr="005D74FA">
        <w:rPr>
          <w:sz w:val="24"/>
          <w:szCs w:val="24"/>
        </w:rPr>
        <w:t xml:space="preserve">dërgimi i çështjes për rishqyrtim në </w:t>
      </w:r>
      <w:r w:rsidR="00112381" w:rsidRPr="005D74FA">
        <w:rPr>
          <w:sz w:val="24"/>
          <w:szCs w:val="24"/>
        </w:rPr>
        <w:t>gjykatat e juridiksionit të zakonshëm</w:t>
      </w:r>
      <w:r w:rsidR="002402E8" w:rsidRPr="005D74FA">
        <w:rPr>
          <w:sz w:val="24"/>
          <w:szCs w:val="24"/>
        </w:rPr>
        <w:t xml:space="preserve"> nuk do të sillte </w:t>
      </w:r>
      <w:r w:rsidRPr="005D74FA">
        <w:rPr>
          <w:sz w:val="24"/>
          <w:szCs w:val="24"/>
        </w:rPr>
        <w:t xml:space="preserve">ndonjë </w:t>
      </w:r>
      <w:r w:rsidR="002402E8" w:rsidRPr="005D74FA">
        <w:rPr>
          <w:sz w:val="24"/>
          <w:szCs w:val="24"/>
        </w:rPr>
        <w:t>rezultat</w:t>
      </w:r>
      <w:r w:rsidR="00EB4E3D" w:rsidRPr="005D74FA">
        <w:rPr>
          <w:sz w:val="24"/>
          <w:szCs w:val="24"/>
        </w:rPr>
        <w:t xml:space="preserve"> konkret për të</w:t>
      </w:r>
      <w:r w:rsidR="002402E8" w:rsidRPr="005D74FA">
        <w:rPr>
          <w:sz w:val="24"/>
          <w:szCs w:val="24"/>
        </w:rPr>
        <w:t xml:space="preserve">. Në këto kushte, </w:t>
      </w:r>
      <w:r w:rsidR="00D64E2A" w:rsidRPr="005D74FA">
        <w:rPr>
          <w:sz w:val="24"/>
          <w:szCs w:val="24"/>
        </w:rPr>
        <w:t xml:space="preserve">duke pasur parasysh </w:t>
      </w:r>
      <w:r w:rsidR="00EB4E3D" w:rsidRPr="005D74FA">
        <w:rPr>
          <w:sz w:val="24"/>
          <w:szCs w:val="24"/>
        </w:rPr>
        <w:t>shuarjen</w:t>
      </w:r>
      <w:r w:rsidR="00D64E2A" w:rsidRPr="005D74FA">
        <w:rPr>
          <w:sz w:val="24"/>
          <w:szCs w:val="24"/>
        </w:rPr>
        <w:t xml:space="preserve"> e efekteve të urdhrit të kundërshtuar për shkak të </w:t>
      </w:r>
      <w:r w:rsidR="00EB4E3D" w:rsidRPr="005D74FA">
        <w:rPr>
          <w:sz w:val="24"/>
          <w:szCs w:val="24"/>
        </w:rPr>
        <w:t>mbarimit</w:t>
      </w:r>
      <w:r w:rsidR="00D64E2A" w:rsidRPr="005D74FA">
        <w:rPr>
          <w:sz w:val="24"/>
          <w:szCs w:val="24"/>
        </w:rPr>
        <w:t xml:space="preserve"> të afatit</w:t>
      </w:r>
      <w:r w:rsidR="00EB4E3D" w:rsidRPr="005D74FA">
        <w:rPr>
          <w:sz w:val="24"/>
          <w:szCs w:val="24"/>
        </w:rPr>
        <w:t xml:space="preserve"> të tij</w:t>
      </w:r>
      <w:r w:rsidR="00D64E2A" w:rsidRPr="005D74FA">
        <w:rPr>
          <w:sz w:val="24"/>
          <w:szCs w:val="24"/>
        </w:rPr>
        <w:t xml:space="preserve">, </w:t>
      </w:r>
      <w:r w:rsidR="002402E8" w:rsidRPr="005D74FA">
        <w:rPr>
          <w:sz w:val="24"/>
          <w:szCs w:val="24"/>
        </w:rPr>
        <w:t xml:space="preserve">Gjykata </w:t>
      </w:r>
      <w:r w:rsidR="00833424" w:rsidRPr="005D74FA">
        <w:rPr>
          <w:sz w:val="24"/>
          <w:szCs w:val="24"/>
        </w:rPr>
        <w:t>vlerëson</w:t>
      </w:r>
      <w:r w:rsidR="008171A9" w:rsidRPr="005D74FA">
        <w:rPr>
          <w:sz w:val="24"/>
          <w:szCs w:val="24"/>
        </w:rPr>
        <w:t xml:space="preserve"> të shprehet </w:t>
      </w:r>
      <w:r w:rsidR="00C8457D" w:rsidRPr="005D74FA">
        <w:rPr>
          <w:sz w:val="24"/>
          <w:szCs w:val="24"/>
        </w:rPr>
        <w:t xml:space="preserve">vetëm </w:t>
      </w:r>
      <w:r w:rsidR="008171A9" w:rsidRPr="005D74FA">
        <w:rPr>
          <w:sz w:val="24"/>
          <w:szCs w:val="24"/>
        </w:rPr>
        <w:t>për</w:t>
      </w:r>
      <w:r w:rsidR="00C8457D" w:rsidRPr="005D74FA">
        <w:rPr>
          <w:sz w:val="24"/>
          <w:szCs w:val="24"/>
        </w:rPr>
        <w:t xml:space="preserve"> konstatimin e cenimit të së drejtës për proces të rregullt ligjor gjatë gjykimit të ankimit të kërkuesit ndaj urdhrit nr. 253/2020 të ministrit të Drejtësisë.</w:t>
      </w:r>
    </w:p>
    <w:p w:rsidR="00AD4D79" w:rsidRPr="005D74FA" w:rsidRDefault="00BB6126" w:rsidP="00A25659">
      <w:pPr>
        <w:pStyle w:val="ListParagraph"/>
        <w:numPr>
          <w:ilvl w:val="0"/>
          <w:numId w:val="1"/>
        </w:numPr>
        <w:tabs>
          <w:tab w:val="left" w:pos="1080"/>
        </w:tabs>
        <w:spacing w:line="360" w:lineRule="auto"/>
        <w:ind w:left="0" w:firstLine="720"/>
        <w:rPr>
          <w:sz w:val="24"/>
          <w:szCs w:val="24"/>
        </w:rPr>
      </w:pPr>
      <w:r w:rsidRPr="005D74FA">
        <w:rPr>
          <w:sz w:val="24"/>
          <w:szCs w:val="24"/>
        </w:rPr>
        <w:t>Si përfundim</w:t>
      </w:r>
      <w:r w:rsidR="002402E8" w:rsidRPr="005D74FA">
        <w:rPr>
          <w:sz w:val="24"/>
          <w:szCs w:val="24"/>
        </w:rPr>
        <w:t xml:space="preserve">, </w:t>
      </w:r>
      <w:r w:rsidR="00AD4D79" w:rsidRPr="005D74FA">
        <w:rPr>
          <w:sz w:val="24"/>
          <w:szCs w:val="24"/>
        </w:rPr>
        <w:t>Gjykata çmon se</w:t>
      </w:r>
      <w:r w:rsidR="005A01C3" w:rsidRPr="005D74FA">
        <w:rPr>
          <w:sz w:val="24"/>
          <w:szCs w:val="24"/>
        </w:rPr>
        <w:t>,</w:t>
      </w:r>
      <w:r w:rsidR="00AD4D79" w:rsidRPr="005D74FA">
        <w:rPr>
          <w:sz w:val="24"/>
          <w:szCs w:val="24"/>
        </w:rPr>
        <w:t xml:space="preserve"> kërkuesit i është cenuar e drejta për një proces të rregullt ligjor</w:t>
      </w:r>
      <w:r w:rsidR="003226AF" w:rsidRPr="005D74FA">
        <w:rPr>
          <w:sz w:val="24"/>
          <w:szCs w:val="24"/>
        </w:rPr>
        <w:t xml:space="preserve"> në drejtim të garantimit të parimit të kontradiktoritetit në gjykim</w:t>
      </w:r>
      <w:r w:rsidR="00AD4D79" w:rsidRPr="005D74FA">
        <w:rPr>
          <w:sz w:val="24"/>
          <w:szCs w:val="24"/>
        </w:rPr>
        <w:t>.</w:t>
      </w:r>
    </w:p>
    <w:p w:rsidR="00B80720" w:rsidRPr="005D74FA" w:rsidRDefault="00B80720" w:rsidP="00B80720">
      <w:pPr>
        <w:pStyle w:val="ListParagraph"/>
        <w:tabs>
          <w:tab w:val="left" w:pos="1080"/>
        </w:tabs>
        <w:spacing w:line="360" w:lineRule="auto"/>
        <w:rPr>
          <w:sz w:val="24"/>
          <w:szCs w:val="24"/>
        </w:rPr>
      </w:pPr>
    </w:p>
    <w:p w:rsidR="00AD4D79" w:rsidRPr="005D74FA" w:rsidRDefault="00AD4D79" w:rsidP="00AD4D79">
      <w:pPr>
        <w:spacing w:line="360" w:lineRule="auto"/>
        <w:jc w:val="center"/>
        <w:rPr>
          <w:sz w:val="24"/>
          <w:szCs w:val="24"/>
        </w:rPr>
      </w:pPr>
      <w:r w:rsidRPr="005D74FA">
        <w:rPr>
          <w:b/>
          <w:bCs/>
          <w:sz w:val="24"/>
          <w:szCs w:val="24"/>
        </w:rPr>
        <w:t>PËR KËTO ARSYE,</w:t>
      </w:r>
    </w:p>
    <w:p w:rsidR="00AD4D79" w:rsidRPr="005D74FA" w:rsidRDefault="00AD4D79" w:rsidP="00AD4D79">
      <w:pPr>
        <w:spacing w:line="360" w:lineRule="auto"/>
        <w:ind w:firstLine="720"/>
        <w:rPr>
          <w:sz w:val="24"/>
          <w:szCs w:val="24"/>
        </w:rPr>
      </w:pPr>
      <w:r w:rsidRPr="005D74FA">
        <w:rPr>
          <w:sz w:val="24"/>
          <w:szCs w:val="24"/>
        </w:rPr>
        <w:t xml:space="preserve">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w:t>
      </w:r>
      <w:r w:rsidR="003226AF" w:rsidRPr="005D74FA">
        <w:rPr>
          <w:sz w:val="24"/>
          <w:szCs w:val="24"/>
        </w:rPr>
        <w:t>njëzëri</w:t>
      </w:r>
      <w:r w:rsidRPr="005D74FA">
        <w:rPr>
          <w:sz w:val="24"/>
          <w:szCs w:val="24"/>
        </w:rPr>
        <w:t xml:space="preserve">, </w:t>
      </w:r>
    </w:p>
    <w:p w:rsidR="00AD4D79" w:rsidRPr="005D74FA" w:rsidRDefault="00AD4D79" w:rsidP="00AD4D79">
      <w:pPr>
        <w:spacing w:line="360" w:lineRule="auto"/>
        <w:jc w:val="center"/>
        <w:rPr>
          <w:b/>
          <w:bCs/>
          <w:sz w:val="24"/>
          <w:szCs w:val="24"/>
        </w:rPr>
      </w:pPr>
    </w:p>
    <w:p w:rsidR="00AD4D79" w:rsidRPr="005D74FA" w:rsidRDefault="00AD4D79" w:rsidP="00AD4D79">
      <w:pPr>
        <w:spacing w:line="360" w:lineRule="auto"/>
        <w:jc w:val="center"/>
        <w:rPr>
          <w:b/>
          <w:bCs/>
          <w:sz w:val="24"/>
          <w:szCs w:val="24"/>
        </w:rPr>
      </w:pPr>
      <w:r w:rsidRPr="005D74FA">
        <w:rPr>
          <w:b/>
          <w:bCs/>
          <w:sz w:val="24"/>
          <w:szCs w:val="24"/>
        </w:rPr>
        <w:t>V E N D O S I :</w:t>
      </w:r>
    </w:p>
    <w:p w:rsidR="00AD4D79" w:rsidRPr="005D74FA" w:rsidRDefault="003226AF" w:rsidP="003226AF">
      <w:pPr>
        <w:pStyle w:val="ListParagraph"/>
        <w:numPr>
          <w:ilvl w:val="0"/>
          <w:numId w:val="6"/>
        </w:numPr>
        <w:tabs>
          <w:tab w:val="left" w:pos="990"/>
        </w:tabs>
        <w:spacing w:line="360" w:lineRule="auto"/>
        <w:ind w:left="0" w:firstLine="720"/>
        <w:rPr>
          <w:sz w:val="24"/>
          <w:szCs w:val="24"/>
        </w:rPr>
      </w:pPr>
      <w:r w:rsidRPr="005D74FA">
        <w:rPr>
          <w:sz w:val="24"/>
          <w:szCs w:val="24"/>
        </w:rPr>
        <w:t xml:space="preserve">Konstatimin e cenimit të së drejtës për proces të rregullt ligjor gjatë gjykimit të ankimit ndaj urdhrit nr. 253, datë 28.07.2020 të ministrit të Drejtësisë “Për vendosjen në regjimin e posaçëm të ushtrimit të </w:t>
      </w:r>
      <w:proofErr w:type="spellStart"/>
      <w:r w:rsidRPr="005D74FA">
        <w:rPr>
          <w:sz w:val="24"/>
          <w:szCs w:val="24"/>
        </w:rPr>
        <w:t>të</w:t>
      </w:r>
      <w:proofErr w:type="spellEnd"/>
      <w:r w:rsidRPr="005D74FA">
        <w:rPr>
          <w:sz w:val="24"/>
          <w:szCs w:val="24"/>
        </w:rPr>
        <w:t xml:space="preserve"> drejtave në burgun e sigurisë së lartë për të paraburgosurin </w:t>
      </w:r>
      <w:proofErr w:type="spellStart"/>
      <w:r w:rsidRPr="005D74FA">
        <w:rPr>
          <w:sz w:val="24"/>
          <w:szCs w:val="24"/>
        </w:rPr>
        <w:t>Emiljano</w:t>
      </w:r>
      <w:proofErr w:type="spellEnd"/>
      <w:r w:rsidRPr="005D74FA">
        <w:rPr>
          <w:sz w:val="24"/>
          <w:szCs w:val="24"/>
        </w:rPr>
        <w:t xml:space="preserve"> </w:t>
      </w:r>
      <w:proofErr w:type="spellStart"/>
      <w:r w:rsidRPr="005D74FA">
        <w:rPr>
          <w:sz w:val="24"/>
          <w:szCs w:val="24"/>
        </w:rPr>
        <w:t>Shullazi</w:t>
      </w:r>
      <w:proofErr w:type="spellEnd"/>
      <w:r w:rsidRPr="005D74FA">
        <w:rPr>
          <w:sz w:val="24"/>
          <w:szCs w:val="24"/>
        </w:rPr>
        <w:t>”, si pasojë e mosrespektimit të parimit të kontradiktoritetit</w:t>
      </w:r>
      <w:r w:rsidR="00AD4D79" w:rsidRPr="005D74FA">
        <w:rPr>
          <w:sz w:val="24"/>
          <w:szCs w:val="24"/>
        </w:rPr>
        <w:t xml:space="preserve">. </w:t>
      </w:r>
    </w:p>
    <w:p w:rsidR="00AD4D79" w:rsidRPr="005D74FA" w:rsidRDefault="00AD4D79" w:rsidP="00AD4D79">
      <w:pPr>
        <w:pStyle w:val="BodyTextIndent3"/>
      </w:pPr>
      <w:r w:rsidRPr="005D74FA">
        <w:t>Ky vendim është përfundimtar, i formës së prerë dhe hyn në fuqi ditën e botimit në Fletoren Zyrtare.</w:t>
      </w:r>
    </w:p>
    <w:p w:rsidR="00AD4D79" w:rsidRPr="005D74FA" w:rsidRDefault="00AD4D79" w:rsidP="00AD4D79">
      <w:pPr>
        <w:tabs>
          <w:tab w:val="left" w:pos="0"/>
        </w:tabs>
        <w:spacing w:line="360" w:lineRule="auto"/>
        <w:rPr>
          <w:b/>
          <w:bCs/>
          <w:sz w:val="24"/>
          <w:szCs w:val="24"/>
        </w:rPr>
      </w:pPr>
      <w:r w:rsidRPr="005D74FA">
        <w:rPr>
          <w:b/>
          <w:bCs/>
          <w:sz w:val="24"/>
          <w:szCs w:val="24"/>
        </w:rPr>
        <w:t xml:space="preserve">Marrë më </w:t>
      </w:r>
      <w:r w:rsidR="003226AF" w:rsidRPr="005D74FA">
        <w:rPr>
          <w:b/>
          <w:bCs/>
          <w:sz w:val="24"/>
          <w:szCs w:val="24"/>
        </w:rPr>
        <w:t>22</w:t>
      </w:r>
      <w:r w:rsidRPr="005D74FA">
        <w:rPr>
          <w:b/>
          <w:bCs/>
          <w:sz w:val="24"/>
          <w:szCs w:val="24"/>
        </w:rPr>
        <w:t>.</w:t>
      </w:r>
      <w:r w:rsidR="003226AF" w:rsidRPr="005D74FA">
        <w:rPr>
          <w:b/>
          <w:bCs/>
          <w:sz w:val="24"/>
          <w:szCs w:val="24"/>
        </w:rPr>
        <w:t>02</w:t>
      </w:r>
      <w:r w:rsidRPr="005D74FA">
        <w:rPr>
          <w:b/>
          <w:bCs/>
          <w:sz w:val="24"/>
          <w:szCs w:val="24"/>
        </w:rPr>
        <w:t>.202</w:t>
      </w:r>
      <w:r w:rsidR="00C257F7" w:rsidRPr="005D74FA">
        <w:rPr>
          <w:b/>
          <w:bCs/>
          <w:sz w:val="24"/>
          <w:szCs w:val="24"/>
        </w:rPr>
        <w:t>2</w:t>
      </w:r>
    </w:p>
    <w:p w:rsidR="00AD4D79" w:rsidRPr="005D74FA" w:rsidRDefault="00AD4D79" w:rsidP="00AD4D79">
      <w:pPr>
        <w:spacing w:line="360" w:lineRule="auto"/>
        <w:rPr>
          <w:sz w:val="24"/>
          <w:szCs w:val="24"/>
        </w:rPr>
      </w:pPr>
      <w:r w:rsidRPr="005D74FA">
        <w:rPr>
          <w:b/>
          <w:bCs/>
          <w:sz w:val="24"/>
          <w:szCs w:val="24"/>
        </w:rPr>
        <w:t>Shpallur më</w:t>
      </w:r>
      <w:r w:rsidR="005A24A7">
        <w:rPr>
          <w:b/>
          <w:bCs/>
          <w:sz w:val="24"/>
          <w:szCs w:val="24"/>
        </w:rPr>
        <w:t xml:space="preserve"> 17.03.</w:t>
      </w:r>
      <w:r w:rsidRPr="005D74FA">
        <w:rPr>
          <w:b/>
          <w:bCs/>
          <w:sz w:val="24"/>
          <w:szCs w:val="24"/>
        </w:rPr>
        <w:t>202</w:t>
      </w:r>
      <w:r w:rsidR="00C257F7" w:rsidRPr="005D74FA">
        <w:rPr>
          <w:b/>
          <w:bCs/>
          <w:sz w:val="24"/>
          <w:szCs w:val="24"/>
        </w:rPr>
        <w:t>2</w:t>
      </w:r>
    </w:p>
    <w:p w:rsidR="005806F8" w:rsidRPr="00DC2DF4" w:rsidRDefault="005806F8" w:rsidP="00AF283B">
      <w:pPr>
        <w:tabs>
          <w:tab w:val="left" w:pos="851"/>
        </w:tabs>
        <w:spacing w:line="360" w:lineRule="auto"/>
        <w:ind w:firstLine="567"/>
        <w:rPr>
          <w:sz w:val="24"/>
          <w:szCs w:val="24"/>
        </w:rPr>
      </w:pPr>
    </w:p>
    <w:sectPr w:rsidR="005806F8" w:rsidRPr="00DC2DF4" w:rsidSect="005D74FA">
      <w:footerReference w:type="default" r:id="rId8"/>
      <w:pgSz w:w="11906" w:h="16838"/>
      <w:pgMar w:top="1260" w:right="1440" w:bottom="1710" w:left="1440"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E2" w:rsidRDefault="009F37E2" w:rsidP="002C212B">
      <w:r>
        <w:separator/>
      </w:r>
    </w:p>
  </w:endnote>
  <w:endnote w:type="continuationSeparator" w:id="0">
    <w:p w:rsidR="009F37E2" w:rsidRDefault="009F37E2" w:rsidP="002C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9" w:rsidRPr="008F3E99" w:rsidRDefault="00083B19" w:rsidP="008F3E99">
    <w:pPr>
      <w:pBdr>
        <w:top w:val="thinThickSmallGap" w:sz="24" w:space="1" w:color="622423"/>
      </w:pBdr>
      <w:tabs>
        <w:tab w:val="center" w:pos="4680"/>
        <w:tab w:val="right" w:pos="9360"/>
      </w:tabs>
      <w:rPr>
        <w:rFonts w:ascii="Cambria" w:hAnsi="Cambria"/>
        <w:sz w:val="24"/>
        <w:szCs w:val="24"/>
      </w:rPr>
    </w:pPr>
    <w:r w:rsidRPr="008F3E99">
      <w:rPr>
        <w:rFonts w:ascii="Cambria" w:hAnsi="Cambria"/>
        <w:sz w:val="24"/>
        <w:szCs w:val="24"/>
      </w:rPr>
      <w:t xml:space="preserve">Vendim i </w:t>
    </w:r>
    <w:r>
      <w:rPr>
        <w:rFonts w:ascii="Cambria" w:hAnsi="Cambria"/>
        <w:sz w:val="24"/>
        <w:szCs w:val="24"/>
      </w:rPr>
      <w:t>Gjykatës Kushtetuese</w:t>
    </w:r>
  </w:p>
  <w:p w:rsidR="00083B19" w:rsidRDefault="00083B19" w:rsidP="00C257F7">
    <w:pPr>
      <w:pBdr>
        <w:top w:val="thinThickSmallGap" w:sz="24" w:space="1" w:color="622423"/>
      </w:pBdr>
      <w:tabs>
        <w:tab w:val="right" w:pos="9360"/>
      </w:tabs>
    </w:pPr>
    <w:r w:rsidRPr="008F3E99">
      <w:rPr>
        <w:rFonts w:ascii="Cambria" w:hAnsi="Cambria"/>
        <w:sz w:val="24"/>
        <w:szCs w:val="24"/>
      </w:rPr>
      <w:t xml:space="preserve">Kërkues: </w:t>
    </w:r>
    <w:proofErr w:type="spellStart"/>
    <w:r>
      <w:rPr>
        <w:rFonts w:ascii="Cambria" w:hAnsi="Cambria"/>
        <w:sz w:val="24"/>
        <w:szCs w:val="24"/>
      </w:rPr>
      <w:t>Emiljano</w:t>
    </w:r>
    <w:proofErr w:type="spellEnd"/>
    <w:r>
      <w:rPr>
        <w:rFonts w:ascii="Cambria" w:hAnsi="Cambria"/>
        <w:sz w:val="24"/>
        <w:szCs w:val="24"/>
      </w:rPr>
      <w:t xml:space="preserve"> </w:t>
    </w:r>
    <w:proofErr w:type="spellStart"/>
    <w:r>
      <w:rPr>
        <w:rFonts w:ascii="Cambria" w:hAnsi="Cambria"/>
        <w:sz w:val="24"/>
        <w:szCs w:val="24"/>
      </w:rPr>
      <w:t>Shullazi</w:t>
    </w:r>
    <w:proofErr w:type="spellEnd"/>
    <w:r w:rsidRPr="008F3E99">
      <w:rPr>
        <w:rFonts w:ascii="Cambria" w:hAnsi="Cambria"/>
        <w:sz w:val="24"/>
        <w:szCs w:val="24"/>
      </w:rPr>
      <w:tab/>
      <w:t xml:space="preserve">Faqe </w:t>
    </w:r>
    <w:r w:rsidRPr="008F3E99">
      <w:rPr>
        <w:sz w:val="24"/>
        <w:szCs w:val="24"/>
      </w:rPr>
      <w:fldChar w:fldCharType="begin"/>
    </w:r>
    <w:r w:rsidRPr="008F3E99">
      <w:rPr>
        <w:sz w:val="24"/>
        <w:szCs w:val="24"/>
      </w:rPr>
      <w:instrText xml:space="preserve"> PAGE   \* MERGEFORMAT </w:instrText>
    </w:r>
    <w:r w:rsidRPr="008F3E99">
      <w:rPr>
        <w:sz w:val="24"/>
        <w:szCs w:val="24"/>
      </w:rPr>
      <w:fldChar w:fldCharType="separate"/>
    </w:r>
    <w:r w:rsidR="003617C1" w:rsidRPr="003617C1">
      <w:rPr>
        <w:rFonts w:ascii="Cambria" w:hAnsi="Cambria"/>
        <w:noProof/>
        <w:sz w:val="24"/>
        <w:szCs w:val="24"/>
      </w:rPr>
      <w:t>17</w:t>
    </w:r>
    <w:r w:rsidRPr="008F3E99">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E2" w:rsidRDefault="009F37E2" w:rsidP="002C212B">
      <w:r>
        <w:separator/>
      </w:r>
    </w:p>
  </w:footnote>
  <w:footnote w:type="continuationSeparator" w:id="0">
    <w:p w:rsidR="009F37E2" w:rsidRDefault="009F37E2" w:rsidP="002C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E645D"/>
    <w:multiLevelType w:val="hybridMultilevel"/>
    <w:tmpl w:val="27322E20"/>
    <w:lvl w:ilvl="0" w:tplc="B106D126">
      <w:start w:val="1"/>
      <w:numFmt w:val="decimal"/>
      <w:lvlText w:val="12.%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207A16D9"/>
    <w:multiLevelType w:val="hybridMultilevel"/>
    <w:tmpl w:val="434C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52DE3"/>
    <w:multiLevelType w:val="hybridMultilevel"/>
    <w:tmpl w:val="395000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F173A6"/>
    <w:multiLevelType w:val="hybridMultilevel"/>
    <w:tmpl w:val="1644A7D4"/>
    <w:lvl w:ilvl="0" w:tplc="72F0DDD6">
      <w:start w:val="1"/>
      <w:numFmt w:val="decimal"/>
      <w:lvlText w:val="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B2628A"/>
    <w:multiLevelType w:val="hybridMultilevel"/>
    <w:tmpl w:val="434C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91C3A"/>
    <w:multiLevelType w:val="hybridMultilevel"/>
    <w:tmpl w:val="B57A8864"/>
    <w:lvl w:ilvl="0" w:tplc="E4B8EB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2B"/>
    <w:rsid w:val="00000B2E"/>
    <w:rsid w:val="000031D1"/>
    <w:rsid w:val="00003355"/>
    <w:rsid w:val="00003368"/>
    <w:rsid w:val="000052E3"/>
    <w:rsid w:val="0000580A"/>
    <w:rsid w:val="000117B0"/>
    <w:rsid w:val="00012D3E"/>
    <w:rsid w:val="00012FED"/>
    <w:rsid w:val="000131D5"/>
    <w:rsid w:val="000133BA"/>
    <w:rsid w:val="00014A36"/>
    <w:rsid w:val="000174D7"/>
    <w:rsid w:val="0001788C"/>
    <w:rsid w:val="00020CDC"/>
    <w:rsid w:val="00020F46"/>
    <w:rsid w:val="000229D0"/>
    <w:rsid w:val="00023E3E"/>
    <w:rsid w:val="000244DD"/>
    <w:rsid w:val="00024DBE"/>
    <w:rsid w:val="00024DC4"/>
    <w:rsid w:val="00026653"/>
    <w:rsid w:val="000279A5"/>
    <w:rsid w:val="00035CE4"/>
    <w:rsid w:val="000360A5"/>
    <w:rsid w:val="00041BEC"/>
    <w:rsid w:val="000421CE"/>
    <w:rsid w:val="000427ED"/>
    <w:rsid w:val="00042A7B"/>
    <w:rsid w:val="00042F68"/>
    <w:rsid w:val="00044FB3"/>
    <w:rsid w:val="000458D6"/>
    <w:rsid w:val="00052236"/>
    <w:rsid w:val="00061FA7"/>
    <w:rsid w:val="00063BC2"/>
    <w:rsid w:val="00063DC2"/>
    <w:rsid w:val="00064FB4"/>
    <w:rsid w:val="00070EC5"/>
    <w:rsid w:val="000768BC"/>
    <w:rsid w:val="000812AA"/>
    <w:rsid w:val="000831B4"/>
    <w:rsid w:val="000838D3"/>
    <w:rsid w:val="00083B19"/>
    <w:rsid w:val="000845A0"/>
    <w:rsid w:val="00085312"/>
    <w:rsid w:val="0008647D"/>
    <w:rsid w:val="00086CD1"/>
    <w:rsid w:val="000878B4"/>
    <w:rsid w:val="00091B32"/>
    <w:rsid w:val="00095E78"/>
    <w:rsid w:val="000A4082"/>
    <w:rsid w:val="000A5594"/>
    <w:rsid w:val="000A662B"/>
    <w:rsid w:val="000A7793"/>
    <w:rsid w:val="000B02B3"/>
    <w:rsid w:val="000B093F"/>
    <w:rsid w:val="000B2A8C"/>
    <w:rsid w:val="000B391A"/>
    <w:rsid w:val="000B4822"/>
    <w:rsid w:val="000B77E1"/>
    <w:rsid w:val="000C12BB"/>
    <w:rsid w:val="000C1FED"/>
    <w:rsid w:val="000C3770"/>
    <w:rsid w:val="000C758C"/>
    <w:rsid w:val="000D113A"/>
    <w:rsid w:val="000D1299"/>
    <w:rsid w:val="000D2497"/>
    <w:rsid w:val="000F118C"/>
    <w:rsid w:val="000F5A43"/>
    <w:rsid w:val="00101A8C"/>
    <w:rsid w:val="00102B64"/>
    <w:rsid w:val="00103A90"/>
    <w:rsid w:val="00104AB6"/>
    <w:rsid w:val="0010591B"/>
    <w:rsid w:val="001069FC"/>
    <w:rsid w:val="001104E8"/>
    <w:rsid w:val="00112381"/>
    <w:rsid w:val="00113DCA"/>
    <w:rsid w:val="00116DE5"/>
    <w:rsid w:val="00117DB7"/>
    <w:rsid w:val="00120A73"/>
    <w:rsid w:val="0012235E"/>
    <w:rsid w:val="00122999"/>
    <w:rsid w:val="00122E8B"/>
    <w:rsid w:val="00124753"/>
    <w:rsid w:val="00125772"/>
    <w:rsid w:val="00126B19"/>
    <w:rsid w:val="00126F8A"/>
    <w:rsid w:val="00132940"/>
    <w:rsid w:val="0013788C"/>
    <w:rsid w:val="00141D8A"/>
    <w:rsid w:val="001434CD"/>
    <w:rsid w:val="001447B1"/>
    <w:rsid w:val="00144E4C"/>
    <w:rsid w:val="0014593E"/>
    <w:rsid w:val="00152D38"/>
    <w:rsid w:val="00154079"/>
    <w:rsid w:val="00157C3A"/>
    <w:rsid w:val="00157FF7"/>
    <w:rsid w:val="001601CD"/>
    <w:rsid w:val="0016266C"/>
    <w:rsid w:val="001639A9"/>
    <w:rsid w:val="0017110F"/>
    <w:rsid w:val="00171772"/>
    <w:rsid w:val="001756AD"/>
    <w:rsid w:val="00177B95"/>
    <w:rsid w:val="001803B1"/>
    <w:rsid w:val="0018072B"/>
    <w:rsid w:val="001844ED"/>
    <w:rsid w:val="0018487F"/>
    <w:rsid w:val="0018753D"/>
    <w:rsid w:val="00187EBB"/>
    <w:rsid w:val="00190E35"/>
    <w:rsid w:val="0019165C"/>
    <w:rsid w:val="00192C24"/>
    <w:rsid w:val="00192C73"/>
    <w:rsid w:val="00194F3D"/>
    <w:rsid w:val="00194FA6"/>
    <w:rsid w:val="00196697"/>
    <w:rsid w:val="00197A73"/>
    <w:rsid w:val="001A2CB0"/>
    <w:rsid w:val="001A2EB4"/>
    <w:rsid w:val="001A3782"/>
    <w:rsid w:val="001A7071"/>
    <w:rsid w:val="001B023E"/>
    <w:rsid w:val="001B1C47"/>
    <w:rsid w:val="001B2A32"/>
    <w:rsid w:val="001B3128"/>
    <w:rsid w:val="001B55AE"/>
    <w:rsid w:val="001B63D7"/>
    <w:rsid w:val="001B7274"/>
    <w:rsid w:val="001C0644"/>
    <w:rsid w:val="001C185B"/>
    <w:rsid w:val="001C1AEC"/>
    <w:rsid w:val="001C244E"/>
    <w:rsid w:val="001C3B51"/>
    <w:rsid w:val="001C7130"/>
    <w:rsid w:val="001D0FD2"/>
    <w:rsid w:val="001D3883"/>
    <w:rsid w:val="001D38EC"/>
    <w:rsid w:val="001D3A36"/>
    <w:rsid w:val="001D67F7"/>
    <w:rsid w:val="001D73F9"/>
    <w:rsid w:val="001E39CA"/>
    <w:rsid w:val="001E6AB2"/>
    <w:rsid w:val="001F1083"/>
    <w:rsid w:val="001F139A"/>
    <w:rsid w:val="001F2978"/>
    <w:rsid w:val="001F3480"/>
    <w:rsid w:val="001F5F3F"/>
    <w:rsid w:val="001F7CA4"/>
    <w:rsid w:val="00201198"/>
    <w:rsid w:val="0020142D"/>
    <w:rsid w:val="002041CC"/>
    <w:rsid w:val="0020595B"/>
    <w:rsid w:val="00213434"/>
    <w:rsid w:val="0021367C"/>
    <w:rsid w:val="00215381"/>
    <w:rsid w:val="00217F80"/>
    <w:rsid w:val="00220BEF"/>
    <w:rsid w:val="00221E58"/>
    <w:rsid w:val="00223529"/>
    <w:rsid w:val="00224B08"/>
    <w:rsid w:val="00226227"/>
    <w:rsid w:val="002306E3"/>
    <w:rsid w:val="002333FB"/>
    <w:rsid w:val="002369E8"/>
    <w:rsid w:val="002402E8"/>
    <w:rsid w:val="002405ED"/>
    <w:rsid w:val="0024204B"/>
    <w:rsid w:val="002445AA"/>
    <w:rsid w:val="00251258"/>
    <w:rsid w:val="00261427"/>
    <w:rsid w:val="002642A8"/>
    <w:rsid w:val="00264871"/>
    <w:rsid w:val="002678CB"/>
    <w:rsid w:val="00270C89"/>
    <w:rsid w:val="00271E9B"/>
    <w:rsid w:val="002745AB"/>
    <w:rsid w:val="002748C4"/>
    <w:rsid w:val="002758DD"/>
    <w:rsid w:val="00281D26"/>
    <w:rsid w:val="00282479"/>
    <w:rsid w:val="002829B0"/>
    <w:rsid w:val="00285412"/>
    <w:rsid w:val="00285F68"/>
    <w:rsid w:val="00287EAC"/>
    <w:rsid w:val="00293358"/>
    <w:rsid w:val="0029542A"/>
    <w:rsid w:val="00297CDA"/>
    <w:rsid w:val="002A125B"/>
    <w:rsid w:val="002A1CDC"/>
    <w:rsid w:val="002A3A5E"/>
    <w:rsid w:val="002A4A81"/>
    <w:rsid w:val="002A4D8C"/>
    <w:rsid w:val="002A5A88"/>
    <w:rsid w:val="002A675E"/>
    <w:rsid w:val="002A75D8"/>
    <w:rsid w:val="002B1866"/>
    <w:rsid w:val="002B20EB"/>
    <w:rsid w:val="002B48A7"/>
    <w:rsid w:val="002B7C19"/>
    <w:rsid w:val="002C212B"/>
    <w:rsid w:val="002C4004"/>
    <w:rsid w:val="002C52B1"/>
    <w:rsid w:val="002C5F79"/>
    <w:rsid w:val="002C60E5"/>
    <w:rsid w:val="002D038D"/>
    <w:rsid w:val="002D05BC"/>
    <w:rsid w:val="002D0AD9"/>
    <w:rsid w:val="002D1FFF"/>
    <w:rsid w:val="002D525F"/>
    <w:rsid w:val="002D7ABE"/>
    <w:rsid w:val="002E178B"/>
    <w:rsid w:val="002E54E8"/>
    <w:rsid w:val="002E589B"/>
    <w:rsid w:val="002E64F0"/>
    <w:rsid w:val="002E6EE0"/>
    <w:rsid w:val="002E74A8"/>
    <w:rsid w:val="002F35FC"/>
    <w:rsid w:val="002F6881"/>
    <w:rsid w:val="002F7372"/>
    <w:rsid w:val="00302586"/>
    <w:rsid w:val="00302F97"/>
    <w:rsid w:val="00313143"/>
    <w:rsid w:val="003148B3"/>
    <w:rsid w:val="00316121"/>
    <w:rsid w:val="00316F1C"/>
    <w:rsid w:val="00322188"/>
    <w:rsid w:val="003226AF"/>
    <w:rsid w:val="003233BA"/>
    <w:rsid w:val="003238BB"/>
    <w:rsid w:val="00325586"/>
    <w:rsid w:val="003270E8"/>
    <w:rsid w:val="00327B4B"/>
    <w:rsid w:val="0033066F"/>
    <w:rsid w:val="00330B4A"/>
    <w:rsid w:val="00331370"/>
    <w:rsid w:val="003318D2"/>
    <w:rsid w:val="00332FC8"/>
    <w:rsid w:val="0033390A"/>
    <w:rsid w:val="0033615C"/>
    <w:rsid w:val="00337492"/>
    <w:rsid w:val="003410E1"/>
    <w:rsid w:val="0034163B"/>
    <w:rsid w:val="0034419F"/>
    <w:rsid w:val="00347A06"/>
    <w:rsid w:val="00350DFA"/>
    <w:rsid w:val="00350E5D"/>
    <w:rsid w:val="00352795"/>
    <w:rsid w:val="00354025"/>
    <w:rsid w:val="003577CA"/>
    <w:rsid w:val="00360071"/>
    <w:rsid w:val="003611E8"/>
    <w:rsid w:val="003617C1"/>
    <w:rsid w:val="0037005B"/>
    <w:rsid w:val="0037084B"/>
    <w:rsid w:val="0037105D"/>
    <w:rsid w:val="0037175B"/>
    <w:rsid w:val="00372F2E"/>
    <w:rsid w:val="00374841"/>
    <w:rsid w:val="003749EB"/>
    <w:rsid w:val="00376E84"/>
    <w:rsid w:val="003772BC"/>
    <w:rsid w:val="00387B40"/>
    <w:rsid w:val="00391F5C"/>
    <w:rsid w:val="003932A5"/>
    <w:rsid w:val="00394952"/>
    <w:rsid w:val="00396806"/>
    <w:rsid w:val="00396929"/>
    <w:rsid w:val="00397344"/>
    <w:rsid w:val="003973D0"/>
    <w:rsid w:val="003A1E68"/>
    <w:rsid w:val="003A2AC7"/>
    <w:rsid w:val="003A2EAD"/>
    <w:rsid w:val="003A3DDA"/>
    <w:rsid w:val="003A67E2"/>
    <w:rsid w:val="003A77E0"/>
    <w:rsid w:val="003B31A3"/>
    <w:rsid w:val="003B34A5"/>
    <w:rsid w:val="003B61DE"/>
    <w:rsid w:val="003B6676"/>
    <w:rsid w:val="003C1307"/>
    <w:rsid w:val="003C17B8"/>
    <w:rsid w:val="003C2FCB"/>
    <w:rsid w:val="003C3CD0"/>
    <w:rsid w:val="003C4EB6"/>
    <w:rsid w:val="003C5702"/>
    <w:rsid w:val="003C7FDA"/>
    <w:rsid w:val="003D46A0"/>
    <w:rsid w:val="003D7542"/>
    <w:rsid w:val="003E2730"/>
    <w:rsid w:val="003E43ED"/>
    <w:rsid w:val="003E758E"/>
    <w:rsid w:val="003E797A"/>
    <w:rsid w:val="003F0ACE"/>
    <w:rsid w:val="003F1024"/>
    <w:rsid w:val="003F312E"/>
    <w:rsid w:val="004018FF"/>
    <w:rsid w:val="004048A7"/>
    <w:rsid w:val="00404F81"/>
    <w:rsid w:val="00406558"/>
    <w:rsid w:val="004069A4"/>
    <w:rsid w:val="004139A7"/>
    <w:rsid w:val="004142E1"/>
    <w:rsid w:val="004153D2"/>
    <w:rsid w:val="00417FBF"/>
    <w:rsid w:val="00420A80"/>
    <w:rsid w:val="004224C3"/>
    <w:rsid w:val="00425957"/>
    <w:rsid w:val="00425B93"/>
    <w:rsid w:val="00431F05"/>
    <w:rsid w:val="00432376"/>
    <w:rsid w:val="00434BFF"/>
    <w:rsid w:val="00435373"/>
    <w:rsid w:val="00440716"/>
    <w:rsid w:val="004409D3"/>
    <w:rsid w:val="00441FBF"/>
    <w:rsid w:val="004478AF"/>
    <w:rsid w:val="0045040A"/>
    <w:rsid w:val="00450C0D"/>
    <w:rsid w:val="0045238C"/>
    <w:rsid w:val="004541EF"/>
    <w:rsid w:val="004565C7"/>
    <w:rsid w:val="0046218A"/>
    <w:rsid w:val="004624DB"/>
    <w:rsid w:val="00463F50"/>
    <w:rsid w:val="00464CDE"/>
    <w:rsid w:val="00466F87"/>
    <w:rsid w:val="004674D9"/>
    <w:rsid w:val="00467522"/>
    <w:rsid w:val="00467666"/>
    <w:rsid w:val="004677DC"/>
    <w:rsid w:val="00470581"/>
    <w:rsid w:val="00472A11"/>
    <w:rsid w:val="004738B6"/>
    <w:rsid w:val="00474F0F"/>
    <w:rsid w:val="00482698"/>
    <w:rsid w:val="00486617"/>
    <w:rsid w:val="00486D55"/>
    <w:rsid w:val="00491F8C"/>
    <w:rsid w:val="004965D3"/>
    <w:rsid w:val="004A03C0"/>
    <w:rsid w:val="004A186F"/>
    <w:rsid w:val="004A25C2"/>
    <w:rsid w:val="004A27BB"/>
    <w:rsid w:val="004A3E0B"/>
    <w:rsid w:val="004A46F8"/>
    <w:rsid w:val="004A6D98"/>
    <w:rsid w:val="004A74B0"/>
    <w:rsid w:val="004B05FB"/>
    <w:rsid w:val="004B18B9"/>
    <w:rsid w:val="004B64E5"/>
    <w:rsid w:val="004C070A"/>
    <w:rsid w:val="004C4068"/>
    <w:rsid w:val="004C4D08"/>
    <w:rsid w:val="004D0489"/>
    <w:rsid w:val="004D058C"/>
    <w:rsid w:val="004D316A"/>
    <w:rsid w:val="004D35D7"/>
    <w:rsid w:val="004D438D"/>
    <w:rsid w:val="004D45E8"/>
    <w:rsid w:val="004D6779"/>
    <w:rsid w:val="004E04CC"/>
    <w:rsid w:val="004E0A3E"/>
    <w:rsid w:val="004E3F50"/>
    <w:rsid w:val="004E5E5C"/>
    <w:rsid w:val="004E7209"/>
    <w:rsid w:val="004E7C86"/>
    <w:rsid w:val="004F1D7E"/>
    <w:rsid w:val="004F21A3"/>
    <w:rsid w:val="004F6739"/>
    <w:rsid w:val="00500009"/>
    <w:rsid w:val="00504481"/>
    <w:rsid w:val="00507D0F"/>
    <w:rsid w:val="00513C43"/>
    <w:rsid w:val="00513C6E"/>
    <w:rsid w:val="005152B0"/>
    <w:rsid w:val="005159CF"/>
    <w:rsid w:val="00520AF1"/>
    <w:rsid w:val="0052469E"/>
    <w:rsid w:val="00525032"/>
    <w:rsid w:val="00525B71"/>
    <w:rsid w:val="00526404"/>
    <w:rsid w:val="005330CF"/>
    <w:rsid w:val="0053354C"/>
    <w:rsid w:val="00533FA7"/>
    <w:rsid w:val="005353C7"/>
    <w:rsid w:val="00536562"/>
    <w:rsid w:val="00537177"/>
    <w:rsid w:val="00537424"/>
    <w:rsid w:val="0054223F"/>
    <w:rsid w:val="00542624"/>
    <w:rsid w:val="0054417B"/>
    <w:rsid w:val="00552D3E"/>
    <w:rsid w:val="00553E90"/>
    <w:rsid w:val="005553DF"/>
    <w:rsid w:val="00555FE6"/>
    <w:rsid w:val="005565A0"/>
    <w:rsid w:val="00556C34"/>
    <w:rsid w:val="005572B3"/>
    <w:rsid w:val="00560662"/>
    <w:rsid w:val="00560961"/>
    <w:rsid w:val="00560FAF"/>
    <w:rsid w:val="005626D2"/>
    <w:rsid w:val="00562EE8"/>
    <w:rsid w:val="005644E2"/>
    <w:rsid w:val="00567038"/>
    <w:rsid w:val="00572AD4"/>
    <w:rsid w:val="005754B0"/>
    <w:rsid w:val="005774D8"/>
    <w:rsid w:val="0057794C"/>
    <w:rsid w:val="005806F8"/>
    <w:rsid w:val="005807C1"/>
    <w:rsid w:val="00584568"/>
    <w:rsid w:val="00592C16"/>
    <w:rsid w:val="00593264"/>
    <w:rsid w:val="00594CE9"/>
    <w:rsid w:val="00594D3D"/>
    <w:rsid w:val="005A01C3"/>
    <w:rsid w:val="005A24A7"/>
    <w:rsid w:val="005A4296"/>
    <w:rsid w:val="005A441F"/>
    <w:rsid w:val="005A79F0"/>
    <w:rsid w:val="005B0087"/>
    <w:rsid w:val="005B13A9"/>
    <w:rsid w:val="005B5BBC"/>
    <w:rsid w:val="005B63F1"/>
    <w:rsid w:val="005B7E1C"/>
    <w:rsid w:val="005C1949"/>
    <w:rsid w:val="005C5E4F"/>
    <w:rsid w:val="005D2DC0"/>
    <w:rsid w:val="005D3B02"/>
    <w:rsid w:val="005D4068"/>
    <w:rsid w:val="005D4FAE"/>
    <w:rsid w:val="005D56F2"/>
    <w:rsid w:val="005D74FA"/>
    <w:rsid w:val="005E02B1"/>
    <w:rsid w:val="005E64E8"/>
    <w:rsid w:val="005E7ACD"/>
    <w:rsid w:val="005F19F3"/>
    <w:rsid w:val="005F3CC9"/>
    <w:rsid w:val="005F42C1"/>
    <w:rsid w:val="00600906"/>
    <w:rsid w:val="00600EFC"/>
    <w:rsid w:val="0060114E"/>
    <w:rsid w:val="00601F4B"/>
    <w:rsid w:val="0060410B"/>
    <w:rsid w:val="00605C3A"/>
    <w:rsid w:val="00606340"/>
    <w:rsid w:val="006066E1"/>
    <w:rsid w:val="006104EF"/>
    <w:rsid w:val="006110B0"/>
    <w:rsid w:val="00616325"/>
    <w:rsid w:val="006169C0"/>
    <w:rsid w:val="00621B06"/>
    <w:rsid w:val="006223D4"/>
    <w:rsid w:val="0062372A"/>
    <w:rsid w:val="0062407F"/>
    <w:rsid w:val="00625F5B"/>
    <w:rsid w:val="00626697"/>
    <w:rsid w:val="00630411"/>
    <w:rsid w:val="0063249F"/>
    <w:rsid w:val="00634BA5"/>
    <w:rsid w:val="00636F91"/>
    <w:rsid w:val="00637394"/>
    <w:rsid w:val="00640CCB"/>
    <w:rsid w:val="00647A6C"/>
    <w:rsid w:val="00652838"/>
    <w:rsid w:val="006546F4"/>
    <w:rsid w:val="00656E81"/>
    <w:rsid w:val="00657810"/>
    <w:rsid w:val="0066026F"/>
    <w:rsid w:val="00661382"/>
    <w:rsid w:val="00661417"/>
    <w:rsid w:val="00662A46"/>
    <w:rsid w:val="00662C0D"/>
    <w:rsid w:val="00663A50"/>
    <w:rsid w:val="00664117"/>
    <w:rsid w:val="0066441B"/>
    <w:rsid w:val="00667E8A"/>
    <w:rsid w:val="0067061C"/>
    <w:rsid w:val="00671787"/>
    <w:rsid w:val="00673655"/>
    <w:rsid w:val="00674D04"/>
    <w:rsid w:val="00675E82"/>
    <w:rsid w:val="00681F95"/>
    <w:rsid w:val="00682EB4"/>
    <w:rsid w:val="00686024"/>
    <w:rsid w:val="006875F9"/>
    <w:rsid w:val="0069035F"/>
    <w:rsid w:val="0069227F"/>
    <w:rsid w:val="00694E66"/>
    <w:rsid w:val="00697D5B"/>
    <w:rsid w:val="006A1D2F"/>
    <w:rsid w:val="006A4317"/>
    <w:rsid w:val="006A59CA"/>
    <w:rsid w:val="006A7693"/>
    <w:rsid w:val="006B0115"/>
    <w:rsid w:val="006B4798"/>
    <w:rsid w:val="006C583F"/>
    <w:rsid w:val="006D01FE"/>
    <w:rsid w:val="006E0522"/>
    <w:rsid w:val="006E25D8"/>
    <w:rsid w:val="006E550E"/>
    <w:rsid w:val="006E5898"/>
    <w:rsid w:val="006E69C2"/>
    <w:rsid w:val="006E76DD"/>
    <w:rsid w:val="006F38B4"/>
    <w:rsid w:val="006F67FD"/>
    <w:rsid w:val="006F7CA4"/>
    <w:rsid w:val="0070157D"/>
    <w:rsid w:val="00704468"/>
    <w:rsid w:val="00704AD9"/>
    <w:rsid w:val="00704D5A"/>
    <w:rsid w:val="0070777F"/>
    <w:rsid w:val="0071253E"/>
    <w:rsid w:val="00713652"/>
    <w:rsid w:val="007142B6"/>
    <w:rsid w:val="00714BAE"/>
    <w:rsid w:val="007154C3"/>
    <w:rsid w:val="00716146"/>
    <w:rsid w:val="00716B91"/>
    <w:rsid w:val="0071702A"/>
    <w:rsid w:val="00720FDA"/>
    <w:rsid w:val="007215E9"/>
    <w:rsid w:val="007231DA"/>
    <w:rsid w:val="00730107"/>
    <w:rsid w:val="0073241E"/>
    <w:rsid w:val="00732790"/>
    <w:rsid w:val="00732E65"/>
    <w:rsid w:val="00736E96"/>
    <w:rsid w:val="007405A2"/>
    <w:rsid w:val="0074393C"/>
    <w:rsid w:val="00750A7D"/>
    <w:rsid w:val="00750CC9"/>
    <w:rsid w:val="007512DD"/>
    <w:rsid w:val="00753966"/>
    <w:rsid w:val="00753C23"/>
    <w:rsid w:val="00754316"/>
    <w:rsid w:val="00754B8F"/>
    <w:rsid w:val="00755934"/>
    <w:rsid w:val="00760AB5"/>
    <w:rsid w:val="007611A2"/>
    <w:rsid w:val="00763A8F"/>
    <w:rsid w:val="00767868"/>
    <w:rsid w:val="00767CCD"/>
    <w:rsid w:val="00773B24"/>
    <w:rsid w:val="00773B4B"/>
    <w:rsid w:val="00775F66"/>
    <w:rsid w:val="00776164"/>
    <w:rsid w:val="007845EA"/>
    <w:rsid w:val="007846AB"/>
    <w:rsid w:val="007853E4"/>
    <w:rsid w:val="0079125D"/>
    <w:rsid w:val="00791AA1"/>
    <w:rsid w:val="0079383E"/>
    <w:rsid w:val="00795009"/>
    <w:rsid w:val="00795FCE"/>
    <w:rsid w:val="00797241"/>
    <w:rsid w:val="007A14D5"/>
    <w:rsid w:val="007A1931"/>
    <w:rsid w:val="007A3056"/>
    <w:rsid w:val="007A39E0"/>
    <w:rsid w:val="007A4578"/>
    <w:rsid w:val="007A5318"/>
    <w:rsid w:val="007A5EFE"/>
    <w:rsid w:val="007B3035"/>
    <w:rsid w:val="007B4077"/>
    <w:rsid w:val="007B5563"/>
    <w:rsid w:val="007B5A31"/>
    <w:rsid w:val="007B728C"/>
    <w:rsid w:val="007C1610"/>
    <w:rsid w:val="007C2312"/>
    <w:rsid w:val="007C4507"/>
    <w:rsid w:val="007D24E6"/>
    <w:rsid w:val="007D5FC5"/>
    <w:rsid w:val="007E04D9"/>
    <w:rsid w:val="007E0521"/>
    <w:rsid w:val="007E5BAC"/>
    <w:rsid w:val="007E73E5"/>
    <w:rsid w:val="007F0A84"/>
    <w:rsid w:val="007F12E6"/>
    <w:rsid w:val="007F2DB5"/>
    <w:rsid w:val="007F3492"/>
    <w:rsid w:val="007F3D61"/>
    <w:rsid w:val="007F545E"/>
    <w:rsid w:val="007F546F"/>
    <w:rsid w:val="008016F5"/>
    <w:rsid w:val="0080269C"/>
    <w:rsid w:val="0080283E"/>
    <w:rsid w:val="00806089"/>
    <w:rsid w:val="008060E4"/>
    <w:rsid w:val="00812A9B"/>
    <w:rsid w:val="00812CE6"/>
    <w:rsid w:val="008171A9"/>
    <w:rsid w:val="008174C8"/>
    <w:rsid w:val="00823581"/>
    <w:rsid w:val="00825168"/>
    <w:rsid w:val="0082779A"/>
    <w:rsid w:val="00833424"/>
    <w:rsid w:val="00833772"/>
    <w:rsid w:val="008344EF"/>
    <w:rsid w:val="00836E04"/>
    <w:rsid w:val="00840D75"/>
    <w:rsid w:val="00844667"/>
    <w:rsid w:val="008448E2"/>
    <w:rsid w:val="008455EB"/>
    <w:rsid w:val="00850C28"/>
    <w:rsid w:val="00852287"/>
    <w:rsid w:val="008541F2"/>
    <w:rsid w:val="0085562C"/>
    <w:rsid w:val="00856CF1"/>
    <w:rsid w:val="00860144"/>
    <w:rsid w:val="00860BFB"/>
    <w:rsid w:val="00864440"/>
    <w:rsid w:val="00872E09"/>
    <w:rsid w:val="00875939"/>
    <w:rsid w:val="00876713"/>
    <w:rsid w:val="00877EEB"/>
    <w:rsid w:val="00880381"/>
    <w:rsid w:val="00880958"/>
    <w:rsid w:val="00885024"/>
    <w:rsid w:val="0088719E"/>
    <w:rsid w:val="008905A2"/>
    <w:rsid w:val="00890B23"/>
    <w:rsid w:val="008914DB"/>
    <w:rsid w:val="00893DF2"/>
    <w:rsid w:val="00896980"/>
    <w:rsid w:val="008A0D91"/>
    <w:rsid w:val="008A5ECA"/>
    <w:rsid w:val="008A7B42"/>
    <w:rsid w:val="008B495D"/>
    <w:rsid w:val="008B67E4"/>
    <w:rsid w:val="008C675E"/>
    <w:rsid w:val="008D1B37"/>
    <w:rsid w:val="008D1F64"/>
    <w:rsid w:val="008D3E20"/>
    <w:rsid w:val="008D4548"/>
    <w:rsid w:val="008D4D54"/>
    <w:rsid w:val="008D735E"/>
    <w:rsid w:val="008D7F5A"/>
    <w:rsid w:val="008E05C8"/>
    <w:rsid w:val="008E08D3"/>
    <w:rsid w:val="008E150A"/>
    <w:rsid w:val="008E2A12"/>
    <w:rsid w:val="008E65D4"/>
    <w:rsid w:val="008F01F1"/>
    <w:rsid w:val="008F265C"/>
    <w:rsid w:val="008F3892"/>
    <w:rsid w:val="008F3E99"/>
    <w:rsid w:val="008F522F"/>
    <w:rsid w:val="008F6DBB"/>
    <w:rsid w:val="0090015B"/>
    <w:rsid w:val="009019B9"/>
    <w:rsid w:val="00905E48"/>
    <w:rsid w:val="00906FCA"/>
    <w:rsid w:val="00910F73"/>
    <w:rsid w:val="00910F8F"/>
    <w:rsid w:val="00911D0A"/>
    <w:rsid w:val="0091257F"/>
    <w:rsid w:val="00913E94"/>
    <w:rsid w:val="00914132"/>
    <w:rsid w:val="0091642B"/>
    <w:rsid w:val="00922BA1"/>
    <w:rsid w:val="00923000"/>
    <w:rsid w:val="009271A1"/>
    <w:rsid w:val="00927A54"/>
    <w:rsid w:val="00927CC3"/>
    <w:rsid w:val="0093070F"/>
    <w:rsid w:val="0093131D"/>
    <w:rsid w:val="00933469"/>
    <w:rsid w:val="00935F3F"/>
    <w:rsid w:val="00937781"/>
    <w:rsid w:val="00941A79"/>
    <w:rsid w:val="009425B7"/>
    <w:rsid w:val="00944AC5"/>
    <w:rsid w:val="00952594"/>
    <w:rsid w:val="00954A7F"/>
    <w:rsid w:val="00954A97"/>
    <w:rsid w:val="0095511C"/>
    <w:rsid w:val="009551FB"/>
    <w:rsid w:val="009552C1"/>
    <w:rsid w:val="0096091B"/>
    <w:rsid w:val="00962CE5"/>
    <w:rsid w:val="009639D6"/>
    <w:rsid w:val="00963E23"/>
    <w:rsid w:val="00964D63"/>
    <w:rsid w:val="00964E3F"/>
    <w:rsid w:val="00965F58"/>
    <w:rsid w:val="00966517"/>
    <w:rsid w:val="00967F9C"/>
    <w:rsid w:val="00967FBE"/>
    <w:rsid w:val="00970466"/>
    <w:rsid w:val="009726B4"/>
    <w:rsid w:val="00974D51"/>
    <w:rsid w:val="009818E5"/>
    <w:rsid w:val="00990085"/>
    <w:rsid w:val="009906C4"/>
    <w:rsid w:val="009A125A"/>
    <w:rsid w:val="009A153A"/>
    <w:rsid w:val="009A3A60"/>
    <w:rsid w:val="009A4DF4"/>
    <w:rsid w:val="009A66FA"/>
    <w:rsid w:val="009A7629"/>
    <w:rsid w:val="009C406F"/>
    <w:rsid w:val="009C4869"/>
    <w:rsid w:val="009C63A2"/>
    <w:rsid w:val="009C71B9"/>
    <w:rsid w:val="009D2096"/>
    <w:rsid w:val="009D7719"/>
    <w:rsid w:val="009E1936"/>
    <w:rsid w:val="009E398C"/>
    <w:rsid w:val="009E50C5"/>
    <w:rsid w:val="009E6AF4"/>
    <w:rsid w:val="009E7296"/>
    <w:rsid w:val="009F0A8B"/>
    <w:rsid w:val="009F0DD8"/>
    <w:rsid w:val="009F37E2"/>
    <w:rsid w:val="009F4EF1"/>
    <w:rsid w:val="009F6E61"/>
    <w:rsid w:val="009F6EA9"/>
    <w:rsid w:val="00A0161E"/>
    <w:rsid w:val="00A0458F"/>
    <w:rsid w:val="00A046A6"/>
    <w:rsid w:val="00A05E8E"/>
    <w:rsid w:val="00A13880"/>
    <w:rsid w:val="00A13A82"/>
    <w:rsid w:val="00A149E0"/>
    <w:rsid w:val="00A1512D"/>
    <w:rsid w:val="00A15266"/>
    <w:rsid w:val="00A15E0F"/>
    <w:rsid w:val="00A16139"/>
    <w:rsid w:val="00A23E67"/>
    <w:rsid w:val="00A24191"/>
    <w:rsid w:val="00A25659"/>
    <w:rsid w:val="00A27A46"/>
    <w:rsid w:val="00A329F3"/>
    <w:rsid w:val="00A353C2"/>
    <w:rsid w:val="00A35609"/>
    <w:rsid w:val="00A37590"/>
    <w:rsid w:val="00A40D32"/>
    <w:rsid w:val="00A420E5"/>
    <w:rsid w:val="00A428C9"/>
    <w:rsid w:val="00A44989"/>
    <w:rsid w:val="00A45257"/>
    <w:rsid w:val="00A50BF3"/>
    <w:rsid w:val="00A50EF7"/>
    <w:rsid w:val="00A51074"/>
    <w:rsid w:val="00A51693"/>
    <w:rsid w:val="00A60480"/>
    <w:rsid w:val="00A61E67"/>
    <w:rsid w:val="00A673B9"/>
    <w:rsid w:val="00A67988"/>
    <w:rsid w:val="00A70692"/>
    <w:rsid w:val="00A72349"/>
    <w:rsid w:val="00A73570"/>
    <w:rsid w:val="00A761F8"/>
    <w:rsid w:val="00A76B0B"/>
    <w:rsid w:val="00A805D4"/>
    <w:rsid w:val="00A8086D"/>
    <w:rsid w:val="00A8303C"/>
    <w:rsid w:val="00A84A39"/>
    <w:rsid w:val="00A85A95"/>
    <w:rsid w:val="00A86E90"/>
    <w:rsid w:val="00A87910"/>
    <w:rsid w:val="00A9308A"/>
    <w:rsid w:val="00A934C5"/>
    <w:rsid w:val="00A94F45"/>
    <w:rsid w:val="00A9638A"/>
    <w:rsid w:val="00A9641A"/>
    <w:rsid w:val="00A96751"/>
    <w:rsid w:val="00AA1F28"/>
    <w:rsid w:val="00AA2D92"/>
    <w:rsid w:val="00AA5FF2"/>
    <w:rsid w:val="00AB0915"/>
    <w:rsid w:val="00AB4AE7"/>
    <w:rsid w:val="00AB61E8"/>
    <w:rsid w:val="00AB6EC2"/>
    <w:rsid w:val="00AC0DEC"/>
    <w:rsid w:val="00AC140E"/>
    <w:rsid w:val="00AD1902"/>
    <w:rsid w:val="00AD191F"/>
    <w:rsid w:val="00AD1A1A"/>
    <w:rsid w:val="00AD3B12"/>
    <w:rsid w:val="00AD4D79"/>
    <w:rsid w:val="00AE0847"/>
    <w:rsid w:val="00AE1B90"/>
    <w:rsid w:val="00AE3975"/>
    <w:rsid w:val="00AE5209"/>
    <w:rsid w:val="00AE55E0"/>
    <w:rsid w:val="00AE75B9"/>
    <w:rsid w:val="00AF1290"/>
    <w:rsid w:val="00AF283B"/>
    <w:rsid w:val="00AF500B"/>
    <w:rsid w:val="00B02557"/>
    <w:rsid w:val="00B0528C"/>
    <w:rsid w:val="00B07C67"/>
    <w:rsid w:val="00B11916"/>
    <w:rsid w:val="00B120D3"/>
    <w:rsid w:val="00B12739"/>
    <w:rsid w:val="00B13F8E"/>
    <w:rsid w:val="00B21223"/>
    <w:rsid w:val="00B237DE"/>
    <w:rsid w:val="00B23E56"/>
    <w:rsid w:val="00B248F4"/>
    <w:rsid w:val="00B26399"/>
    <w:rsid w:val="00B30E1E"/>
    <w:rsid w:val="00B31674"/>
    <w:rsid w:val="00B34BE9"/>
    <w:rsid w:val="00B36997"/>
    <w:rsid w:val="00B37EDB"/>
    <w:rsid w:val="00B4076A"/>
    <w:rsid w:val="00B41D3C"/>
    <w:rsid w:val="00B448C5"/>
    <w:rsid w:val="00B44A65"/>
    <w:rsid w:val="00B47112"/>
    <w:rsid w:val="00B502C8"/>
    <w:rsid w:val="00B56337"/>
    <w:rsid w:val="00B63E5B"/>
    <w:rsid w:val="00B70F57"/>
    <w:rsid w:val="00B727EA"/>
    <w:rsid w:val="00B80720"/>
    <w:rsid w:val="00B814E8"/>
    <w:rsid w:val="00B8237E"/>
    <w:rsid w:val="00B83CE4"/>
    <w:rsid w:val="00B86705"/>
    <w:rsid w:val="00B91336"/>
    <w:rsid w:val="00B932AB"/>
    <w:rsid w:val="00BA22C1"/>
    <w:rsid w:val="00BA25CD"/>
    <w:rsid w:val="00BA34CC"/>
    <w:rsid w:val="00BA55EA"/>
    <w:rsid w:val="00BB0588"/>
    <w:rsid w:val="00BB5399"/>
    <w:rsid w:val="00BB6126"/>
    <w:rsid w:val="00BB66EE"/>
    <w:rsid w:val="00BC6FFD"/>
    <w:rsid w:val="00BD599E"/>
    <w:rsid w:val="00BD67AF"/>
    <w:rsid w:val="00BD6C0F"/>
    <w:rsid w:val="00BD6E8B"/>
    <w:rsid w:val="00BD736F"/>
    <w:rsid w:val="00BE24E1"/>
    <w:rsid w:val="00BE4F5C"/>
    <w:rsid w:val="00BF2081"/>
    <w:rsid w:val="00BF2373"/>
    <w:rsid w:val="00BF5BE1"/>
    <w:rsid w:val="00BF5EE0"/>
    <w:rsid w:val="00C004BF"/>
    <w:rsid w:val="00C01A04"/>
    <w:rsid w:val="00C01D21"/>
    <w:rsid w:val="00C02CDF"/>
    <w:rsid w:val="00C03659"/>
    <w:rsid w:val="00C04E59"/>
    <w:rsid w:val="00C0656A"/>
    <w:rsid w:val="00C06793"/>
    <w:rsid w:val="00C1543E"/>
    <w:rsid w:val="00C1783F"/>
    <w:rsid w:val="00C21156"/>
    <w:rsid w:val="00C22F24"/>
    <w:rsid w:val="00C23B9E"/>
    <w:rsid w:val="00C2446B"/>
    <w:rsid w:val="00C24654"/>
    <w:rsid w:val="00C257F7"/>
    <w:rsid w:val="00C345E2"/>
    <w:rsid w:val="00C413E2"/>
    <w:rsid w:val="00C413F7"/>
    <w:rsid w:val="00C41D4A"/>
    <w:rsid w:val="00C42A42"/>
    <w:rsid w:val="00C42C02"/>
    <w:rsid w:val="00C43776"/>
    <w:rsid w:val="00C44B2A"/>
    <w:rsid w:val="00C46AFD"/>
    <w:rsid w:val="00C53640"/>
    <w:rsid w:val="00C55482"/>
    <w:rsid w:val="00C564E1"/>
    <w:rsid w:val="00C57AC4"/>
    <w:rsid w:val="00C57B40"/>
    <w:rsid w:val="00C57F8D"/>
    <w:rsid w:val="00C672EE"/>
    <w:rsid w:val="00C673F9"/>
    <w:rsid w:val="00C71790"/>
    <w:rsid w:val="00C71CA6"/>
    <w:rsid w:val="00C71E91"/>
    <w:rsid w:val="00C82D81"/>
    <w:rsid w:val="00C83621"/>
    <w:rsid w:val="00C83E9F"/>
    <w:rsid w:val="00C8451D"/>
    <w:rsid w:val="00C8457D"/>
    <w:rsid w:val="00C85861"/>
    <w:rsid w:val="00C871FC"/>
    <w:rsid w:val="00C90019"/>
    <w:rsid w:val="00C910C3"/>
    <w:rsid w:val="00C9689F"/>
    <w:rsid w:val="00CA5D2A"/>
    <w:rsid w:val="00CA7A47"/>
    <w:rsid w:val="00CB03EA"/>
    <w:rsid w:val="00CB221E"/>
    <w:rsid w:val="00CB308F"/>
    <w:rsid w:val="00CB3CDB"/>
    <w:rsid w:val="00CB68C5"/>
    <w:rsid w:val="00CC56E5"/>
    <w:rsid w:val="00CC57AE"/>
    <w:rsid w:val="00CC7F75"/>
    <w:rsid w:val="00CD0136"/>
    <w:rsid w:val="00CD0D89"/>
    <w:rsid w:val="00CD0DD3"/>
    <w:rsid w:val="00CD1C93"/>
    <w:rsid w:val="00CD3C88"/>
    <w:rsid w:val="00CE267C"/>
    <w:rsid w:val="00CF20BB"/>
    <w:rsid w:val="00CF4FA0"/>
    <w:rsid w:val="00CF55A3"/>
    <w:rsid w:val="00CF794E"/>
    <w:rsid w:val="00D040CA"/>
    <w:rsid w:val="00D043A6"/>
    <w:rsid w:val="00D058BD"/>
    <w:rsid w:val="00D05F92"/>
    <w:rsid w:val="00D064AA"/>
    <w:rsid w:val="00D077B3"/>
    <w:rsid w:val="00D07AC3"/>
    <w:rsid w:val="00D07B0D"/>
    <w:rsid w:val="00D139B1"/>
    <w:rsid w:val="00D13AB1"/>
    <w:rsid w:val="00D17FB1"/>
    <w:rsid w:val="00D223C9"/>
    <w:rsid w:val="00D2404A"/>
    <w:rsid w:val="00D2509A"/>
    <w:rsid w:val="00D301B8"/>
    <w:rsid w:val="00D33856"/>
    <w:rsid w:val="00D356E5"/>
    <w:rsid w:val="00D3692E"/>
    <w:rsid w:val="00D36BFB"/>
    <w:rsid w:val="00D376F2"/>
    <w:rsid w:val="00D40A66"/>
    <w:rsid w:val="00D41DDC"/>
    <w:rsid w:val="00D43FEC"/>
    <w:rsid w:val="00D4427C"/>
    <w:rsid w:val="00D4479B"/>
    <w:rsid w:val="00D46F9B"/>
    <w:rsid w:val="00D470FC"/>
    <w:rsid w:val="00D506A5"/>
    <w:rsid w:val="00D50A98"/>
    <w:rsid w:val="00D50E1A"/>
    <w:rsid w:val="00D52CB1"/>
    <w:rsid w:val="00D532D9"/>
    <w:rsid w:val="00D54B8E"/>
    <w:rsid w:val="00D55D25"/>
    <w:rsid w:val="00D638D2"/>
    <w:rsid w:val="00D644C1"/>
    <w:rsid w:val="00D64E2A"/>
    <w:rsid w:val="00D65E08"/>
    <w:rsid w:val="00D7153D"/>
    <w:rsid w:val="00D71621"/>
    <w:rsid w:val="00D71EA4"/>
    <w:rsid w:val="00D743C2"/>
    <w:rsid w:val="00D74819"/>
    <w:rsid w:val="00D74F1C"/>
    <w:rsid w:val="00D76728"/>
    <w:rsid w:val="00D80953"/>
    <w:rsid w:val="00D82811"/>
    <w:rsid w:val="00D869C1"/>
    <w:rsid w:val="00D87201"/>
    <w:rsid w:val="00D873C7"/>
    <w:rsid w:val="00D9765A"/>
    <w:rsid w:val="00D9767F"/>
    <w:rsid w:val="00DA1337"/>
    <w:rsid w:val="00DA2634"/>
    <w:rsid w:val="00DA3686"/>
    <w:rsid w:val="00DA3C6D"/>
    <w:rsid w:val="00DA4006"/>
    <w:rsid w:val="00DA64F8"/>
    <w:rsid w:val="00DA7B30"/>
    <w:rsid w:val="00DB1267"/>
    <w:rsid w:val="00DB4BAB"/>
    <w:rsid w:val="00DB5542"/>
    <w:rsid w:val="00DB6AFB"/>
    <w:rsid w:val="00DC0B96"/>
    <w:rsid w:val="00DC0CD2"/>
    <w:rsid w:val="00DC1921"/>
    <w:rsid w:val="00DC1A79"/>
    <w:rsid w:val="00DC2DF4"/>
    <w:rsid w:val="00DC3B4D"/>
    <w:rsid w:val="00DC3D6F"/>
    <w:rsid w:val="00DC581E"/>
    <w:rsid w:val="00DD0CD6"/>
    <w:rsid w:val="00DD1E0E"/>
    <w:rsid w:val="00DD2973"/>
    <w:rsid w:val="00DD3B26"/>
    <w:rsid w:val="00DD3D33"/>
    <w:rsid w:val="00DD6FE4"/>
    <w:rsid w:val="00DE0B54"/>
    <w:rsid w:val="00DE0D33"/>
    <w:rsid w:val="00DE207C"/>
    <w:rsid w:val="00DE2A3F"/>
    <w:rsid w:val="00DE7428"/>
    <w:rsid w:val="00DF23E1"/>
    <w:rsid w:val="00DF2A1A"/>
    <w:rsid w:val="00DF2B4E"/>
    <w:rsid w:val="00DF2D46"/>
    <w:rsid w:val="00DF6190"/>
    <w:rsid w:val="00DF6CD2"/>
    <w:rsid w:val="00DF7DAE"/>
    <w:rsid w:val="00E049C1"/>
    <w:rsid w:val="00E04AF7"/>
    <w:rsid w:val="00E05092"/>
    <w:rsid w:val="00E13699"/>
    <w:rsid w:val="00E27310"/>
    <w:rsid w:val="00E31D29"/>
    <w:rsid w:val="00E331B9"/>
    <w:rsid w:val="00E359CB"/>
    <w:rsid w:val="00E40643"/>
    <w:rsid w:val="00E42F69"/>
    <w:rsid w:val="00E4303F"/>
    <w:rsid w:val="00E43579"/>
    <w:rsid w:val="00E45B39"/>
    <w:rsid w:val="00E4669C"/>
    <w:rsid w:val="00E46700"/>
    <w:rsid w:val="00E46E9F"/>
    <w:rsid w:val="00E47042"/>
    <w:rsid w:val="00E51272"/>
    <w:rsid w:val="00E5666A"/>
    <w:rsid w:val="00E56A65"/>
    <w:rsid w:val="00E601CA"/>
    <w:rsid w:val="00E6561D"/>
    <w:rsid w:val="00E665C5"/>
    <w:rsid w:val="00E70B3C"/>
    <w:rsid w:val="00E72587"/>
    <w:rsid w:val="00E72A12"/>
    <w:rsid w:val="00E72FFC"/>
    <w:rsid w:val="00E76A1A"/>
    <w:rsid w:val="00E82089"/>
    <w:rsid w:val="00E82766"/>
    <w:rsid w:val="00E82C84"/>
    <w:rsid w:val="00E83E64"/>
    <w:rsid w:val="00E85A45"/>
    <w:rsid w:val="00E86C74"/>
    <w:rsid w:val="00E9091B"/>
    <w:rsid w:val="00E91D37"/>
    <w:rsid w:val="00E91E3F"/>
    <w:rsid w:val="00E93291"/>
    <w:rsid w:val="00E9472B"/>
    <w:rsid w:val="00EA04E9"/>
    <w:rsid w:val="00EA06C3"/>
    <w:rsid w:val="00EA18F8"/>
    <w:rsid w:val="00EA3740"/>
    <w:rsid w:val="00EA76F8"/>
    <w:rsid w:val="00EA7E5C"/>
    <w:rsid w:val="00EB017D"/>
    <w:rsid w:val="00EB163A"/>
    <w:rsid w:val="00EB2DE3"/>
    <w:rsid w:val="00EB391C"/>
    <w:rsid w:val="00EB4107"/>
    <w:rsid w:val="00EB4E3D"/>
    <w:rsid w:val="00EB5D9F"/>
    <w:rsid w:val="00EB7D60"/>
    <w:rsid w:val="00EC3507"/>
    <w:rsid w:val="00EC3A62"/>
    <w:rsid w:val="00EC4364"/>
    <w:rsid w:val="00EC789B"/>
    <w:rsid w:val="00ED2B08"/>
    <w:rsid w:val="00EE2829"/>
    <w:rsid w:val="00EE32A6"/>
    <w:rsid w:val="00EE3BC7"/>
    <w:rsid w:val="00EE3C84"/>
    <w:rsid w:val="00EE7064"/>
    <w:rsid w:val="00EF4288"/>
    <w:rsid w:val="00EF4DC5"/>
    <w:rsid w:val="00EF6030"/>
    <w:rsid w:val="00F02323"/>
    <w:rsid w:val="00F03890"/>
    <w:rsid w:val="00F06984"/>
    <w:rsid w:val="00F104AE"/>
    <w:rsid w:val="00F10992"/>
    <w:rsid w:val="00F12EDA"/>
    <w:rsid w:val="00F1633D"/>
    <w:rsid w:val="00F17D93"/>
    <w:rsid w:val="00F22513"/>
    <w:rsid w:val="00F22EFB"/>
    <w:rsid w:val="00F23677"/>
    <w:rsid w:val="00F2368B"/>
    <w:rsid w:val="00F246A9"/>
    <w:rsid w:val="00F25B94"/>
    <w:rsid w:val="00F310AB"/>
    <w:rsid w:val="00F311C8"/>
    <w:rsid w:val="00F31418"/>
    <w:rsid w:val="00F3695C"/>
    <w:rsid w:val="00F37CD2"/>
    <w:rsid w:val="00F40970"/>
    <w:rsid w:val="00F40A5C"/>
    <w:rsid w:val="00F425C7"/>
    <w:rsid w:val="00F4615A"/>
    <w:rsid w:val="00F50535"/>
    <w:rsid w:val="00F52331"/>
    <w:rsid w:val="00F5693A"/>
    <w:rsid w:val="00F57EEC"/>
    <w:rsid w:val="00F61207"/>
    <w:rsid w:val="00F62F39"/>
    <w:rsid w:val="00F63A34"/>
    <w:rsid w:val="00F65B35"/>
    <w:rsid w:val="00F6718E"/>
    <w:rsid w:val="00F83C8D"/>
    <w:rsid w:val="00F84958"/>
    <w:rsid w:val="00F91AF1"/>
    <w:rsid w:val="00F94DEC"/>
    <w:rsid w:val="00F96956"/>
    <w:rsid w:val="00F96B95"/>
    <w:rsid w:val="00F9793B"/>
    <w:rsid w:val="00FA0763"/>
    <w:rsid w:val="00FA1899"/>
    <w:rsid w:val="00FA1FA2"/>
    <w:rsid w:val="00FA52F7"/>
    <w:rsid w:val="00FA5593"/>
    <w:rsid w:val="00FA6E21"/>
    <w:rsid w:val="00FB2B0A"/>
    <w:rsid w:val="00FB4207"/>
    <w:rsid w:val="00FB5E29"/>
    <w:rsid w:val="00FB7C3D"/>
    <w:rsid w:val="00FC0E95"/>
    <w:rsid w:val="00FC4559"/>
    <w:rsid w:val="00FC6185"/>
    <w:rsid w:val="00FC77D5"/>
    <w:rsid w:val="00FD0382"/>
    <w:rsid w:val="00FD149D"/>
    <w:rsid w:val="00FD3982"/>
    <w:rsid w:val="00FD5054"/>
    <w:rsid w:val="00FD6505"/>
    <w:rsid w:val="00FD66D1"/>
    <w:rsid w:val="00FD6B66"/>
    <w:rsid w:val="00FD7C61"/>
    <w:rsid w:val="00FE06B7"/>
    <w:rsid w:val="00FE0C0E"/>
    <w:rsid w:val="00FE103D"/>
    <w:rsid w:val="00FE15CA"/>
    <w:rsid w:val="00FE1887"/>
    <w:rsid w:val="00FE55AF"/>
    <w:rsid w:val="00FE6BFD"/>
    <w:rsid w:val="00FF2DB5"/>
    <w:rsid w:val="00FF4297"/>
    <w:rsid w:val="00FF6DD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A3E5A"/>
  <w15:chartTrackingRefBased/>
  <w15:docId w15:val="{5444B4BF-B22B-49D8-AEB0-9D6B9D4E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q-A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2B"/>
  </w:style>
  <w:style w:type="paragraph" w:styleId="Heading1">
    <w:name w:val="heading 1"/>
    <w:basedOn w:val="Normal"/>
    <w:next w:val="Normal"/>
    <w:link w:val="Heading1Char"/>
    <w:uiPriority w:val="9"/>
    <w:qFormat/>
    <w:rsid w:val="002C212B"/>
    <w:pPr>
      <w:keepNext/>
      <w:spacing w:line="360" w:lineRule="auto"/>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0E1A"/>
  </w:style>
  <w:style w:type="character" w:customStyle="1" w:styleId="FootnoteTextChar">
    <w:name w:val="Footnote Text Char"/>
    <w:basedOn w:val="DefaultParagraphFont"/>
    <w:link w:val="FootnoteText"/>
    <w:uiPriority w:val="99"/>
    <w:semiHidden/>
    <w:rsid w:val="00D50E1A"/>
    <w:rPr>
      <w:sz w:val="20"/>
      <w:szCs w:val="20"/>
    </w:rPr>
  </w:style>
  <w:style w:type="paragraph" w:styleId="Header">
    <w:name w:val="header"/>
    <w:basedOn w:val="Normal"/>
    <w:link w:val="HeaderChar"/>
    <w:uiPriority w:val="99"/>
    <w:unhideWhenUsed/>
    <w:rsid w:val="00D50E1A"/>
    <w:pPr>
      <w:tabs>
        <w:tab w:val="center" w:pos="4680"/>
        <w:tab w:val="right" w:pos="9360"/>
      </w:tabs>
    </w:pPr>
  </w:style>
  <w:style w:type="character" w:customStyle="1" w:styleId="HeaderChar">
    <w:name w:val="Header Char"/>
    <w:basedOn w:val="DefaultParagraphFont"/>
    <w:link w:val="Header"/>
    <w:uiPriority w:val="99"/>
    <w:rsid w:val="00D50E1A"/>
  </w:style>
  <w:style w:type="paragraph" w:styleId="Footer">
    <w:name w:val="footer"/>
    <w:basedOn w:val="Normal"/>
    <w:link w:val="FooterChar"/>
    <w:uiPriority w:val="99"/>
    <w:unhideWhenUsed/>
    <w:rsid w:val="00012FED"/>
    <w:pPr>
      <w:tabs>
        <w:tab w:val="center" w:pos="4680"/>
        <w:tab w:val="right" w:pos="9360"/>
      </w:tabs>
    </w:pPr>
  </w:style>
  <w:style w:type="character" w:customStyle="1" w:styleId="FooterChar">
    <w:name w:val="Footer Char"/>
    <w:basedOn w:val="DefaultParagraphFont"/>
    <w:link w:val="Footer"/>
    <w:uiPriority w:val="99"/>
    <w:rsid w:val="00012FED"/>
    <w:rPr>
      <w:sz w:val="20"/>
    </w:rPr>
  </w:style>
  <w:style w:type="character" w:styleId="FootnoteReference">
    <w:name w:val="footnote reference"/>
    <w:basedOn w:val="DefaultParagraphFont"/>
    <w:uiPriority w:val="99"/>
    <w:semiHidden/>
    <w:unhideWhenUsed/>
    <w:rsid w:val="00D50E1A"/>
    <w:rPr>
      <w:rFonts w:ascii="Times New Roman" w:hAnsi="Times New Roman"/>
      <w:sz w:val="20"/>
      <w:vertAlign w:val="superscript"/>
    </w:rPr>
  </w:style>
  <w:style w:type="paragraph" w:styleId="BodyTextIndent">
    <w:name w:val="Body Text Indent"/>
    <w:basedOn w:val="Normal"/>
    <w:link w:val="BodyTextIndentChar"/>
    <w:uiPriority w:val="99"/>
    <w:unhideWhenUsed/>
    <w:rsid w:val="00D50E1A"/>
    <w:pPr>
      <w:spacing w:after="120" w:line="360" w:lineRule="auto"/>
      <w:ind w:left="360"/>
    </w:pPr>
  </w:style>
  <w:style w:type="character" w:customStyle="1" w:styleId="BodyTextIndentChar">
    <w:name w:val="Body Text Indent Char"/>
    <w:basedOn w:val="DefaultParagraphFont"/>
    <w:link w:val="BodyTextIndent"/>
    <w:uiPriority w:val="99"/>
    <w:rsid w:val="00D50E1A"/>
    <w:rPr>
      <w:rFonts w:ascii="Calibri" w:eastAsia="Calibri" w:hAnsi="Calibri"/>
      <w:sz w:val="22"/>
      <w:szCs w:val="22"/>
    </w:rPr>
  </w:style>
  <w:style w:type="paragraph" w:styleId="ListParagraph">
    <w:name w:val="List Paragraph"/>
    <w:aliases w:val="List Paragraph2"/>
    <w:basedOn w:val="Normal"/>
    <w:link w:val="ListParagraphChar"/>
    <w:uiPriority w:val="34"/>
    <w:qFormat/>
    <w:rsid w:val="00D50E1A"/>
    <w:pPr>
      <w:ind w:left="720"/>
      <w:contextualSpacing/>
    </w:pPr>
  </w:style>
  <w:style w:type="character" w:customStyle="1" w:styleId="ListParagraphChar">
    <w:name w:val="List Paragraph Char"/>
    <w:aliases w:val="List Paragraph2 Char"/>
    <w:basedOn w:val="DefaultParagraphFont"/>
    <w:link w:val="ListParagraph"/>
    <w:uiPriority w:val="34"/>
    <w:locked/>
    <w:rsid w:val="00D50E1A"/>
  </w:style>
  <w:style w:type="character" w:customStyle="1" w:styleId="Heading1Char">
    <w:name w:val="Heading 1 Char"/>
    <w:basedOn w:val="DefaultParagraphFont"/>
    <w:link w:val="Heading1"/>
    <w:uiPriority w:val="9"/>
    <w:rsid w:val="002C212B"/>
    <w:rPr>
      <w:rFonts w:eastAsia="Calibri"/>
      <w:b/>
    </w:rPr>
  </w:style>
  <w:style w:type="paragraph" w:styleId="BodyTextIndent2">
    <w:name w:val="Body Text Indent 2"/>
    <w:basedOn w:val="Normal"/>
    <w:link w:val="BodyTextIndent2Char"/>
    <w:uiPriority w:val="99"/>
    <w:unhideWhenUsed/>
    <w:rsid w:val="002C212B"/>
    <w:pPr>
      <w:spacing w:line="360" w:lineRule="auto"/>
      <w:ind w:left="2880" w:hanging="2160"/>
    </w:pPr>
    <w:rPr>
      <w:b/>
      <w:sz w:val="24"/>
      <w:szCs w:val="24"/>
    </w:rPr>
  </w:style>
  <w:style w:type="character" w:customStyle="1" w:styleId="BodyTextIndent2Char">
    <w:name w:val="Body Text Indent 2 Char"/>
    <w:basedOn w:val="DefaultParagraphFont"/>
    <w:link w:val="BodyTextIndent2"/>
    <w:uiPriority w:val="99"/>
    <w:rsid w:val="002C212B"/>
    <w:rPr>
      <w:rFonts w:eastAsia="Calibri"/>
      <w:b/>
    </w:rPr>
  </w:style>
  <w:style w:type="paragraph" w:styleId="BodyText">
    <w:name w:val="Body Text"/>
    <w:basedOn w:val="Normal"/>
    <w:link w:val="BodyTextChar"/>
    <w:uiPriority w:val="99"/>
    <w:unhideWhenUsed/>
    <w:rsid w:val="009271A1"/>
    <w:pPr>
      <w:tabs>
        <w:tab w:val="left" w:pos="990"/>
      </w:tabs>
      <w:spacing w:line="360" w:lineRule="auto"/>
    </w:pPr>
    <w:rPr>
      <w:sz w:val="24"/>
      <w:szCs w:val="24"/>
    </w:rPr>
  </w:style>
  <w:style w:type="character" w:customStyle="1" w:styleId="BodyTextChar">
    <w:name w:val="Body Text Char"/>
    <w:basedOn w:val="DefaultParagraphFont"/>
    <w:link w:val="BodyText"/>
    <w:uiPriority w:val="99"/>
    <w:rsid w:val="009271A1"/>
    <w:rPr>
      <w:rFonts w:eastAsia="Calibri"/>
    </w:rPr>
  </w:style>
  <w:style w:type="character" w:styleId="Hyperlink">
    <w:name w:val="Hyperlink"/>
    <w:basedOn w:val="DefaultParagraphFont"/>
    <w:uiPriority w:val="99"/>
    <w:unhideWhenUsed/>
    <w:rsid w:val="009D7719"/>
    <w:rPr>
      <w:color w:val="0563C1" w:themeColor="hyperlink"/>
      <w:u w:val="single"/>
    </w:rPr>
  </w:style>
  <w:style w:type="character" w:styleId="FollowedHyperlink">
    <w:name w:val="FollowedHyperlink"/>
    <w:basedOn w:val="DefaultParagraphFont"/>
    <w:uiPriority w:val="99"/>
    <w:semiHidden/>
    <w:unhideWhenUsed/>
    <w:rsid w:val="00313143"/>
    <w:rPr>
      <w:color w:val="954F72" w:themeColor="followedHyperlink"/>
      <w:u w:val="single"/>
    </w:rPr>
  </w:style>
  <w:style w:type="character" w:customStyle="1" w:styleId="sb8d990e2">
    <w:name w:val="sb8d990e2"/>
    <w:basedOn w:val="DefaultParagraphFont"/>
    <w:rsid w:val="007853E4"/>
  </w:style>
  <w:style w:type="paragraph" w:customStyle="1" w:styleId="s30eec3f8">
    <w:name w:val="s30eec3f8"/>
    <w:basedOn w:val="Normal"/>
    <w:rsid w:val="005806F8"/>
    <w:pPr>
      <w:spacing w:before="100" w:beforeAutospacing="1" w:after="100" w:afterAutospacing="1"/>
      <w:jc w:val="left"/>
    </w:pPr>
    <w:rPr>
      <w:rFonts w:eastAsia="Times New Roman"/>
      <w:sz w:val="24"/>
      <w:szCs w:val="24"/>
      <w:lang w:val="en-US"/>
    </w:rPr>
  </w:style>
  <w:style w:type="character" w:customStyle="1" w:styleId="s6b621b36">
    <w:name w:val="s6b621b36"/>
    <w:basedOn w:val="DefaultParagraphFont"/>
    <w:rsid w:val="005806F8"/>
  </w:style>
  <w:style w:type="paragraph" w:styleId="BalloonText">
    <w:name w:val="Balloon Text"/>
    <w:basedOn w:val="Normal"/>
    <w:link w:val="BalloonTextChar"/>
    <w:uiPriority w:val="99"/>
    <w:semiHidden/>
    <w:unhideWhenUsed/>
    <w:rsid w:val="00024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BE"/>
    <w:rPr>
      <w:rFonts w:ascii="Segoe UI" w:hAnsi="Segoe UI" w:cs="Segoe UI"/>
      <w:sz w:val="18"/>
      <w:szCs w:val="18"/>
    </w:rPr>
  </w:style>
  <w:style w:type="paragraph" w:styleId="BodyTextIndent3">
    <w:name w:val="Body Text Indent 3"/>
    <w:basedOn w:val="Normal"/>
    <w:link w:val="BodyTextIndent3Char"/>
    <w:uiPriority w:val="99"/>
    <w:unhideWhenUsed/>
    <w:rsid w:val="00AD4D79"/>
    <w:pPr>
      <w:spacing w:line="360" w:lineRule="auto"/>
      <w:ind w:firstLine="720"/>
    </w:pPr>
    <w:rPr>
      <w:sz w:val="24"/>
      <w:szCs w:val="24"/>
    </w:rPr>
  </w:style>
  <w:style w:type="character" w:customStyle="1" w:styleId="BodyTextIndent3Char">
    <w:name w:val="Body Text Indent 3 Char"/>
    <w:basedOn w:val="DefaultParagraphFont"/>
    <w:link w:val="BodyTextIndent3"/>
    <w:uiPriority w:val="99"/>
    <w:rsid w:val="00AD4D79"/>
    <w:rPr>
      <w:sz w:val="24"/>
      <w:szCs w:val="24"/>
    </w:rPr>
  </w:style>
  <w:style w:type="character" w:styleId="CommentReference">
    <w:name w:val="annotation reference"/>
    <w:basedOn w:val="DefaultParagraphFont"/>
    <w:uiPriority w:val="99"/>
    <w:semiHidden/>
    <w:unhideWhenUsed/>
    <w:rsid w:val="004C070A"/>
    <w:rPr>
      <w:sz w:val="16"/>
      <w:szCs w:val="16"/>
    </w:rPr>
  </w:style>
  <w:style w:type="paragraph" w:styleId="CommentText">
    <w:name w:val="annotation text"/>
    <w:basedOn w:val="Normal"/>
    <w:link w:val="CommentTextChar"/>
    <w:uiPriority w:val="99"/>
    <w:semiHidden/>
    <w:unhideWhenUsed/>
    <w:rsid w:val="004C070A"/>
  </w:style>
  <w:style w:type="character" w:customStyle="1" w:styleId="CommentTextChar">
    <w:name w:val="Comment Text Char"/>
    <w:basedOn w:val="DefaultParagraphFont"/>
    <w:link w:val="CommentText"/>
    <w:uiPriority w:val="99"/>
    <w:semiHidden/>
    <w:rsid w:val="004C070A"/>
  </w:style>
  <w:style w:type="paragraph" w:styleId="CommentSubject">
    <w:name w:val="annotation subject"/>
    <w:basedOn w:val="CommentText"/>
    <w:next w:val="CommentText"/>
    <w:link w:val="CommentSubjectChar"/>
    <w:uiPriority w:val="99"/>
    <w:semiHidden/>
    <w:unhideWhenUsed/>
    <w:rsid w:val="004C070A"/>
    <w:rPr>
      <w:b/>
      <w:bCs/>
    </w:rPr>
  </w:style>
  <w:style w:type="character" w:customStyle="1" w:styleId="CommentSubjectChar">
    <w:name w:val="Comment Subject Char"/>
    <w:basedOn w:val="CommentTextChar"/>
    <w:link w:val="CommentSubject"/>
    <w:uiPriority w:val="99"/>
    <w:semiHidden/>
    <w:rsid w:val="004C0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0207">
      <w:bodyDiv w:val="1"/>
      <w:marLeft w:val="0"/>
      <w:marRight w:val="0"/>
      <w:marTop w:val="0"/>
      <w:marBottom w:val="0"/>
      <w:divBdr>
        <w:top w:val="none" w:sz="0" w:space="0" w:color="auto"/>
        <w:left w:val="none" w:sz="0" w:space="0" w:color="auto"/>
        <w:bottom w:val="none" w:sz="0" w:space="0" w:color="auto"/>
        <w:right w:val="none" w:sz="0" w:space="0" w:color="auto"/>
      </w:divBdr>
    </w:div>
    <w:div w:id="938757707">
      <w:bodyDiv w:val="1"/>
      <w:marLeft w:val="0"/>
      <w:marRight w:val="0"/>
      <w:marTop w:val="0"/>
      <w:marBottom w:val="0"/>
      <w:divBdr>
        <w:top w:val="none" w:sz="0" w:space="0" w:color="auto"/>
        <w:left w:val="none" w:sz="0" w:space="0" w:color="auto"/>
        <w:bottom w:val="none" w:sz="0" w:space="0" w:color="auto"/>
        <w:right w:val="none" w:sz="0" w:space="0" w:color="auto"/>
      </w:divBdr>
    </w:div>
    <w:div w:id="940651385">
      <w:bodyDiv w:val="1"/>
      <w:marLeft w:val="0"/>
      <w:marRight w:val="0"/>
      <w:marTop w:val="0"/>
      <w:marBottom w:val="0"/>
      <w:divBdr>
        <w:top w:val="none" w:sz="0" w:space="0" w:color="auto"/>
        <w:left w:val="none" w:sz="0" w:space="0" w:color="auto"/>
        <w:bottom w:val="none" w:sz="0" w:space="0" w:color="auto"/>
        <w:right w:val="none" w:sz="0" w:space="0" w:color="auto"/>
      </w:divBdr>
    </w:div>
    <w:div w:id="988167595">
      <w:bodyDiv w:val="1"/>
      <w:marLeft w:val="0"/>
      <w:marRight w:val="0"/>
      <w:marTop w:val="0"/>
      <w:marBottom w:val="0"/>
      <w:divBdr>
        <w:top w:val="none" w:sz="0" w:space="0" w:color="auto"/>
        <w:left w:val="none" w:sz="0" w:space="0" w:color="auto"/>
        <w:bottom w:val="none" w:sz="0" w:space="0" w:color="auto"/>
        <w:right w:val="none" w:sz="0" w:space="0" w:color="auto"/>
      </w:divBdr>
    </w:div>
    <w:div w:id="179583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E8AA57-4F9A-44E4-94A3-A89A7F86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EMILJANO SHULLAZI</vt:lpstr>
    </vt:vector>
  </TitlesOfParts>
  <Company/>
  <LinksUpToDate>false</LinksUpToDate>
  <CharactersWithSpaces>42777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Dt. 22.02.2022</dc:subject>
  <dc:description/>
  <cp:lastModifiedBy>User</cp:lastModifiedBy>
  <cp:revision>3</cp:revision>
  <cp:lastPrinted>2022-03-15T07:58:00Z</cp:lastPrinted>
  <dcterms:created xsi:type="dcterms:W3CDTF">2022-03-16T14:39:00Z</dcterms:created>
  <dcterms:modified xsi:type="dcterms:W3CDTF">2022-03-17T11:03:00Z</dcterms:modified>
</cp:coreProperties>
</file>