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F" w:rsidRPr="004E4B05" w:rsidRDefault="000B750F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B05">
        <w:rPr>
          <w:rFonts w:ascii="Times New Roman" w:hAnsi="Times New Roman" w:cs="Times New Roman"/>
          <w:b/>
          <w:sz w:val="26"/>
          <w:szCs w:val="26"/>
        </w:rPr>
        <w:t>KOMENTE 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bookmarkStart w:id="0" w:name="_GoBack"/>
      <w:bookmarkEnd w:id="0"/>
      <w:r w:rsidRPr="004E4B05">
        <w:rPr>
          <w:rFonts w:ascii="Times New Roman" w:hAnsi="Times New Roman" w:cs="Times New Roman"/>
          <w:b/>
          <w:sz w:val="26"/>
          <w:szCs w:val="26"/>
        </w:rPr>
        <w:t xml:space="preserve"> P</w:t>
      </w:r>
      <w:r w:rsidR="00A32071">
        <w:rPr>
          <w:rFonts w:ascii="Times New Roman" w:hAnsi="Times New Roman" w:cs="Times New Roman"/>
          <w:b/>
          <w:sz w:val="26"/>
          <w:szCs w:val="26"/>
        </w:rPr>
        <w:t>Ë</w:t>
      </w:r>
      <w:r w:rsidRPr="004E4B05">
        <w:rPr>
          <w:rFonts w:ascii="Times New Roman" w:hAnsi="Times New Roman" w:cs="Times New Roman"/>
          <w:b/>
          <w:sz w:val="26"/>
          <w:szCs w:val="26"/>
        </w:rPr>
        <w:t>RGJITHSHME</w:t>
      </w:r>
    </w:p>
    <w:p w:rsidR="000B750F" w:rsidRPr="004E4B05" w:rsidRDefault="000B750F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Mbi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raportin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e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monitorimit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te</w:t>
      </w:r>
      <w:proofErr w:type="spellEnd"/>
      <w:proofErr w:type="gram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Gjykat</w:t>
      </w:r>
      <w:r w:rsidR="00A32071">
        <w:rPr>
          <w:rFonts w:ascii="Times New Roman" w:hAnsi="Times New Roman" w:cs="Times New Roman"/>
          <w:b/>
          <w:sz w:val="26"/>
          <w:szCs w:val="26"/>
          <w:u w:val="single"/>
        </w:rPr>
        <w:t>ë</w:t>
      </w:r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Kushtetuese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  <w:r w:rsidR="00A32071">
        <w:rPr>
          <w:rFonts w:ascii="Times New Roman" w:hAnsi="Times New Roman" w:cs="Times New Roman"/>
          <w:b/>
          <w:sz w:val="26"/>
          <w:szCs w:val="26"/>
          <w:u w:val="single"/>
        </w:rPr>
        <w:t>ë</w:t>
      </w:r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proofErr w:type="spellEnd"/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>viti</w:t>
      </w:r>
      <w:r w:rsidR="00A32071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proofErr w:type="spellEnd"/>
      <w:r w:rsidR="00EC1C80" w:rsidRPr="004E4B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E4B05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E37844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AD4" w:rsidRDefault="00280AD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6BC7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Pr="00EC1C80" w:rsidRDefault="000B750F" w:rsidP="000308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Karakteristikat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kryesore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t</w:t>
      </w:r>
      <w:r w:rsidR="00A3207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b/>
          <w:sz w:val="26"/>
          <w:szCs w:val="26"/>
        </w:rPr>
        <w:t>performanc</w:t>
      </w:r>
      <w:r w:rsidR="00A32071">
        <w:rPr>
          <w:rFonts w:ascii="Times New Roman" w:hAnsi="Times New Roman" w:cs="Times New Roman"/>
          <w:b/>
          <w:sz w:val="26"/>
          <w:szCs w:val="26"/>
        </w:rPr>
        <w:t>ë</w:t>
      </w:r>
      <w:r w:rsidRPr="00EC1C80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EC1C8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1C80" w:rsidRDefault="00EC1C80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Gjykata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Kushtetuese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B750F"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vitin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201</w:t>
      </w:r>
      <w:r w:rsidR="00E37844">
        <w:rPr>
          <w:rFonts w:ascii="Times New Roman" w:hAnsi="Times New Roman" w:cs="Times New Roman"/>
          <w:sz w:val="26"/>
          <w:szCs w:val="26"/>
        </w:rPr>
        <w:t>3</w:t>
      </w:r>
      <w:r w:rsidR="000B750F"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administron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menaxhon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fondet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publike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nj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50F" w:rsidRPr="00EC1C80">
        <w:rPr>
          <w:rFonts w:ascii="Times New Roman" w:hAnsi="Times New Roman" w:cs="Times New Roman"/>
          <w:sz w:val="26"/>
          <w:szCs w:val="26"/>
        </w:rPr>
        <w:t xml:space="preserve">program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miratuar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sht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308CA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0308CA" w:rsidRDefault="00922152" w:rsidP="000308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8CA">
        <w:rPr>
          <w:rFonts w:ascii="Times New Roman" w:eastAsia="Calibri" w:hAnsi="Times New Roman" w:cs="Times New Roman"/>
          <w:b/>
          <w:sz w:val="26"/>
          <w:szCs w:val="26"/>
          <w:lang w:val="sq-AL"/>
        </w:rPr>
        <w:t>Programi 03320, “Veprimtaria gjyqësore, kushtetuese”</w:t>
      </w:r>
    </w:p>
    <w:p w:rsidR="00922152" w:rsidRDefault="00922152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A32071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2013,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lidh</w:t>
      </w:r>
      <w:r w:rsidR="00922152">
        <w:rPr>
          <w:rFonts w:ascii="Times New Roman" w:hAnsi="Times New Roman" w:cs="Times New Roman"/>
          <w:sz w:val="26"/>
          <w:szCs w:val="26"/>
        </w:rPr>
        <w:t>je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krahasuar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planin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v</w:t>
      </w:r>
      <w:r w:rsidR="00922152">
        <w:rPr>
          <w:rFonts w:ascii="Times New Roman" w:hAnsi="Times New Roman" w:cs="Times New Roman"/>
          <w:sz w:val="26"/>
          <w:szCs w:val="26"/>
        </w:rPr>
        <w:t>jetor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m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50F" w:rsidRPr="00EC1C80">
        <w:rPr>
          <w:rFonts w:ascii="Times New Roman" w:hAnsi="Times New Roman" w:cs="Times New Roman"/>
          <w:sz w:val="26"/>
          <w:szCs w:val="26"/>
        </w:rPr>
        <w:t>posht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B750F"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2152" w:rsidRPr="00922152" w:rsidRDefault="00922152" w:rsidP="000308CA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2152">
        <w:rPr>
          <w:rFonts w:ascii="Times New Roman" w:hAnsi="Times New Roman" w:cs="Times New Roman"/>
          <w:b/>
          <w:sz w:val="20"/>
          <w:szCs w:val="20"/>
        </w:rPr>
        <w:t xml:space="preserve">% e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realizimit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>,</w:t>
      </w:r>
    </w:p>
    <w:p w:rsidR="000B750F" w:rsidRPr="00EC1C80" w:rsidRDefault="000B750F" w:rsidP="000308CA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2152">
        <w:rPr>
          <w:rFonts w:ascii="Times New Roman" w:hAnsi="Times New Roman" w:cs="Times New Roman"/>
          <w:b/>
          <w:sz w:val="20"/>
          <w:szCs w:val="20"/>
        </w:rPr>
        <w:t>kundrejt</w:t>
      </w:r>
      <w:proofErr w:type="spellEnd"/>
      <w:proofErr w:type="gram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buxhetit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D64C4">
        <w:rPr>
          <w:rFonts w:ascii="Times New Roman" w:hAnsi="Times New Roman" w:cs="Times New Roman"/>
          <w:b/>
          <w:sz w:val="20"/>
          <w:szCs w:val="20"/>
        </w:rPr>
        <w:t>v</w:t>
      </w:r>
      <w:r w:rsidRPr="00922152">
        <w:rPr>
          <w:rFonts w:ascii="Times New Roman" w:hAnsi="Times New Roman" w:cs="Times New Roman"/>
          <w:b/>
          <w:sz w:val="20"/>
          <w:szCs w:val="20"/>
        </w:rPr>
        <w:t>jetor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922152" w:rsidRDefault="00922152" w:rsidP="00030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</w:t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>ia gjyqësore, kushtetuese”</w:t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37844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E8287B">
        <w:rPr>
          <w:rFonts w:ascii="Times New Roman" w:eastAsia="Calibri" w:hAnsi="Times New Roman" w:cs="Times New Roman"/>
          <w:sz w:val="26"/>
          <w:szCs w:val="26"/>
          <w:lang w:val="sq-AL"/>
        </w:rPr>
        <w:t>98</w:t>
      </w:r>
      <w:r w:rsidR="00186819">
        <w:rPr>
          <w:rFonts w:ascii="Times New Roman" w:eastAsia="Calibri" w:hAnsi="Times New Roman" w:cs="Times New Roman"/>
          <w:sz w:val="26"/>
          <w:szCs w:val="26"/>
          <w:lang w:val="sq-AL"/>
        </w:rPr>
        <w:t>.</w:t>
      </w:r>
      <w:r w:rsidR="00E8287B">
        <w:rPr>
          <w:rFonts w:ascii="Times New Roman" w:eastAsia="Calibri" w:hAnsi="Times New Roman" w:cs="Times New Roman"/>
          <w:sz w:val="26"/>
          <w:szCs w:val="26"/>
          <w:lang w:val="sq-AL"/>
        </w:rPr>
        <w:t>4</w:t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0B750F" w:rsidRPr="00922152" w:rsidRDefault="00186819" w:rsidP="000308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8287B">
        <w:rPr>
          <w:rFonts w:ascii="Times New Roman" w:hAnsi="Times New Roman" w:cs="Times New Roman"/>
          <w:b/>
          <w:sz w:val="26"/>
          <w:szCs w:val="26"/>
        </w:rPr>
        <w:t>98.4</w:t>
      </w:r>
      <w:r w:rsidR="00922152" w:rsidRPr="009221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50F" w:rsidRPr="00922152">
        <w:rPr>
          <w:rFonts w:ascii="Times New Roman" w:hAnsi="Times New Roman" w:cs="Times New Roman"/>
          <w:b/>
          <w:sz w:val="26"/>
          <w:szCs w:val="26"/>
        </w:rPr>
        <w:t xml:space="preserve">% </w:t>
      </w:r>
    </w:p>
    <w:p w:rsidR="00922152" w:rsidRDefault="00922152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shtrim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rgjithsh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duke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gjykuar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vet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mbi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vler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s</w:t>
      </w:r>
      <w:r w:rsidRPr="00EC1C80">
        <w:rPr>
          <w:rFonts w:ascii="Times New Roman" w:hAnsi="Times New Roman" w:cs="Times New Roman"/>
          <w:sz w:val="26"/>
          <w:szCs w:val="26"/>
        </w:rPr>
        <w:t>hpen</w:t>
      </w:r>
      <w:r w:rsidR="00922152">
        <w:rPr>
          <w:rFonts w:ascii="Times New Roman" w:hAnsi="Times New Roman" w:cs="Times New Roman"/>
          <w:sz w:val="26"/>
          <w:szCs w:val="26"/>
        </w:rPr>
        <w:t>zime</w:t>
      </w:r>
      <w:r w:rsidRPr="00EC1C80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planifikuara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vitin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2013</w:t>
      </w:r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programin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r w:rsidR="00E8287B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vet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E8287B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</w:t>
      </w:r>
      <w:r w:rsidR="000308CA"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“Veprimtaria gjyqësore, kushtetuese”</w:t>
      </w:r>
      <w:r w:rsidR="000308CA">
        <w:rPr>
          <w:rFonts w:ascii="Times New Roman" w:eastAsia="Calibri" w:hAnsi="Times New Roman" w:cs="Times New Roman"/>
          <w:sz w:val="26"/>
          <w:szCs w:val="26"/>
          <w:lang w:val="sq-AL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E8287B">
        <w:rPr>
          <w:rFonts w:ascii="Times New Roman" w:hAnsi="Times New Roman" w:cs="Times New Roman"/>
          <w:sz w:val="26"/>
          <w:szCs w:val="26"/>
        </w:rPr>
        <w:t>i</w:t>
      </w:r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tij</w:t>
      </w:r>
      <w:proofErr w:type="spellEnd"/>
      <w:r w:rsidR="00922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152">
        <w:rPr>
          <w:rFonts w:ascii="Times New Roman" w:hAnsi="Times New Roman" w:cs="Times New Roman"/>
          <w:sz w:val="26"/>
          <w:szCs w:val="26"/>
        </w:rPr>
        <w:t>institucio</w:t>
      </w:r>
      <w:r w:rsidR="000308CA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evidentohet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nj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performanc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C304B6">
        <w:rPr>
          <w:rFonts w:ascii="Times New Roman" w:hAnsi="Times New Roman" w:cs="Times New Roman"/>
          <w:sz w:val="26"/>
          <w:szCs w:val="26"/>
        </w:rPr>
        <w:t>e mir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="00C304B6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</w:t>
      </w:r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v</w:t>
      </w:r>
      <w:r w:rsidRPr="00EC1C80">
        <w:rPr>
          <w:rFonts w:ascii="Times New Roman" w:hAnsi="Times New Roman" w:cs="Times New Roman"/>
          <w:sz w:val="26"/>
          <w:szCs w:val="26"/>
        </w:rPr>
        <w:t>jetore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Sipas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z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rave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rber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r w:rsidRPr="00EC1C80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E8287B">
        <w:rPr>
          <w:rFonts w:ascii="Times New Roman" w:hAnsi="Times New Roman" w:cs="Times New Roman"/>
          <w:sz w:val="26"/>
          <w:szCs w:val="26"/>
        </w:rPr>
        <w:t>e</w:t>
      </w:r>
      <w:proofErr w:type="spellEnd"/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20</w:t>
      </w:r>
      <w:r w:rsidRPr="00EC1C80">
        <w:rPr>
          <w:rFonts w:ascii="Times New Roman" w:hAnsi="Times New Roman" w:cs="Times New Roman"/>
          <w:sz w:val="26"/>
          <w:szCs w:val="26"/>
        </w:rPr>
        <w:t>1</w:t>
      </w:r>
      <w:r w:rsidR="00736537">
        <w:rPr>
          <w:rFonts w:ascii="Times New Roman" w:hAnsi="Times New Roman" w:cs="Times New Roman"/>
          <w:sz w:val="26"/>
          <w:szCs w:val="26"/>
        </w:rPr>
        <w:t>3</w:t>
      </w:r>
      <w:r w:rsidR="000308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par</w:t>
      </w:r>
      <w:r w:rsidRPr="00EC1C80">
        <w:rPr>
          <w:rFonts w:ascii="Times New Roman" w:hAnsi="Times New Roman" w:cs="Times New Roman"/>
          <w:sz w:val="26"/>
          <w:szCs w:val="26"/>
        </w:rPr>
        <w:t>aqitet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, </w:t>
      </w:r>
      <w:r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till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308CA" w:rsidRPr="00EC1C80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0308CA" w:rsidRDefault="000B750F" w:rsidP="004E4B05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ko</w:t>
      </w:r>
      <w:r w:rsidR="00E8287B">
        <w:rPr>
          <w:rFonts w:ascii="Times New Roman" w:hAnsi="Times New Roman" w:cs="Times New Roman"/>
          <w:b/>
          <w:sz w:val="20"/>
          <w:szCs w:val="20"/>
        </w:rPr>
        <w:t>r</w:t>
      </w:r>
      <w:r w:rsidRPr="000308CA">
        <w:rPr>
          <w:rFonts w:ascii="Times New Roman" w:hAnsi="Times New Roman" w:cs="Times New Roman"/>
          <w:b/>
          <w:sz w:val="20"/>
          <w:szCs w:val="20"/>
        </w:rPr>
        <w:t>rente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8CA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Shpenzime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08CA">
        <w:rPr>
          <w:rFonts w:ascii="Times New Roman" w:hAnsi="Times New Roman" w:cs="Times New Roman"/>
          <w:b/>
          <w:sz w:val="20"/>
          <w:szCs w:val="20"/>
        </w:rPr>
        <w:t>kapitale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08CA" w:rsidRPr="00922152" w:rsidRDefault="000308CA" w:rsidP="00030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>“Veprimtaria gjyqësore, kushtetuese”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</w:t>
      </w:r>
      <w:r w:rsidR="00E8287B">
        <w:rPr>
          <w:rFonts w:ascii="Times New Roman" w:eastAsia="Calibri" w:hAnsi="Times New Roman" w:cs="Times New Roman"/>
          <w:sz w:val="26"/>
          <w:szCs w:val="26"/>
          <w:lang w:val="sq-AL"/>
        </w:rPr>
        <w:t>98.4</w:t>
      </w:r>
      <w:r w:rsidRPr="00922152"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  <w:r w:rsidR="00C304B6">
        <w:rPr>
          <w:rFonts w:ascii="Times New Roman" w:eastAsia="Calibri" w:hAnsi="Times New Roman" w:cs="Times New Roman"/>
          <w:sz w:val="26"/>
          <w:szCs w:val="26"/>
          <w:lang w:val="sq-AL"/>
        </w:rPr>
        <w:tab/>
      </w:r>
      <w:r w:rsidR="00C304B6">
        <w:rPr>
          <w:rFonts w:ascii="Times New Roman" w:eastAsia="Calibri" w:hAnsi="Times New Roman" w:cs="Times New Roman"/>
          <w:sz w:val="26"/>
          <w:szCs w:val="26"/>
          <w:lang w:val="sq-AL"/>
        </w:rPr>
        <w:tab/>
        <w:t xml:space="preserve">       </w:t>
      </w:r>
      <w:r w:rsidR="00E8287B">
        <w:rPr>
          <w:rFonts w:ascii="Times New Roman" w:eastAsia="Calibri" w:hAnsi="Times New Roman" w:cs="Times New Roman"/>
          <w:sz w:val="26"/>
          <w:szCs w:val="26"/>
          <w:lang w:val="sq-AL"/>
        </w:rPr>
        <w:t>99.2</w:t>
      </w:r>
      <w:r>
        <w:rPr>
          <w:rFonts w:ascii="Times New Roman" w:eastAsia="Calibri" w:hAnsi="Times New Roman" w:cs="Times New Roman"/>
          <w:sz w:val="26"/>
          <w:szCs w:val="26"/>
          <w:lang w:val="sq-AL"/>
        </w:rPr>
        <w:t xml:space="preserve"> %</w:t>
      </w:r>
    </w:p>
    <w:p w:rsidR="000308CA" w:rsidRPr="00922152" w:rsidRDefault="000308CA" w:rsidP="000308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Totali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922152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Pr="00922152">
        <w:rPr>
          <w:rFonts w:ascii="Times New Roman" w:hAnsi="Times New Roman" w:cs="Times New Roman"/>
          <w:b/>
          <w:sz w:val="26"/>
          <w:szCs w:val="26"/>
        </w:rPr>
        <w:tab/>
      </w:r>
      <w:r w:rsidR="00C304B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8287B">
        <w:rPr>
          <w:rFonts w:ascii="Times New Roman" w:hAnsi="Times New Roman" w:cs="Times New Roman"/>
          <w:b/>
          <w:sz w:val="26"/>
          <w:szCs w:val="26"/>
        </w:rPr>
        <w:t>98.4</w:t>
      </w:r>
      <w:r w:rsidRPr="00922152">
        <w:rPr>
          <w:rFonts w:ascii="Times New Roman" w:hAnsi="Times New Roman" w:cs="Times New Roman"/>
          <w:b/>
          <w:sz w:val="26"/>
          <w:szCs w:val="26"/>
        </w:rPr>
        <w:t xml:space="preserve"> % </w:t>
      </w:r>
      <w:r w:rsidR="00C16B8F">
        <w:rPr>
          <w:rFonts w:ascii="Times New Roman" w:hAnsi="Times New Roman" w:cs="Times New Roman"/>
          <w:b/>
          <w:sz w:val="26"/>
          <w:szCs w:val="26"/>
        </w:rPr>
        <w:tab/>
      </w:r>
      <w:r w:rsidR="00C16B8F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E8287B">
        <w:rPr>
          <w:rFonts w:ascii="Times New Roman" w:hAnsi="Times New Roman" w:cs="Times New Roman"/>
          <w:b/>
          <w:sz w:val="26"/>
          <w:szCs w:val="26"/>
        </w:rPr>
        <w:t>99.2</w:t>
      </w:r>
      <w:r>
        <w:rPr>
          <w:rFonts w:ascii="Times New Roman" w:hAnsi="Times New Roman" w:cs="Times New Roman"/>
          <w:b/>
          <w:sz w:val="26"/>
          <w:szCs w:val="26"/>
        </w:rPr>
        <w:t xml:space="preserve"> %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308CA" w:rsidRDefault="000308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04B6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8CA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308CA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0308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kor</w:t>
      </w:r>
      <w:r w:rsidR="00E8287B">
        <w:rPr>
          <w:rFonts w:ascii="Times New Roman" w:hAnsi="Times New Roman" w:cs="Times New Roman"/>
          <w:sz w:val="26"/>
          <w:szCs w:val="26"/>
        </w:rPr>
        <w:t>r</w:t>
      </w:r>
      <w:r w:rsidRPr="00EC1C80">
        <w:rPr>
          <w:rFonts w:ascii="Times New Roman" w:hAnsi="Times New Roman" w:cs="Times New Roman"/>
          <w:sz w:val="26"/>
          <w:szCs w:val="26"/>
        </w:rPr>
        <w:t>ente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</w:t>
      </w:r>
      <w:r w:rsidR="00C304B6">
        <w:rPr>
          <w:rFonts w:ascii="Times New Roman" w:hAnsi="Times New Roman" w:cs="Times New Roman"/>
          <w:sz w:val="26"/>
          <w:szCs w:val="26"/>
        </w:rPr>
        <w:t>3</w:t>
      </w:r>
      <w:r w:rsidR="000308CA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8C9">
        <w:rPr>
          <w:rFonts w:ascii="Times New Roman" w:hAnsi="Times New Roman" w:cs="Times New Roman"/>
          <w:sz w:val="26"/>
          <w:szCs w:val="26"/>
        </w:rPr>
        <w:t>nj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C16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8C9">
        <w:rPr>
          <w:rFonts w:ascii="Times New Roman" w:hAnsi="Times New Roman" w:cs="Times New Roman"/>
          <w:sz w:val="26"/>
          <w:szCs w:val="26"/>
        </w:rPr>
        <w:t>ecuri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87B">
        <w:rPr>
          <w:rFonts w:ascii="Times New Roman" w:hAnsi="Times New Roman" w:cs="Times New Roman"/>
          <w:sz w:val="26"/>
          <w:szCs w:val="26"/>
        </w:rPr>
        <w:t>mir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E828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68C9">
        <w:rPr>
          <w:rFonts w:ascii="Times New Roman" w:hAnsi="Times New Roman" w:cs="Times New Roman"/>
          <w:sz w:val="26"/>
          <w:szCs w:val="26"/>
        </w:rPr>
        <w:t>normale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418E2">
        <w:rPr>
          <w:rFonts w:ascii="Times New Roman" w:hAnsi="Times New Roman" w:cs="Times New Roman"/>
          <w:sz w:val="26"/>
          <w:szCs w:val="26"/>
        </w:rPr>
        <w:t>rputhje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treguesit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miratuar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418E2">
        <w:rPr>
          <w:rFonts w:ascii="Times New Roman" w:hAnsi="Times New Roman" w:cs="Times New Roman"/>
          <w:sz w:val="26"/>
          <w:szCs w:val="26"/>
        </w:rPr>
        <w:t>Ndikim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ka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patur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mos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shpenzimi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fondit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pagave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rrjedhoj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C304B6">
        <w:rPr>
          <w:rFonts w:ascii="Times New Roman" w:hAnsi="Times New Roman" w:cs="Times New Roman"/>
          <w:sz w:val="26"/>
          <w:szCs w:val="26"/>
        </w:rPr>
        <w:t>mos</w:t>
      </w:r>
      <w:proofErr w:type="spellEnd"/>
      <w:r w:rsidR="00C304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plotesimit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C304B6">
        <w:rPr>
          <w:rFonts w:ascii="Times New Roman" w:hAnsi="Times New Roman" w:cs="Times New Roman"/>
          <w:sz w:val="26"/>
          <w:szCs w:val="26"/>
        </w:rPr>
        <w:t>1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nd</w:t>
      </w:r>
      <w:r w:rsidR="00C304B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pune</w:t>
      </w:r>
      <w:proofErr w:type="spellEnd"/>
      <w:r w:rsidR="00C304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4B6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C304B6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C304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4B6">
        <w:rPr>
          <w:rFonts w:ascii="Times New Roman" w:hAnsi="Times New Roman" w:cs="Times New Roman"/>
          <w:sz w:val="26"/>
          <w:szCs w:val="26"/>
        </w:rPr>
        <w:t>gjyqtar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deri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8E2">
        <w:rPr>
          <w:rFonts w:ascii="Times New Roman" w:hAnsi="Times New Roman" w:cs="Times New Roman"/>
          <w:sz w:val="26"/>
          <w:szCs w:val="26"/>
        </w:rPr>
        <w:t>muajin</w:t>
      </w:r>
      <w:proofErr w:type="spellEnd"/>
      <w:r w:rsidR="000418E2">
        <w:rPr>
          <w:rFonts w:ascii="Times New Roman" w:hAnsi="Times New Roman" w:cs="Times New Roman"/>
          <w:sz w:val="26"/>
          <w:szCs w:val="26"/>
        </w:rPr>
        <w:t xml:space="preserve"> maj-2013</w:t>
      </w:r>
      <w:r w:rsidR="00C304B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1C73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fondi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akorduar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buxheti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280AD4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shtetit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kapitale</w:t>
      </w:r>
      <w:proofErr w:type="spellEnd"/>
      <w:r w:rsidR="00280AD4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deri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2013,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jan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realizuar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2,976,100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3,000,000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leke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miratuara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buxhet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D1C73">
        <w:rPr>
          <w:rFonts w:ascii="Times New Roman" w:hAnsi="Times New Roman" w:cs="Times New Roman"/>
          <w:sz w:val="26"/>
          <w:szCs w:val="26"/>
        </w:rPr>
        <w:t xml:space="preserve">Me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fond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jan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realizuar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gjitha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objektivat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diferenca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prej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-23,900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vjen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kursimi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fondeve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gjat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proçesit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C73">
        <w:rPr>
          <w:rFonts w:ascii="Times New Roman" w:hAnsi="Times New Roman" w:cs="Times New Roman"/>
          <w:sz w:val="26"/>
          <w:szCs w:val="26"/>
        </w:rPr>
        <w:t>prokurimeve</w:t>
      </w:r>
      <w:proofErr w:type="spellEnd"/>
      <w:r w:rsidR="00BD1C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C6505" w:rsidRDefault="007C6505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280AD4" w:rsidRDefault="000B750F" w:rsidP="00280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Performanca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produkteve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kryesore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1C73" w:rsidRDefault="00BD1C73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1C73" w:rsidRPr="00BD1C73" w:rsidRDefault="00BD1C73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program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jan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BD1C73">
        <w:rPr>
          <w:rFonts w:ascii="Times New Roman" w:hAnsi="Times New Roman" w:cs="Times New Roman"/>
          <w:sz w:val="26"/>
          <w:szCs w:val="26"/>
        </w:rPr>
        <w:t>rfshir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produkte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performanca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cil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BD1C73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vlerore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mir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="00E6371A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E637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371A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="00E6371A">
        <w:rPr>
          <w:rFonts w:ascii="Times New Roman" w:hAnsi="Times New Roman" w:cs="Times New Roman"/>
          <w:sz w:val="26"/>
          <w:szCs w:val="26"/>
        </w:rPr>
        <w:t xml:space="preserve"> 2013.</w:t>
      </w:r>
      <w:proofErr w:type="gram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64E" w:rsidRDefault="00BD1C73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D1C73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raport</w:t>
      </w:r>
      <w:r w:rsidR="00E6371A">
        <w:rPr>
          <w:rFonts w:ascii="Times New Roman" w:hAnsi="Times New Roman" w:cs="Times New Roman"/>
          <w:sz w:val="26"/>
          <w:szCs w:val="26"/>
        </w:rPr>
        <w:t>ohet</w:t>
      </w:r>
      <w:proofErr w:type="spellEnd"/>
      <w:r w:rsidR="00E637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produkteve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sasiore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C73">
        <w:rPr>
          <w:rFonts w:ascii="Times New Roman" w:hAnsi="Times New Roman" w:cs="Times New Roman"/>
          <w:sz w:val="26"/>
          <w:szCs w:val="26"/>
        </w:rPr>
        <w:t>detajuar</w:t>
      </w:r>
      <w:proofErr w:type="spellEnd"/>
      <w:r w:rsidRPr="00BD1C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B6BC7" w:rsidRDefault="00CB6BC7" w:rsidP="00BD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064E" w:rsidRPr="005D64C4" w:rsidRDefault="00736537" w:rsidP="005D64C4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5D64C4" w:rsidRPr="005D64C4">
        <w:rPr>
          <w:rFonts w:ascii="Times New Roman" w:hAnsi="Times New Roman" w:cs="Times New Roman"/>
          <w:b/>
        </w:rPr>
        <w:t xml:space="preserve">% e </w:t>
      </w:r>
      <w:proofErr w:type="spellStart"/>
      <w:r w:rsidR="005D64C4" w:rsidRPr="005D64C4">
        <w:rPr>
          <w:rFonts w:ascii="Times New Roman" w:hAnsi="Times New Roman" w:cs="Times New Roman"/>
          <w:b/>
        </w:rPr>
        <w:t>realizimit</w:t>
      </w:r>
      <w:proofErr w:type="spellEnd"/>
      <w:r w:rsidR="005D64C4"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b/>
        </w:rPr>
        <w:t>kundrejt</w:t>
      </w:r>
      <w:proofErr w:type="spellEnd"/>
      <w:r w:rsidR="005D64C4"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b/>
        </w:rPr>
        <w:t>buxhetit</w:t>
      </w:r>
      <w:proofErr w:type="spellEnd"/>
      <w:r w:rsidR="005D64C4"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b/>
        </w:rPr>
        <w:t>vjetor</w:t>
      </w:r>
      <w:proofErr w:type="spellEnd"/>
    </w:p>
    <w:p w:rsidR="007F064E" w:rsidRPr="000308CA" w:rsidRDefault="005D64C4" w:rsidP="005D64C4">
      <w:pPr>
        <w:spacing w:after="0" w:line="240" w:lineRule="auto"/>
        <w:ind w:left="28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korente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7F064E"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proofErr w:type="gramEnd"/>
      <w:r w:rsidR="007F064E"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7F064E" w:rsidRPr="000134C1">
        <w:rPr>
          <w:rFonts w:ascii="Times New Roman" w:hAnsi="Times New Roman" w:cs="Times New Roman"/>
          <w:b/>
          <w:sz w:val="20"/>
          <w:szCs w:val="20"/>
          <w:u w:val="single"/>
        </w:rPr>
        <w:t>kapitale</w:t>
      </w:r>
      <w:proofErr w:type="spellEnd"/>
      <w:r w:rsidR="007F064E"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Totali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i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shpenzimeve</w:t>
      </w:r>
      <w:proofErr w:type="spellEnd"/>
    </w:p>
    <w:p w:rsidR="005D64C4" w:rsidRPr="005D64C4" w:rsidRDefault="005D64C4" w:rsidP="001067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Programi </w:t>
      </w:r>
      <w:r w:rsidR="007F064E"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“Veprimtaria gjyqësore</w:t>
      </w:r>
      <w:r w:rsidR="007F064E"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>,</w:t>
      </w:r>
      <w:r w:rsidR="001067F4"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</w:t>
      </w:r>
    </w:p>
    <w:p w:rsidR="007F064E" w:rsidRPr="00736537" w:rsidRDefault="007F064E" w:rsidP="005D64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kushtetuese”</w:t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E6371A">
        <w:rPr>
          <w:rFonts w:ascii="Times New Roman" w:eastAsia="Calibri" w:hAnsi="Times New Roman" w:cs="Times New Roman"/>
          <w:b/>
          <w:sz w:val="20"/>
          <w:szCs w:val="20"/>
          <w:lang w:val="sq-AL"/>
        </w:rPr>
        <w:t>98.4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E6371A">
        <w:rPr>
          <w:rFonts w:ascii="Times New Roman" w:hAnsi="Times New Roman" w:cs="Times New Roman"/>
          <w:b/>
          <w:sz w:val="20"/>
          <w:szCs w:val="20"/>
        </w:rPr>
        <w:tab/>
        <w:t>99.2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="00F901A6"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F901A6">
        <w:rPr>
          <w:rFonts w:ascii="Times New Roman" w:hAnsi="Times New Roman" w:cs="Times New Roman"/>
          <w:b/>
          <w:sz w:val="20"/>
          <w:szCs w:val="20"/>
        </w:rPr>
        <w:tab/>
      </w:r>
      <w:r w:rsidR="00E6371A">
        <w:rPr>
          <w:rFonts w:ascii="Times New Roman" w:hAnsi="Times New Roman" w:cs="Times New Roman"/>
          <w:b/>
          <w:sz w:val="20"/>
          <w:szCs w:val="20"/>
        </w:rPr>
        <w:t>98.4</w:t>
      </w:r>
      <w:r w:rsidR="00F901A6"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7F064E" w:rsidRPr="005D64C4" w:rsidRDefault="007F064E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0"/>
          <w:szCs w:val="20"/>
        </w:rPr>
        <w:t>kjo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>:</w:t>
      </w:r>
    </w:p>
    <w:p w:rsidR="007F064E" w:rsidRPr="005D64C4" w:rsidRDefault="007F064E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A</w:t>
      </w:r>
      <w:r w:rsidR="005D64C4" w:rsidRPr="005D64C4">
        <w:rPr>
          <w:rFonts w:ascii="Times New Roman" w:hAnsi="Times New Roman" w:cs="Times New Roman"/>
          <w:sz w:val="20"/>
          <w:szCs w:val="20"/>
        </w:rPr>
        <w:tab/>
      </w:r>
      <w:r w:rsidR="005D64C4">
        <w:rPr>
          <w:rFonts w:ascii="Times New Roman" w:hAnsi="Times New Roman" w:cs="Times New Roman"/>
          <w:sz w:val="20"/>
          <w:szCs w:val="20"/>
        </w:rPr>
        <w:tab/>
      </w:r>
      <w:r w:rsidR="005D64C4">
        <w:rPr>
          <w:rFonts w:ascii="Times New Roman" w:hAnsi="Times New Roman" w:cs="Times New Roman"/>
          <w:sz w:val="20"/>
          <w:szCs w:val="20"/>
        </w:rPr>
        <w:tab/>
      </w:r>
      <w:r w:rsidR="005D64C4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97.0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160A60">
        <w:rPr>
          <w:rFonts w:ascii="Times New Roman" w:hAnsi="Times New Roman" w:cs="Times New Roman"/>
          <w:sz w:val="20"/>
          <w:szCs w:val="20"/>
        </w:rPr>
        <w:t>97</w:t>
      </w:r>
      <w:r w:rsidR="008C0334">
        <w:rPr>
          <w:rFonts w:ascii="Times New Roman" w:hAnsi="Times New Roman" w:cs="Times New Roman"/>
          <w:sz w:val="20"/>
          <w:szCs w:val="20"/>
        </w:rPr>
        <w:t>.</w:t>
      </w:r>
      <w:r w:rsidR="00160A60">
        <w:rPr>
          <w:rFonts w:ascii="Times New Roman" w:hAnsi="Times New Roman" w:cs="Times New Roman"/>
          <w:sz w:val="20"/>
          <w:szCs w:val="20"/>
        </w:rPr>
        <w:t>0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1067F4" w:rsidRPr="005D64C4" w:rsidRDefault="001067F4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B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 xml:space="preserve">  </w:t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99.9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160A60">
        <w:rPr>
          <w:rFonts w:ascii="Times New Roman" w:hAnsi="Times New Roman" w:cs="Times New Roman"/>
          <w:sz w:val="20"/>
          <w:szCs w:val="20"/>
        </w:rPr>
        <w:t>99.9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1067F4" w:rsidRPr="005D64C4" w:rsidRDefault="001067F4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C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98.9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736537">
        <w:rPr>
          <w:rFonts w:ascii="Times New Roman" w:hAnsi="Times New Roman" w:cs="Times New Roman"/>
          <w:sz w:val="20"/>
          <w:szCs w:val="20"/>
        </w:rPr>
        <w:tab/>
      </w:r>
      <w:r w:rsidR="00160A60">
        <w:rPr>
          <w:rFonts w:ascii="Times New Roman" w:hAnsi="Times New Roman" w:cs="Times New Roman"/>
          <w:sz w:val="20"/>
          <w:szCs w:val="20"/>
        </w:rPr>
        <w:t>98.9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1067F4" w:rsidRPr="005D64C4" w:rsidRDefault="001067F4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D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99.9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AE3770">
        <w:rPr>
          <w:rFonts w:ascii="Times New Roman" w:hAnsi="Times New Roman" w:cs="Times New Roman"/>
          <w:sz w:val="20"/>
          <w:szCs w:val="20"/>
        </w:rPr>
        <w:t>97.9</w:t>
      </w:r>
      <w:r w:rsidR="008D65E7">
        <w:rPr>
          <w:rFonts w:ascii="Times New Roman" w:hAnsi="Times New Roman" w:cs="Times New Roman"/>
          <w:sz w:val="20"/>
          <w:szCs w:val="20"/>
        </w:rPr>
        <w:t xml:space="preserve"> %</w:t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8D65E7">
        <w:rPr>
          <w:rFonts w:ascii="Times New Roman" w:hAnsi="Times New Roman" w:cs="Times New Roman"/>
          <w:sz w:val="20"/>
          <w:szCs w:val="20"/>
        </w:rPr>
        <w:tab/>
      </w:r>
      <w:r w:rsidR="00160A60">
        <w:rPr>
          <w:rFonts w:ascii="Times New Roman" w:hAnsi="Times New Roman" w:cs="Times New Roman"/>
          <w:sz w:val="20"/>
          <w:szCs w:val="20"/>
        </w:rPr>
        <w:t>99.9</w:t>
      </w:r>
      <w:r w:rsidR="00736537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7F064E" w:rsidRPr="005D64C4" w:rsidRDefault="007F064E" w:rsidP="007F0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Totali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i </w:t>
      </w: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institucionit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736537">
        <w:rPr>
          <w:rFonts w:ascii="Times New Roman" w:hAnsi="Times New Roman" w:cs="Times New Roman"/>
          <w:b/>
          <w:sz w:val="20"/>
          <w:szCs w:val="20"/>
        </w:rPr>
        <w:tab/>
      </w:r>
      <w:r w:rsidR="00AE3770">
        <w:rPr>
          <w:rFonts w:ascii="Times New Roman" w:hAnsi="Times New Roman" w:cs="Times New Roman"/>
          <w:b/>
          <w:sz w:val="20"/>
          <w:szCs w:val="20"/>
        </w:rPr>
        <w:t>98.4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736537">
        <w:rPr>
          <w:rFonts w:ascii="Times New Roman" w:hAnsi="Times New Roman" w:cs="Times New Roman"/>
          <w:b/>
          <w:sz w:val="20"/>
          <w:szCs w:val="20"/>
        </w:rPr>
        <w:tab/>
      </w:r>
      <w:r w:rsidR="00AE3770">
        <w:rPr>
          <w:rFonts w:ascii="Times New Roman" w:hAnsi="Times New Roman" w:cs="Times New Roman"/>
          <w:b/>
          <w:sz w:val="20"/>
          <w:szCs w:val="20"/>
        </w:rPr>
        <w:t>99.2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736537">
        <w:rPr>
          <w:rFonts w:ascii="Times New Roman" w:hAnsi="Times New Roman" w:cs="Times New Roman"/>
          <w:b/>
          <w:sz w:val="20"/>
          <w:szCs w:val="20"/>
        </w:rPr>
        <w:tab/>
      </w:r>
      <w:r w:rsidR="00AE3770">
        <w:rPr>
          <w:rFonts w:ascii="Times New Roman" w:hAnsi="Times New Roman" w:cs="Times New Roman"/>
          <w:b/>
          <w:sz w:val="20"/>
          <w:szCs w:val="20"/>
        </w:rPr>
        <w:t>98.4</w:t>
      </w:r>
      <w:r w:rsidR="00736537"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Pr="00EC1C80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280AD4" w:rsidRDefault="000B750F" w:rsidP="00280A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Krahasimi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i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nave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faktike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raportit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institucionit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nat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thesarit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r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nj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jt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280AD4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periudh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AD4">
        <w:rPr>
          <w:rFonts w:ascii="Times New Roman" w:hAnsi="Times New Roman" w:cs="Times New Roman"/>
          <w:b/>
          <w:sz w:val="26"/>
          <w:szCs w:val="26"/>
        </w:rPr>
        <w:t>raportuese</w:t>
      </w:r>
      <w:proofErr w:type="spellEnd"/>
      <w:r w:rsidRPr="00280AD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80F68" w:rsidRPr="00080F68" w:rsidRDefault="00A96608" w:rsidP="009845B2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6608">
        <w:rPr>
          <w:rFonts w:ascii="Times New Roman" w:hAnsi="Times New Roman" w:cs="Times New Roman"/>
          <w:i/>
          <w:sz w:val="20"/>
          <w:szCs w:val="20"/>
        </w:rPr>
        <w:t xml:space="preserve">Ne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milion</w:t>
      </w:r>
      <w:proofErr w:type="spellEnd"/>
      <w:r w:rsidRPr="00A9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96608">
        <w:rPr>
          <w:rFonts w:ascii="Times New Roman" w:hAnsi="Times New Roman" w:cs="Times New Roman"/>
          <w:i/>
          <w:sz w:val="20"/>
          <w:szCs w:val="20"/>
        </w:rPr>
        <w:t>leke</w:t>
      </w:r>
      <w:proofErr w:type="spellEnd"/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2538"/>
        <w:gridCol w:w="990"/>
        <w:gridCol w:w="900"/>
        <w:gridCol w:w="540"/>
        <w:gridCol w:w="900"/>
        <w:gridCol w:w="900"/>
        <w:gridCol w:w="540"/>
        <w:gridCol w:w="900"/>
        <w:gridCol w:w="900"/>
        <w:gridCol w:w="630"/>
      </w:tblGrid>
      <w:tr w:rsidR="00080F68" w:rsidRPr="00080F68" w:rsidTr="004472E2">
        <w:tc>
          <w:tcPr>
            <w:tcW w:w="2538" w:type="dxa"/>
            <w:vMerge w:val="restart"/>
          </w:tcPr>
          <w:p w:rsid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Programet</w:t>
            </w:r>
            <w:proofErr w:type="spellEnd"/>
          </w:p>
        </w:tc>
        <w:tc>
          <w:tcPr>
            <w:tcW w:w="243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korente</w:t>
            </w:r>
            <w:proofErr w:type="spellEnd"/>
          </w:p>
        </w:tc>
        <w:tc>
          <w:tcPr>
            <w:tcW w:w="234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2430" w:type="dxa"/>
            <w:gridSpan w:val="3"/>
          </w:tcPr>
          <w:p w:rsidR="00080F68" w:rsidRPr="00080F68" w:rsidRDefault="00080F68" w:rsidP="007F06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shpenzimeve</w:t>
            </w:r>
            <w:proofErr w:type="spellEnd"/>
          </w:p>
        </w:tc>
      </w:tr>
      <w:tr w:rsidR="004472E2" w:rsidRPr="00080F68" w:rsidTr="004472E2">
        <w:trPr>
          <w:trHeight w:val="413"/>
        </w:trPr>
        <w:tc>
          <w:tcPr>
            <w:tcW w:w="2538" w:type="dxa"/>
            <w:vMerge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80F68" w:rsidRPr="00080F68" w:rsidRDefault="00080F68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Instit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4472E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cioni</w:t>
            </w:r>
            <w:proofErr w:type="spellEnd"/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54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900" w:type="dxa"/>
          </w:tcPr>
          <w:p w:rsidR="00080F68" w:rsidRPr="00080F68" w:rsidRDefault="00080F68" w:rsidP="00A9660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</w:t>
            </w:r>
            <w:r w:rsidR="004472E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oni</w:t>
            </w:r>
            <w:proofErr w:type="spellEnd"/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54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900" w:type="dxa"/>
          </w:tcPr>
          <w:p w:rsidR="00080F68" w:rsidRPr="00080F68" w:rsidRDefault="00080F68" w:rsidP="00A9660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</w:t>
            </w:r>
            <w:r w:rsidR="004472E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ioni</w:t>
            </w:r>
            <w:proofErr w:type="spellEnd"/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63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</w:tr>
      <w:tr w:rsidR="004472E2" w:rsidRPr="00080F68" w:rsidTr="004472E2">
        <w:trPr>
          <w:trHeight w:val="377"/>
        </w:trPr>
        <w:tc>
          <w:tcPr>
            <w:tcW w:w="2538" w:type="dxa"/>
          </w:tcPr>
          <w:p w:rsidR="000134C1" w:rsidRDefault="000134C1" w:rsidP="00A96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A96608" w:rsidP="00A96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Veprimtaria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gjyqsore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kushtetuese</w:t>
            </w:r>
            <w:proofErr w:type="spellEnd"/>
          </w:p>
        </w:tc>
        <w:tc>
          <w:tcPr>
            <w:tcW w:w="99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540" w:type="dxa"/>
          </w:tcPr>
          <w:p w:rsidR="00A96608" w:rsidRDefault="00A96608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4C1" w:rsidRPr="00E47DAF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2,976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2,976</w:t>
            </w:r>
          </w:p>
        </w:tc>
        <w:tc>
          <w:tcPr>
            <w:tcW w:w="540" w:type="dxa"/>
          </w:tcPr>
          <w:p w:rsidR="00A96608" w:rsidRDefault="00A96608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4C1" w:rsidRPr="00E47DAF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101,506</w:t>
            </w:r>
          </w:p>
        </w:tc>
        <w:tc>
          <w:tcPr>
            <w:tcW w:w="90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101,506</w:t>
            </w:r>
          </w:p>
        </w:tc>
        <w:tc>
          <w:tcPr>
            <w:tcW w:w="630" w:type="dxa"/>
          </w:tcPr>
          <w:p w:rsidR="000134C1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  <w:p w:rsidR="000134C1" w:rsidRPr="00E47DAF" w:rsidRDefault="000134C1" w:rsidP="00447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2E2" w:rsidRPr="00080F68" w:rsidTr="004472E2">
        <w:trPr>
          <w:trHeight w:val="422"/>
        </w:trPr>
        <w:tc>
          <w:tcPr>
            <w:tcW w:w="2538" w:type="dxa"/>
          </w:tcPr>
          <w:p w:rsidR="004472E2" w:rsidRDefault="004472E2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E47DAF" w:rsidRDefault="004472E2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institucionit</w:t>
            </w:r>
            <w:proofErr w:type="spellEnd"/>
          </w:p>
        </w:tc>
        <w:tc>
          <w:tcPr>
            <w:tcW w:w="99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98,53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98,53</w:t>
            </w:r>
          </w:p>
        </w:tc>
        <w:tc>
          <w:tcPr>
            <w:tcW w:w="54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2,976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2,976</w:t>
            </w:r>
          </w:p>
        </w:tc>
        <w:tc>
          <w:tcPr>
            <w:tcW w:w="54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101,506</w:t>
            </w:r>
          </w:p>
        </w:tc>
        <w:tc>
          <w:tcPr>
            <w:tcW w:w="90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101,506</w:t>
            </w:r>
          </w:p>
        </w:tc>
        <w:tc>
          <w:tcPr>
            <w:tcW w:w="630" w:type="dxa"/>
          </w:tcPr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  <w:p w:rsidR="004472E2" w:rsidRPr="004472E2" w:rsidRDefault="004472E2" w:rsidP="004472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0F68" w:rsidRPr="00080F68" w:rsidRDefault="00080F68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C1C80">
        <w:rPr>
          <w:rFonts w:ascii="Times New Roman" w:hAnsi="Times New Roman" w:cs="Times New Roman"/>
          <w:sz w:val="26"/>
          <w:szCs w:val="26"/>
        </w:rPr>
        <w:t>Ashtu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</w:t>
      </w:r>
      <w:r w:rsidR="00E6371A">
        <w:rPr>
          <w:rFonts w:ascii="Times New Roman" w:hAnsi="Times New Roman" w:cs="Times New Roman"/>
          <w:sz w:val="26"/>
          <w:szCs w:val="26"/>
        </w:rPr>
        <w:t>ç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shikohet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edhe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tabela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sip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rme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dhenat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raportuara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Gjykata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Kushtetuese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tabelat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monitorimit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shpenzimeve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</w:t>
      </w:r>
      <w:r w:rsidR="00E6371A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r w:rsidRPr="00EC1C80">
        <w:rPr>
          <w:rFonts w:ascii="Times New Roman" w:hAnsi="Times New Roman" w:cs="Times New Roman"/>
          <w:sz w:val="26"/>
          <w:szCs w:val="26"/>
        </w:rPr>
        <w:t>201</w:t>
      </w:r>
      <w:r w:rsidR="004A7EE7">
        <w:rPr>
          <w:rFonts w:ascii="Times New Roman" w:hAnsi="Times New Roman" w:cs="Times New Roman"/>
          <w:sz w:val="26"/>
          <w:szCs w:val="26"/>
        </w:rPr>
        <w:t>3</w:t>
      </w:r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rputhen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plot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sisht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dh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nat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nxjerra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sistemi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thesarit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Pr="00EC1C80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7032B4" w:rsidRDefault="000B750F" w:rsidP="00703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Informacion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b/>
          <w:sz w:val="26"/>
          <w:szCs w:val="26"/>
        </w:rPr>
        <w:t>mb</w:t>
      </w:r>
      <w:r w:rsidRPr="007032B4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volumin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dhe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madh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r w:rsidRPr="007032B4">
        <w:rPr>
          <w:rFonts w:ascii="Times New Roman" w:hAnsi="Times New Roman" w:cs="Times New Roman"/>
          <w:b/>
          <w:sz w:val="26"/>
          <w:szCs w:val="26"/>
        </w:rPr>
        <w:t>sine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ndryshimit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32B4">
        <w:rPr>
          <w:rFonts w:ascii="Times New Roman" w:hAnsi="Times New Roman" w:cs="Times New Roman"/>
          <w:b/>
          <w:sz w:val="26"/>
          <w:szCs w:val="26"/>
        </w:rPr>
        <w:t>buxhetit</w:t>
      </w:r>
      <w:proofErr w:type="spellEnd"/>
      <w:r w:rsidRPr="007032B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032B4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EC1C80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programin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tij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institucioni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>,</w:t>
      </w:r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situata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ndryshimet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planifikim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gjat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vitit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201</w:t>
      </w:r>
      <w:r w:rsidR="00736537">
        <w:rPr>
          <w:rFonts w:ascii="Times New Roman" w:hAnsi="Times New Roman" w:cs="Times New Roman"/>
          <w:sz w:val="26"/>
          <w:szCs w:val="26"/>
        </w:rPr>
        <w:t>3</w:t>
      </w:r>
      <w:r w:rsidRPr="00EC1C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rfshir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buxhetin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fil</w:t>
      </w:r>
      <w:r w:rsidR="007032B4">
        <w:rPr>
          <w:rFonts w:ascii="Times New Roman" w:hAnsi="Times New Roman" w:cs="Times New Roman"/>
          <w:sz w:val="26"/>
          <w:szCs w:val="26"/>
        </w:rPr>
        <w:t>lestar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2B4">
        <w:rPr>
          <w:rFonts w:ascii="Times New Roman" w:hAnsi="Times New Roman" w:cs="Times New Roman"/>
          <w:sz w:val="26"/>
          <w:szCs w:val="26"/>
        </w:rPr>
        <w:t>tabel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7032B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032B4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m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EC1C80">
        <w:rPr>
          <w:rFonts w:ascii="Times New Roman" w:hAnsi="Times New Roman" w:cs="Times New Roman"/>
          <w:sz w:val="26"/>
          <w:szCs w:val="26"/>
        </w:rPr>
        <w:t>poshtme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032B4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2296"/>
        <w:gridCol w:w="2479"/>
        <w:gridCol w:w="1430"/>
      </w:tblGrid>
      <w:tr w:rsidR="004E4B05" w:rsidTr="007032B4">
        <w:tc>
          <w:tcPr>
            <w:tcW w:w="3438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Programet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7365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fillestar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201</w:t>
            </w:r>
            <w:r w:rsidR="0073653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ndryshime</w:t>
            </w:r>
            <w:proofErr w:type="spellEnd"/>
          </w:p>
        </w:tc>
        <w:tc>
          <w:tcPr>
            <w:tcW w:w="144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Diferenca</w:t>
            </w:r>
            <w:proofErr w:type="spellEnd"/>
          </w:p>
        </w:tc>
      </w:tr>
      <w:tr w:rsidR="007032B4" w:rsidTr="007032B4">
        <w:tc>
          <w:tcPr>
            <w:tcW w:w="3438" w:type="dxa"/>
          </w:tcPr>
          <w:p w:rsidR="007032B4" w:rsidRPr="007032B4" w:rsidRDefault="007032B4" w:rsidP="00A56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32B4">
              <w:rPr>
                <w:rFonts w:ascii="Times New Roman" w:hAnsi="Times New Roman" w:cs="Times New Roman"/>
              </w:rPr>
              <w:t>Veprimtaria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gjyqsore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kushtetuese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7365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65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736537">
              <w:rPr>
                <w:rFonts w:ascii="Times New Roman" w:hAnsi="Times New Roman" w:cs="Times New Roman"/>
              </w:rPr>
              <w:t>50</w:t>
            </w:r>
            <w:r w:rsidR="00CB6B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0" w:type="dxa"/>
          </w:tcPr>
          <w:p w:rsidR="007032B4" w:rsidRPr="007032B4" w:rsidRDefault="007032B4" w:rsidP="00CB6B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B6BC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091A78">
              <w:rPr>
                <w:rFonts w:ascii="Times New Roman" w:hAnsi="Times New Roman" w:cs="Times New Roman"/>
              </w:rPr>
              <w:t>1</w:t>
            </w:r>
            <w:r w:rsidR="00CB6B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0" w:type="dxa"/>
          </w:tcPr>
          <w:p w:rsidR="007032B4" w:rsidRPr="007032B4" w:rsidRDefault="00CB6BC7" w:rsidP="00CB6B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="007032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351</w:t>
            </w:r>
          </w:p>
        </w:tc>
      </w:tr>
      <w:tr w:rsidR="007032B4" w:rsidTr="007032B4">
        <w:tc>
          <w:tcPr>
            <w:tcW w:w="3438" w:type="dxa"/>
          </w:tcPr>
          <w:p w:rsidR="007032B4" w:rsidRPr="00A56C41" w:rsidRDefault="00A56C41" w:rsidP="00A56C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6C41">
              <w:rPr>
                <w:rFonts w:ascii="Times New Roman" w:hAnsi="Times New Roman" w:cs="Times New Roman"/>
                <w:b/>
              </w:rPr>
              <w:t>Totali</w:t>
            </w:r>
            <w:proofErr w:type="spellEnd"/>
            <w:r w:rsidRPr="00A56C41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A56C41">
              <w:rPr>
                <w:rFonts w:ascii="Times New Roman" w:hAnsi="Times New Roman" w:cs="Times New Roman"/>
                <w:b/>
              </w:rPr>
              <w:t>institucionit</w:t>
            </w:r>
            <w:proofErr w:type="spellEnd"/>
          </w:p>
        </w:tc>
        <w:tc>
          <w:tcPr>
            <w:tcW w:w="2340" w:type="dxa"/>
          </w:tcPr>
          <w:p w:rsidR="007032B4" w:rsidRPr="00A56C41" w:rsidRDefault="007032B4" w:rsidP="007365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10</w:t>
            </w:r>
            <w:r w:rsidR="00736537">
              <w:rPr>
                <w:rFonts w:ascii="Times New Roman" w:hAnsi="Times New Roman" w:cs="Times New Roman"/>
                <w:b/>
              </w:rPr>
              <w:t>5</w:t>
            </w:r>
            <w:r w:rsidRPr="00A56C41">
              <w:rPr>
                <w:rFonts w:ascii="Times New Roman" w:hAnsi="Times New Roman" w:cs="Times New Roman"/>
                <w:b/>
              </w:rPr>
              <w:t>,</w:t>
            </w:r>
            <w:r w:rsidR="00736537">
              <w:rPr>
                <w:rFonts w:ascii="Times New Roman" w:hAnsi="Times New Roman" w:cs="Times New Roman"/>
                <w:b/>
              </w:rPr>
              <w:t>50</w:t>
            </w:r>
            <w:r w:rsidR="00CB6B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20" w:type="dxa"/>
          </w:tcPr>
          <w:p w:rsidR="007032B4" w:rsidRPr="00A56C41" w:rsidRDefault="007032B4" w:rsidP="00CB6B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10</w:t>
            </w:r>
            <w:r w:rsidR="00CB6BC7">
              <w:rPr>
                <w:rFonts w:ascii="Times New Roman" w:hAnsi="Times New Roman" w:cs="Times New Roman"/>
                <w:b/>
              </w:rPr>
              <w:t>3</w:t>
            </w:r>
            <w:r w:rsidRPr="00A56C41">
              <w:rPr>
                <w:rFonts w:ascii="Times New Roman" w:hAnsi="Times New Roman" w:cs="Times New Roman"/>
                <w:b/>
              </w:rPr>
              <w:t>,</w:t>
            </w:r>
            <w:r w:rsidR="00091A78">
              <w:rPr>
                <w:rFonts w:ascii="Times New Roman" w:hAnsi="Times New Roman" w:cs="Times New Roman"/>
                <w:b/>
              </w:rPr>
              <w:t>1</w:t>
            </w:r>
            <w:r w:rsidR="00CB6BC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40" w:type="dxa"/>
          </w:tcPr>
          <w:p w:rsidR="007032B4" w:rsidRPr="00A56C41" w:rsidRDefault="00CB6BC7" w:rsidP="00CB6B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</w:t>
            </w:r>
            <w:r w:rsidR="007032B4" w:rsidRPr="00A56C4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351</w:t>
            </w:r>
          </w:p>
        </w:tc>
      </w:tr>
    </w:tbl>
    <w:p w:rsidR="007032B4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1A78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1C80">
        <w:rPr>
          <w:rFonts w:ascii="Times New Roman" w:hAnsi="Times New Roman" w:cs="Times New Roman"/>
          <w:sz w:val="26"/>
          <w:szCs w:val="26"/>
        </w:rPr>
        <w:t>Diferenca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prej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r w:rsidR="00CB6BC7">
        <w:rPr>
          <w:rFonts w:ascii="Times New Roman" w:hAnsi="Times New Roman" w:cs="Times New Roman"/>
          <w:sz w:val="26"/>
          <w:szCs w:val="26"/>
        </w:rPr>
        <w:t>-2,351</w:t>
      </w:r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mln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91A78">
        <w:rPr>
          <w:rFonts w:ascii="Times New Roman" w:hAnsi="Times New Roman" w:cs="Times New Roman"/>
          <w:sz w:val="26"/>
          <w:szCs w:val="26"/>
        </w:rPr>
        <w:t>sht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rezultat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CB6BC7">
        <w:rPr>
          <w:rFonts w:ascii="Times New Roman" w:hAnsi="Times New Roman" w:cs="Times New Roman"/>
          <w:sz w:val="26"/>
          <w:szCs w:val="26"/>
        </w:rPr>
        <w:t>ndryshimeve</w:t>
      </w:r>
      <w:proofErr w:type="spellEnd"/>
      <w:r w:rsidR="00CB6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buxhet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A78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="00091A7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091A78">
        <w:rPr>
          <w:rFonts w:ascii="Times New Roman" w:hAnsi="Times New Roman" w:cs="Times New Roman"/>
          <w:sz w:val="26"/>
          <w:szCs w:val="26"/>
        </w:rPr>
        <w:t>:</w:t>
      </w:r>
    </w:p>
    <w:p w:rsidR="00091A78" w:rsidRPr="00091A78" w:rsidRDefault="00091A78" w:rsidP="00091A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1A78">
        <w:rPr>
          <w:rFonts w:ascii="Times New Roman" w:hAnsi="Times New Roman" w:cs="Times New Roman"/>
          <w:sz w:val="26"/>
          <w:szCs w:val="26"/>
        </w:rPr>
        <w:t>Autorizimi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rdorimin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fondit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veçant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CB6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BC7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+</w:t>
      </w:r>
      <w:r w:rsidR="00A56C41" w:rsidRPr="00091A78">
        <w:rPr>
          <w:rFonts w:ascii="Times New Roman" w:hAnsi="Times New Roman" w:cs="Times New Roman"/>
          <w:sz w:val="26"/>
          <w:szCs w:val="26"/>
        </w:rPr>
        <w:t>0,</w:t>
      </w:r>
      <w:r w:rsidR="00736537" w:rsidRPr="00091A78">
        <w:rPr>
          <w:rFonts w:ascii="Times New Roman" w:hAnsi="Times New Roman" w:cs="Times New Roman"/>
          <w:sz w:val="26"/>
          <w:szCs w:val="26"/>
        </w:rPr>
        <w:t>13</w:t>
      </w:r>
      <w:r w:rsidR="00A56C41"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C41" w:rsidRPr="00091A78">
        <w:rPr>
          <w:rFonts w:ascii="Times New Roman" w:hAnsi="Times New Roman" w:cs="Times New Roman"/>
          <w:sz w:val="26"/>
          <w:szCs w:val="26"/>
        </w:rPr>
        <w:t>mln</w:t>
      </w:r>
      <w:proofErr w:type="spellEnd"/>
      <w:r w:rsidR="00A56C41"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C41" w:rsidRPr="00091A78"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091A78" w:rsidRDefault="00091A78" w:rsidP="00091A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1A78">
        <w:rPr>
          <w:rFonts w:ascii="Times New Roman" w:hAnsi="Times New Roman" w:cs="Times New Roman"/>
          <w:sz w:val="26"/>
          <w:szCs w:val="26"/>
        </w:rPr>
        <w:t>Pagesat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shp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rblimin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menj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hersh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CB6BC7">
        <w:rPr>
          <w:rFonts w:ascii="Times New Roman" w:hAnsi="Times New Roman" w:cs="Times New Roman"/>
          <w:sz w:val="26"/>
          <w:szCs w:val="26"/>
        </w:rPr>
        <w:t>,</w:t>
      </w:r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mbas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largimit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funksioni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91A78">
        <w:rPr>
          <w:rFonts w:ascii="Times New Roman" w:hAnsi="Times New Roman" w:cs="Times New Roman"/>
          <w:sz w:val="26"/>
          <w:szCs w:val="26"/>
        </w:rPr>
        <w:t>dy</w:t>
      </w:r>
      <w:proofErr w:type="spellEnd"/>
      <w:proofErr w:type="gram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gjyqtar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p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 w:rsidRPr="00091A7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+0.49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mln</w:t>
      </w:r>
      <w:proofErr w:type="spellEnd"/>
      <w:r w:rsidRPr="00091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1A78"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10DE1">
        <w:rPr>
          <w:rFonts w:ascii="Times New Roman" w:hAnsi="Times New Roman" w:cs="Times New Roman"/>
          <w:sz w:val="26"/>
          <w:szCs w:val="26"/>
        </w:rPr>
        <w:t>.</w:t>
      </w:r>
    </w:p>
    <w:p w:rsidR="00610DE1" w:rsidRDefault="00610DE1" w:rsidP="00091A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Pagesë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për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transfertë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brëndshme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Ndihmë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menjëhershme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me +0.03 </w:t>
      </w:r>
      <w:proofErr w:type="spellStart"/>
      <w:r>
        <w:rPr>
          <w:rFonts w:ascii="Times New Roman" w:hAnsi="Times New Roman" w:cs="Times New Roman"/>
          <w:sz w:val="26"/>
          <w:szCs w:val="26"/>
        </w:rPr>
        <w:t>mln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lekë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6BC7" w:rsidRPr="00091A78" w:rsidRDefault="00CB6BC7" w:rsidP="00091A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Pak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simi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buxhetit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2013, me </w:t>
      </w:r>
      <w:r w:rsidR="00610DE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</w:t>
      </w:r>
      <w:proofErr w:type="gramStart"/>
      <w:r>
        <w:rPr>
          <w:rFonts w:ascii="Times New Roman" w:hAnsi="Times New Roman" w:cs="Times New Roman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mln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lek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sipas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normativ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nr.6, </w:t>
      </w:r>
      <w:proofErr w:type="spellStart"/>
      <w:r>
        <w:rPr>
          <w:rFonts w:ascii="Times New Roman" w:hAnsi="Times New Roman" w:cs="Times New Roman"/>
          <w:sz w:val="26"/>
          <w:szCs w:val="26"/>
        </w:rPr>
        <w:t>dat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04.10.2013.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6BC7" w:rsidRDefault="00CB6BC7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50F" w:rsidRPr="00A56C41" w:rsidRDefault="000B750F" w:rsidP="00A56C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lastRenderedPageBreak/>
        <w:t>Komente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t</w:t>
      </w:r>
      <w:r w:rsidR="00610DE1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6C41">
        <w:rPr>
          <w:rFonts w:ascii="Times New Roman" w:hAnsi="Times New Roman" w:cs="Times New Roman"/>
          <w:b/>
          <w:sz w:val="26"/>
          <w:szCs w:val="26"/>
        </w:rPr>
        <w:t>tjera</w:t>
      </w:r>
      <w:proofErr w:type="spellEnd"/>
      <w:r w:rsidRPr="00A56C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182A" w:rsidRDefault="0086182A" w:rsidP="00861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182A" w:rsidRDefault="0086182A" w:rsidP="00861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F13B3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realizimin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produkteve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sasior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detajuar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gj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ndja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fund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2013, </w:t>
      </w:r>
      <w:proofErr w:type="spellStart"/>
      <w:r>
        <w:rPr>
          <w:rFonts w:ascii="Times New Roman" w:hAnsi="Times New Roman" w:cs="Times New Roman"/>
          <w:sz w:val="26"/>
          <w:szCs w:val="26"/>
        </w:rPr>
        <w:t>par</w:t>
      </w:r>
      <w:r w:rsidRPr="00EC1C80">
        <w:rPr>
          <w:rFonts w:ascii="Times New Roman" w:hAnsi="Times New Roman" w:cs="Times New Roman"/>
          <w:sz w:val="26"/>
          <w:szCs w:val="26"/>
        </w:rPr>
        <w:t>aqitet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C1C80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till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>:</w:t>
      </w:r>
    </w:p>
    <w:p w:rsidR="00CB6BC7" w:rsidRDefault="00CB6BC7" w:rsidP="00861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182A" w:rsidRPr="00922152" w:rsidRDefault="00C80D15" w:rsidP="00C80D15">
      <w:pPr>
        <w:spacing w:after="0" w:line="240" w:lineRule="auto"/>
        <w:ind w:left="504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86182A" w:rsidRPr="00922152">
        <w:rPr>
          <w:rFonts w:ascii="Times New Roman" w:hAnsi="Times New Roman" w:cs="Times New Roman"/>
          <w:b/>
          <w:sz w:val="20"/>
          <w:szCs w:val="20"/>
        </w:rPr>
        <w:t xml:space="preserve">% e </w:t>
      </w:r>
      <w:proofErr w:type="spellStart"/>
      <w:r w:rsidR="0086182A" w:rsidRPr="00922152">
        <w:rPr>
          <w:rFonts w:ascii="Times New Roman" w:hAnsi="Times New Roman" w:cs="Times New Roman"/>
          <w:b/>
          <w:sz w:val="20"/>
          <w:szCs w:val="20"/>
        </w:rPr>
        <w:t>realizimit</w:t>
      </w:r>
      <w:proofErr w:type="spellEnd"/>
      <w:r w:rsidR="0086182A" w:rsidRPr="00922152">
        <w:rPr>
          <w:rFonts w:ascii="Times New Roman" w:hAnsi="Times New Roman" w:cs="Times New Roman"/>
          <w:b/>
          <w:sz w:val="20"/>
          <w:szCs w:val="20"/>
        </w:rPr>
        <w:t>,</w:t>
      </w:r>
    </w:p>
    <w:p w:rsidR="0086182A" w:rsidRPr="00EC1C80" w:rsidRDefault="0086182A" w:rsidP="00C80D15">
      <w:pPr>
        <w:spacing w:after="0"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2152">
        <w:rPr>
          <w:rFonts w:ascii="Times New Roman" w:hAnsi="Times New Roman" w:cs="Times New Roman"/>
          <w:b/>
          <w:sz w:val="20"/>
          <w:szCs w:val="20"/>
        </w:rPr>
        <w:t>kundrejt</w:t>
      </w:r>
      <w:proofErr w:type="spellEnd"/>
      <w:proofErr w:type="gram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2152">
        <w:rPr>
          <w:rFonts w:ascii="Times New Roman" w:hAnsi="Times New Roman" w:cs="Times New Roman"/>
          <w:b/>
          <w:sz w:val="20"/>
          <w:szCs w:val="20"/>
        </w:rPr>
        <w:t>buxhetit</w:t>
      </w:r>
      <w:proofErr w:type="spellEnd"/>
      <w:r w:rsidRPr="009221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</w:t>
      </w:r>
      <w:r w:rsidRPr="00922152">
        <w:rPr>
          <w:rFonts w:ascii="Times New Roman" w:hAnsi="Times New Roman" w:cs="Times New Roman"/>
          <w:b/>
          <w:sz w:val="20"/>
          <w:szCs w:val="20"/>
        </w:rPr>
        <w:t>jetor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82A" w:rsidRPr="00C16B8F" w:rsidRDefault="0086182A" w:rsidP="00C16B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“A”, Vendimarrja e gjykates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  <w:t>108.4</w:t>
      </w: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%</w:t>
      </w:r>
    </w:p>
    <w:p w:rsidR="0086182A" w:rsidRPr="00C16B8F" w:rsidRDefault="0086182A" w:rsidP="00C16B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“B”, Informa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>tizimi i veprimtarise gjyqsore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  <w:t>106.7</w:t>
      </w: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%</w:t>
      </w:r>
    </w:p>
    <w:p w:rsidR="0086182A" w:rsidRPr="00C16B8F" w:rsidRDefault="0086182A" w:rsidP="00C16B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“C”, Automjete te mirembajtura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  <w:t>100.0</w:t>
      </w: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%</w:t>
      </w:r>
    </w:p>
    <w:p w:rsidR="0086182A" w:rsidRPr="00C16B8F" w:rsidRDefault="0086182A" w:rsidP="00C16B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>Produkti “D”, Pun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>onjes te motivuar</w:t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</w:r>
      <w:r w:rsidR="00635002">
        <w:rPr>
          <w:rFonts w:ascii="Times New Roman" w:eastAsia="Calibri" w:hAnsi="Times New Roman" w:cs="Times New Roman"/>
          <w:sz w:val="20"/>
          <w:szCs w:val="20"/>
          <w:lang w:val="sq-AL"/>
        </w:rPr>
        <w:tab/>
        <w:t>100.0</w:t>
      </w:r>
      <w:r w:rsidRPr="00C16B8F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%</w:t>
      </w:r>
    </w:p>
    <w:p w:rsidR="0086182A" w:rsidRPr="00C16B8F" w:rsidRDefault="0086182A" w:rsidP="008618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6B8F">
        <w:rPr>
          <w:rFonts w:ascii="Times New Roman" w:hAnsi="Times New Roman" w:cs="Times New Roman"/>
          <w:b/>
          <w:sz w:val="20"/>
          <w:szCs w:val="20"/>
        </w:rPr>
        <w:t>Totali</w:t>
      </w:r>
      <w:proofErr w:type="spellEnd"/>
      <w:r w:rsidRPr="00C16B8F">
        <w:rPr>
          <w:rFonts w:ascii="Times New Roman" w:hAnsi="Times New Roman" w:cs="Times New Roman"/>
          <w:b/>
          <w:sz w:val="20"/>
          <w:szCs w:val="20"/>
        </w:rPr>
        <w:t xml:space="preserve"> i </w:t>
      </w:r>
      <w:proofErr w:type="spellStart"/>
      <w:r w:rsidRPr="00C16B8F">
        <w:rPr>
          <w:rFonts w:ascii="Times New Roman" w:hAnsi="Times New Roman" w:cs="Times New Roman"/>
          <w:b/>
          <w:sz w:val="20"/>
          <w:szCs w:val="20"/>
        </w:rPr>
        <w:t>institucionit</w:t>
      </w:r>
      <w:proofErr w:type="spellEnd"/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Pr="00C16B8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Pr="00C16B8F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  <w:r w:rsidR="00635002">
        <w:rPr>
          <w:rFonts w:ascii="Times New Roman" w:hAnsi="Times New Roman" w:cs="Times New Roman"/>
          <w:b/>
          <w:sz w:val="20"/>
          <w:szCs w:val="20"/>
        </w:rPr>
        <w:t>104.5</w:t>
      </w:r>
      <w:r w:rsidRPr="00C16B8F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C16B8F">
        <w:rPr>
          <w:rFonts w:ascii="Times New Roman" w:hAnsi="Times New Roman" w:cs="Times New Roman"/>
          <w:b/>
          <w:sz w:val="20"/>
          <w:szCs w:val="20"/>
        </w:rPr>
        <w:tab/>
      </w:r>
    </w:p>
    <w:p w:rsidR="0086182A" w:rsidRDefault="0086182A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86182A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Diferencat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midis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performanc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r>
        <w:rPr>
          <w:rFonts w:ascii="Times New Roman" w:hAnsi="Times New Roman" w:cs="Times New Roman"/>
          <w:sz w:val="26"/>
          <w:szCs w:val="26"/>
        </w:rPr>
        <w:t>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produkteve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terma</w:t>
      </w:r>
      <w:proofErr w:type="spellEnd"/>
      <w:r w:rsidRPr="00EC1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1C80">
        <w:rPr>
          <w:rFonts w:ascii="Times New Roman" w:hAnsi="Times New Roman" w:cs="Times New Roman"/>
          <w:sz w:val="26"/>
          <w:szCs w:val="26"/>
        </w:rPr>
        <w:t>vlerore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>
        <w:rPr>
          <w:rFonts w:ascii="Times New Roman" w:hAnsi="Times New Roman" w:cs="Times New Roman"/>
          <w:sz w:val="26"/>
          <w:szCs w:val="26"/>
        </w:rPr>
        <w:t>ato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sasiore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A5D8F">
        <w:rPr>
          <w:rFonts w:ascii="Times New Roman" w:hAnsi="Times New Roman" w:cs="Times New Roman"/>
          <w:sz w:val="26"/>
          <w:szCs w:val="26"/>
        </w:rPr>
        <w:t>104.5</w:t>
      </w:r>
      <w:r>
        <w:rPr>
          <w:rFonts w:ascii="Times New Roman" w:hAnsi="Times New Roman" w:cs="Times New Roman"/>
          <w:sz w:val="26"/>
          <w:szCs w:val="26"/>
        </w:rPr>
        <w:t xml:space="preserve"> %  me </w:t>
      </w:r>
      <w:r w:rsidR="009A5D8F">
        <w:rPr>
          <w:rFonts w:ascii="Times New Roman" w:hAnsi="Times New Roman" w:cs="Times New Roman"/>
          <w:sz w:val="26"/>
          <w:szCs w:val="26"/>
        </w:rPr>
        <w:t>98.4</w:t>
      </w:r>
      <w:r>
        <w:rPr>
          <w:rFonts w:ascii="Times New Roman" w:hAnsi="Times New Roman" w:cs="Times New Roman"/>
          <w:sz w:val="26"/>
          <w:szCs w:val="26"/>
        </w:rPr>
        <w:t xml:space="preserve"> %) </w:t>
      </w:r>
      <w:proofErr w:type="spellStart"/>
      <w:r>
        <w:rPr>
          <w:rFonts w:ascii="Times New Roman" w:hAnsi="Times New Roman" w:cs="Times New Roman"/>
          <w:sz w:val="26"/>
          <w:szCs w:val="26"/>
        </w:rPr>
        <w:t>vjen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ndikimi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tejkalimit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numrit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parashikuar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t</w:t>
      </w:r>
      <w:r w:rsidR="00610DE1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vendimeve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E30">
        <w:rPr>
          <w:rFonts w:ascii="Times New Roman" w:hAnsi="Times New Roman" w:cs="Times New Roman"/>
          <w:sz w:val="26"/>
          <w:szCs w:val="26"/>
        </w:rPr>
        <w:t>gjyqsore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 xml:space="preserve"> </w:t>
      </w:r>
      <w:r w:rsidR="00635002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paisjeve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6350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002">
        <w:rPr>
          <w:rFonts w:ascii="Times New Roman" w:hAnsi="Times New Roman" w:cs="Times New Roman"/>
          <w:sz w:val="26"/>
          <w:szCs w:val="26"/>
        </w:rPr>
        <w:t>informatizimit</w:t>
      </w:r>
      <w:proofErr w:type="spellEnd"/>
      <w:r w:rsidR="005C0E30">
        <w:rPr>
          <w:rFonts w:ascii="Times New Roman" w:hAnsi="Times New Roman" w:cs="Times New Roman"/>
          <w:sz w:val="26"/>
          <w:szCs w:val="26"/>
        </w:rPr>
        <w:t>.</w:t>
      </w: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02" w:rsidRDefault="00635002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82A" w:rsidRPr="0086182A" w:rsidRDefault="0086182A" w:rsidP="00861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6182A" w:rsidRPr="0086182A" w:rsidSect="00CB6BC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A0" w:rsidRDefault="003B53A0" w:rsidP="00C16B8F">
      <w:pPr>
        <w:spacing w:after="0" w:line="240" w:lineRule="auto"/>
      </w:pPr>
      <w:r>
        <w:separator/>
      </w:r>
    </w:p>
  </w:endnote>
  <w:endnote w:type="continuationSeparator" w:id="0">
    <w:p w:rsidR="003B53A0" w:rsidRDefault="003B53A0" w:rsidP="00C1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A0" w:rsidRDefault="003B53A0" w:rsidP="00C16B8F">
      <w:pPr>
        <w:spacing w:after="0" w:line="240" w:lineRule="auto"/>
      </w:pPr>
      <w:r>
        <w:separator/>
      </w:r>
    </w:p>
  </w:footnote>
  <w:footnote w:type="continuationSeparator" w:id="0">
    <w:p w:rsidR="003B53A0" w:rsidRDefault="003B53A0" w:rsidP="00C16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616"/>
    <w:multiLevelType w:val="hybridMultilevel"/>
    <w:tmpl w:val="E65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F6163"/>
    <w:multiLevelType w:val="hybridMultilevel"/>
    <w:tmpl w:val="C1E26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B5725"/>
    <w:multiLevelType w:val="hybridMultilevel"/>
    <w:tmpl w:val="6C00C6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960C4"/>
    <w:multiLevelType w:val="hybridMultilevel"/>
    <w:tmpl w:val="0468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42DF5"/>
    <w:multiLevelType w:val="hybridMultilevel"/>
    <w:tmpl w:val="9CC0E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134C1"/>
    <w:rsid w:val="000308CA"/>
    <w:rsid w:val="000418E2"/>
    <w:rsid w:val="00080F68"/>
    <w:rsid w:val="00091A78"/>
    <w:rsid w:val="000B45C4"/>
    <w:rsid w:val="000B750F"/>
    <w:rsid w:val="001067F4"/>
    <w:rsid w:val="00160A60"/>
    <w:rsid w:val="00186819"/>
    <w:rsid w:val="002256DF"/>
    <w:rsid w:val="00280AD4"/>
    <w:rsid w:val="00343246"/>
    <w:rsid w:val="00350F92"/>
    <w:rsid w:val="00356084"/>
    <w:rsid w:val="003B53A0"/>
    <w:rsid w:val="003E599E"/>
    <w:rsid w:val="003F5370"/>
    <w:rsid w:val="004472E2"/>
    <w:rsid w:val="00452174"/>
    <w:rsid w:val="004A7EE7"/>
    <w:rsid w:val="004E4B05"/>
    <w:rsid w:val="004F12C1"/>
    <w:rsid w:val="005C0E30"/>
    <w:rsid w:val="005D64C4"/>
    <w:rsid w:val="00610DE1"/>
    <w:rsid w:val="00635002"/>
    <w:rsid w:val="007032B4"/>
    <w:rsid w:val="00736537"/>
    <w:rsid w:val="007C6505"/>
    <w:rsid w:val="007F064E"/>
    <w:rsid w:val="0086182A"/>
    <w:rsid w:val="008B0C22"/>
    <w:rsid w:val="008C0334"/>
    <w:rsid w:val="008D65E7"/>
    <w:rsid w:val="008E06C2"/>
    <w:rsid w:val="008E4D0C"/>
    <w:rsid w:val="00922152"/>
    <w:rsid w:val="009845B2"/>
    <w:rsid w:val="009A5D8F"/>
    <w:rsid w:val="009F30F1"/>
    <w:rsid w:val="00A32071"/>
    <w:rsid w:val="00A4751D"/>
    <w:rsid w:val="00A56C41"/>
    <w:rsid w:val="00A739FF"/>
    <w:rsid w:val="00A96608"/>
    <w:rsid w:val="00AE3770"/>
    <w:rsid w:val="00BD1C73"/>
    <w:rsid w:val="00C168C9"/>
    <w:rsid w:val="00C16B8F"/>
    <w:rsid w:val="00C304B6"/>
    <w:rsid w:val="00C80D15"/>
    <w:rsid w:val="00CB6BC7"/>
    <w:rsid w:val="00E37844"/>
    <w:rsid w:val="00E47DAF"/>
    <w:rsid w:val="00E6371A"/>
    <w:rsid w:val="00E8287B"/>
    <w:rsid w:val="00EB0F2F"/>
    <w:rsid w:val="00EC1C80"/>
    <w:rsid w:val="00F3473A"/>
    <w:rsid w:val="00F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8F"/>
  </w:style>
  <w:style w:type="paragraph" w:styleId="Footer">
    <w:name w:val="footer"/>
    <w:basedOn w:val="Normal"/>
    <w:link w:val="Foot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8F"/>
  </w:style>
  <w:style w:type="paragraph" w:styleId="Footer">
    <w:name w:val="footer"/>
    <w:basedOn w:val="Normal"/>
    <w:link w:val="FooterChar"/>
    <w:uiPriority w:val="99"/>
    <w:unhideWhenUsed/>
    <w:rsid w:val="00C1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2013-10-16T11:35:00Z</cp:lastPrinted>
  <dcterms:created xsi:type="dcterms:W3CDTF">2012-07-18T17:02:00Z</dcterms:created>
  <dcterms:modified xsi:type="dcterms:W3CDTF">2014-01-15T18:48:00Z</dcterms:modified>
</cp:coreProperties>
</file>